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9.xml" ContentType="application/vnd.openxmlformats-officedocument.wordprocessingml.header+xml"/>
  <Override PartName="/word/footer36.xml" ContentType="application/vnd.openxmlformats-officedocument.wordprocessingml.footer+xml"/>
  <Override PartName="/word/header10.xml" ContentType="application/vnd.openxmlformats-officedocument.wordprocessingml.header+xml"/>
  <Override PartName="/word/footer37.xml" ContentType="application/vnd.openxmlformats-officedocument.wordprocessingml.footer+xml"/>
  <Override PartName="/word/header11.xml" ContentType="application/vnd.openxmlformats-officedocument.wordprocessingml.head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336688" coordorigin="0,0" coordsize="11906,16838">
            <v:shape style="position:absolute;left:0;top:0;width:11906;height:16838" type="#_x0000_t75" stroked="false">
              <v:imagedata r:id="rId5" o:title=""/>
            </v:shape>
            <v:shape style="position:absolute;left:4855;top:1134;width:2095;height:509" type="#_x0000_t75" stroked="false">
              <v:imagedata r:id="rId6" o:title=""/>
            </v:shape>
            <v:shape style="position:absolute;left:4536;top:1136;width:318;height:244" coordorigin="4536,1136" coordsize="318,244" path="m4589,1137l4536,1137,4605,1379,4650,1379,4674,1296,4629,1296,4589,1137xm4742,1226l4694,1226,4738,1379,4784,1379,4808,1296,4761,1296,4742,1226xm4717,1136l4673,1136,4629,1296,4674,1296,4694,1226,4742,1226,4717,1136xm4853,1137l4801,1137,4761,1296,4808,1296,4853,1137xe" filled="true" fillcolor="#000000" stroked="false">
              <v:path arrowok="t"/>
              <v:fill type="solid"/>
            </v:shape>
            <v:line style="position:absolute" from="4878,1306" to="4928,1306" stroked="true" strokeweight="2.7pt" strokecolor="#000000"/>
            <v:line style="position:absolute" from="4878,1209" to="4928,1209" stroked="true" strokeweight="2.6pt" strokecolor="#000000"/>
            <v:shape style="position:absolute;left:6962;top:1137;width:408;height:242" type="#_x0000_t75" stroked="false">
              <v:imagedata r:id="rId7" o:title=""/>
            </v:shape>
            <v:shape style="position:absolute;left:3084;top:1840;width:5738;height:10166" coordorigin="3084,1840" coordsize="5738,10166" path="m6112,1840l6079,1840,6079,1904,6026,2130,6017,2125,6006,2121,5995,2117,5984,2115,5951,1975,5917,2115,5906,2117,5895,2121,5885,2125,5875,2130,5822,1904,5855,1904,5896,2073,5936,1904,5965,1904,6006,2073,6046,1904,6079,1904,6079,1840,5790,1840,5790,2082,5815,2145,5870,2196,5925,2230,5951,2243,5976,2230,6031,2196,6087,2145,6093,2130,6112,2082,6112,1904,6112,1840m8821,4833l8243,4833,8243,5981,7295,9998,7229,9962,7160,9928,7089,9896,7017,9865,6942,9837,6866,9811,6788,9787,6708,9764,6626,9745,6543,9727,5950,7248,5359,9727,5276,9745,5195,9764,5115,9787,5037,9811,4960,9837,4886,9865,4813,9896,4743,9928,4674,9962,4607,9998,3658,5981,4254,5981,4978,8989,5697,5981,6204,5981,6938,8989,7649,5981,8243,5981,8243,4833,3084,4833,3084,9147,3087,9228,3094,9307,3106,9387,3122,9465,3142,9543,3167,9620,3196,9697,3228,9772,3264,9847,3303,9922,3346,9995,3392,10068,3440,10139,3492,10210,3546,10280,3602,10349,3661,10417,3722,10484,3784,10549,3849,10614,3915,10678,3983,10740,4051,10802,4121,10862,4192,10921,4264,10979,4336,11035,4408,11090,4481,11144,4554,11197,4627,11248,4699,11298,4772,11346,4843,11393,4914,11438,4984,11482,5053,11524,5120,11565,5186,11604,5251,11641,5314,11677,5433,11744,5544,11803,5644,11855,5733,11900,5808,11937,5894,11978,5943,12001,5950,12004,5953,12005,5955,12004,5963,12001,6012,11978,6097,11937,6173,11900,6261,11855,6362,11803,6472,11744,6592,11677,6655,11641,6719,11604,6785,11565,6853,11524,6922,11482,6992,11438,7062,11393,7134,11346,7206,11298,7279,11248,7352,11197,7424,11144,7497,11090,7570,11035,7642,10979,7713,10921,7784,10862,7854,10802,7923,10740,7990,10678,8057,10614,8121,10549,8184,10484,8245,10417,8303,10349,8360,10280,8414,10210,8465,10139,8514,10068,8558,9998,8560,9995,8602,9922,8642,9847,8678,9772,8710,9697,8739,9620,8763,9543,8784,9465,8800,9387,8812,9307,8819,9228,8821,9147,8821,5981,8821,4833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00" w:lineRule="exact" w:before="219"/>
        <w:ind w:left="3188" w:right="3186" w:firstLine="0"/>
        <w:jc w:val="center"/>
        <w:rPr>
          <w:sz w:val="28"/>
        </w:rPr>
      </w:pPr>
      <w:r>
        <w:rPr>
          <w:sz w:val="28"/>
        </w:rPr>
        <w:t>ANNUAL REPORT 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6"/>
        <w:ind w:left="1273" w:right="1273" w:firstLine="0"/>
        <w:jc w:val="center"/>
        <w:rPr>
          <w:rFonts w:ascii="Chronicle Text G1"/>
          <w:b w:val="0"/>
          <w:sz w:val="72"/>
        </w:rPr>
      </w:pPr>
      <w:r>
        <w:rPr>
          <w:rFonts w:ascii="Chronicle Text G1"/>
          <w:b w:val="0"/>
          <w:color w:val="FFFFFF"/>
          <w:sz w:val="72"/>
        </w:rPr>
        <w:t>The Year in Review</w:t>
      </w:r>
    </w:p>
    <w:p>
      <w:pPr>
        <w:spacing w:before="93"/>
        <w:ind w:left="3186" w:right="3186" w:firstLine="0"/>
        <w:jc w:val="center"/>
        <w:rPr>
          <w:sz w:val="48"/>
        </w:rPr>
      </w:pPr>
      <w:r>
        <w:rPr>
          <w:color w:val="FFFFFF"/>
          <w:w w:val="90"/>
          <w:sz w:val="48"/>
        </w:rPr>
        <w:t>Volume 1</w:t>
      </w:r>
    </w:p>
    <w:p>
      <w:pPr>
        <w:spacing w:after="0"/>
        <w:jc w:val="center"/>
        <w:rPr>
          <w:sz w:val="48"/>
        </w:rPr>
        <w:sectPr>
          <w:type w:val="continuous"/>
          <w:pgSz w:w="11910" w:h="16840"/>
          <w:pgMar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even" r:id="rId8"/>
          <w:headerReference w:type="default" r:id="rId9"/>
          <w:footerReference w:type="even" r:id="rId10"/>
          <w:footerReference w:type="default" r:id="rId11"/>
          <w:pgSz w:w="11910" w:h="16840"/>
          <w:pgMar w:header="496" w:footer="472" w:top="680" w:bottom="660" w:left="580" w:right="580"/>
          <w:pgNumType w:start="2"/>
        </w:sectPr>
      </w:pPr>
    </w:p>
    <w:p>
      <w:pPr>
        <w:pStyle w:val="BodyText"/>
        <w:spacing w:before="5"/>
        <w:rPr>
          <w:sz w:val="21"/>
        </w:rPr>
      </w:pPr>
      <w:r>
        <w:rPr/>
        <w:pict>
          <v:rect style="position:absolute;margin-left:34.015999pt;margin-top:45.355015pt;width:527.244pt;height:751.181pt;mso-position-horizontal-relative:page;mso-position-vertical-relative:page;z-index:-336664" filled="true" fillcolor="#e9e9e9" stroked="false">
            <v:fill type="solid"/>
            <w10:wrap type="none"/>
          </v:rect>
        </w:pict>
      </w:r>
    </w:p>
    <w:p>
      <w:pPr>
        <w:pStyle w:val="Heading5"/>
        <w:spacing w:line="260" w:lineRule="exact"/>
        <w:ind w:left="327" w:right="1335"/>
      </w:pPr>
      <w:r>
        <w:rPr/>
        <w:t>ANNUAL </w:t>
      </w:r>
      <w:r>
        <w:rPr>
          <w:w w:val="95"/>
        </w:rPr>
        <w:t>REPORT 2016</w:t>
      </w:r>
    </w:p>
    <w:p>
      <w:pPr>
        <w:pStyle w:val="BodyText"/>
        <w:rPr>
          <w:rFonts w:ascii="Gotham Narrow Bold"/>
          <w:b/>
          <w:sz w:val="24"/>
        </w:rPr>
      </w:pPr>
    </w:p>
    <w:p>
      <w:pPr>
        <w:pStyle w:val="BodyText"/>
        <w:spacing w:line="249" w:lineRule="auto" w:before="183"/>
        <w:ind w:left="327" w:right="42"/>
      </w:pPr>
      <w:r>
        <w:rPr/>
        <w:t>Western</w:t>
      </w:r>
      <w:r>
        <w:rPr>
          <w:spacing w:val="-13"/>
        </w:rPr>
        <w:t> </w:t>
      </w:r>
      <w:r>
        <w:rPr/>
        <w:t>Sydney</w:t>
      </w:r>
      <w:r>
        <w:rPr>
          <w:spacing w:val="-13"/>
        </w:rPr>
        <w:t> </w:t>
      </w:r>
      <w:r>
        <w:rPr/>
        <w:t>University’s</w:t>
      </w:r>
      <w:r>
        <w:rPr>
          <w:spacing w:val="-13"/>
        </w:rPr>
        <w:t> </w:t>
      </w:r>
      <w:r>
        <w:rPr/>
        <w:t>Annual</w:t>
      </w:r>
      <w:r>
        <w:rPr>
          <w:spacing w:val="-13"/>
        </w:rPr>
        <w:t> </w:t>
      </w:r>
      <w:r>
        <w:rPr/>
        <w:t>Report </w:t>
      </w:r>
      <w:r>
        <w:rPr>
          <w:spacing w:val="1"/>
          <w:w w:val="90"/>
        </w:rPr>
        <w:t>2016</w:t>
      </w:r>
      <w:r>
        <w:rPr>
          <w:w w:val="90"/>
        </w:rPr>
        <w:t> </w:t>
      </w:r>
      <w:r>
        <w:rPr>
          <w:spacing w:val="1"/>
          <w:w w:val="95"/>
        </w:rPr>
        <w:t>has</w:t>
      </w:r>
      <w:r>
        <w:rPr>
          <w:w w:val="95"/>
        </w:rPr>
        <w:t> </w:t>
      </w:r>
      <w:r>
        <w:rPr>
          <w:spacing w:val="1"/>
          <w:w w:val="97"/>
        </w:rPr>
        <w:t>been</w:t>
      </w:r>
      <w:r>
        <w:rPr>
          <w:w w:val="97"/>
        </w:rPr>
        <w:t> </w:t>
      </w:r>
      <w:r>
        <w:rPr>
          <w:spacing w:val="1"/>
          <w:w w:val="99"/>
        </w:rPr>
        <w:t>produced</w:t>
      </w:r>
      <w:r>
        <w:rPr>
          <w:w w:val="99"/>
        </w:rPr>
        <w:t> </w:t>
      </w:r>
      <w:r>
        <w:rPr>
          <w:w w:val="95"/>
        </w:rPr>
        <w:t>in </w:t>
      </w:r>
      <w:r>
        <w:rPr>
          <w:w w:val="94"/>
        </w:rPr>
        <w:t>a </w:t>
      </w:r>
      <w:r>
        <w:rPr>
          <w:spacing w:val="1"/>
          <w:w w:val="99"/>
        </w:rPr>
        <w:t>two-volume</w:t>
      </w:r>
      <w:r>
        <w:rPr>
          <w:w w:val="99"/>
        </w:rPr>
        <w:t> </w:t>
      </w:r>
      <w:r>
        <w:rPr/>
        <w:t>set:</w:t>
      </w:r>
      <w:r>
        <w:rPr>
          <w:spacing w:val="-29"/>
        </w:rPr>
        <w:t> </w:t>
      </w:r>
      <w:r>
        <w:rPr/>
        <w:t>Volume</w:t>
      </w:r>
      <w:r>
        <w:rPr>
          <w:spacing w:val="-29"/>
        </w:rPr>
        <w:t> </w:t>
      </w:r>
      <w:r>
        <w:rPr/>
        <w:t>1,</w:t>
      </w:r>
      <w:r>
        <w:rPr>
          <w:spacing w:val="-29"/>
        </w:rPr>
        <w:t> </w:t>
      </w:r>
      <w:r>
        <w:rPr>
          <w:spacing w:val="2"/>
        </w:rPr>
        <w:t>‘The</w:t>
      </w:r>
      <w:r>
        <w:rPr>
          <w:spacing w:val="-29"/>
        </w:rPr>
        <w:t> </w:t>
      </w:r>
      <w:r>
        <w:rPr/>
        <w:t>Year</w:t>
      </w:r>
      <w:r>
        <w:rPr>
          <w:spacing w:val="-29"/>
        </w:rPr>
        <w:t> </w:t>
      </w:r>
      <w:r>
        <w:rPr/>
        <w:t>in</w:t>
      </w:r>
      <w:r>
        <w:rPr>
          <w:spacing w:val="-29"/>
        </w:rPr>
        <w:t> </w:t>
      </w:r>
      <w:r>
        <w:rPr/>
        <w:t>Review’,</w:t>
      </w:r>
      <w:r>
        <w:rPr>
          <w:spacing w:val="-29"/>
        </w:rPr>
        <w:t> </w:t>
      </w:r>
      <w:r>
        <w:rPr/>
        <w:t>contains statutory</w:t>
      </w:r>
      <w:r>
        <w:rPr>
          <w:spacing w:val="-21"/>
        </w:rPr>
        <w:t> </w:t>
      </w:r>
      <w:r>
        <w:rPr>
          <w:spacing w:val="2"/>
        </w:rPr>
        <w:t>reports,</w:t>
      </w:r>
      <w:r>
        <w:rPr>
          <w:spacing w:val="-21"/>
        </w:rPr>
        <w:t> </w:t>
      </w:r>
      <w:r>
        <w:rPr/>
        <w:t>while</w:t>
      </w:r>
      <w:r>
        <w:rPr>
          <w:spacing w:val="-21"/>
        </w:rPr>
        <w:t> </w:t>
      </w:r>
      <w:r>
        <w:rPr/>
        <w:t>Volume</w:t>
      </w:r>
      <w:r>
        <w:rPr>
          <w:spacing w:val="-21"/>
        </w:rPr>
        <w:t> </w:t>
      </w:r>
      <w:r>
        <w:rPr/>
        <w:t>2,</w:t>
      </w:r>
      <w:r>
        <w:rPr>
          <w:spacing w:val="-21"/>
        </w:rPr>
        <w:t> </w:t>
      </w:r>
      <w:r>
        <w:rPr/>
        <w:t>‘Financial</w:t>
      </w:r>
    </w:p>
    <w:p>
      <w:pPr>
        <w:pStyle w:val="BodyText"/>
        <w:spacing w:line="249" w:lineRule="auto"/>
        <w:ind w:left="327" w:right="-7"/>
      </w:pPr>
      <w:r>
        <w:rPr/>
        <w:t>Statements’,</w:t>
      </w:r>
      <w:r>
        <w:rPr>
          <w:spacing w:val="-25"/>
        </w:rPr>
        <w:t> </w:t>
      </w:r>
      <w:r>
        <w:rPr/>
        <w:t>contains</w:t>
      </w:r>
      <w:r>
        <w:rPr>
          <w:spacing w:val="-25"/>
        </w:rPr>
        <w:t> </w:t>
      </w:r>
      <w:r>
        <w:rPr/>
        <w:t>the</w:t>
      </w:r>
      <w:r>
        <w:rPr>
          <w:spacing w:val="-25"/>
        </w:rPr>
        <w:t> </w:t>
      </w:r>
      <w:r>
        <w:rPr/>
        <w:t>financial</w:t>
      </w:r>
      <w:r>
        <w:rPr>
          <w:spacing w:val="-25"/>
        </w:rPr>
        <w:t> </w:t>
      </w:r>
      <w:r>
        <w:rPr/>
        <w:t>statements of</w:t>
      </w:r>
      <w:r>
        <w:rPr>
          <w:spacing w:val="-20"/>
        </w:rPr>
        <w:t> </w:t>
      </w:r>
      <w:r>
        <w:rPr/>
        <w:t>the</w:t>
      </w:r>
      <w:r>
        <w:rPr>
          <w:spacing w:val="-20"/>
        </w:rPr>
        <w:t> </w:t>
      </w:r>
      <w:r>
        <w:rPr/>
        <w:t>University</w:t>
      </w:r>
      <w:r>
        <w:rPr>
          <w:spacing w:val="-20"/>
        </w:rPr>
        <w:t> </w:t>
      </w:r>
      <w:r>
        <w:rPr/>
        <w:t>and</w:t>
      </w:r>
      <w:r>
        <w:rPr>
          <w:spacing w:val="-20"/>
        </w:rPr>
        <w:t> </w:t>
      </w:r>
      <w:r>
        <w:rPr/>
        <w:t>related</w:t>
      </w:r>
      <w:r>
        <w:rPr>
          <w:spacing w:val="-20"/>
        </w:rPr>
        <w:t> </w:t>
      </w:r>
      <w:r>
        <w:rPr/>
        <w:t>entities.</w:t>
      </w:r>
    </w:p>
    <w:p>
      <w:pPr>
        <w:pStyle w:val="BodyText"/>
        <w:rPr>
          <w:sz w:val="14"/>
        </w:rPr>
      </w:pPr>
    </w:p>
    <w:p>
      <w:pPr>
        <w:pStyle w:val="BodyText"/>
        <w:spacing w:line="249" w:lineRule="auto"/>
        <w:ind w:left="327" w:right="35"/>
      </w:pPr>
      <w:r>
        <w:rPr/>
        <w:t>The cost of production of the Annual Report </w:t>
      </w:r>
      <w:r>
        <w:rPr>
          <w:w w:val="90"/>
        </w:rPr>
        <w:t>2016 </w:t>
      </w:r>
      <w:r>
        <w:rPr>
          <w:w w:val="95"/>
        </w:rPr>
        <w:t>is </w:t>
      </w:r>
      <w:r>
        <w:rPr>
          <w:w w:val="89"/>
        </w:rPr>
        <w:t>$15,000.</w:t>
      </w:r>
    </w:p>
    <w:p>
      <w:pPr>
        <w:pStyle w:val="BodyText"/>
        <w:rPr>
          <w:sz w:val="14"/>
        </w:rPr>
      </w:pPr>
    </w:p>
    <w:p>
      <w:pPr>
        <w:pStyle w:val="BodyText"/>
        <w:spacing w:line="249" w:lineRule="auto"/>
        <w:ind w:left="327" w:right="224"/>
        <w:rPr>
          <w:rFonts w:ascii="Calibri"/>
        </w:rPr>
      </w:pPr>
      <w:r>
        <w:rPr>
          <w:w w:val="105"/>
        </w:rPr>
        <w:t>The University Annual </w:t>
      </w:r>
      <w:r>
        <w:rPr>
          <w:spacing w:val="2"/>
          <w:w w:val="105"/>
        </w:rPr>
        <w:t>Reports </w:t>
      </w:r>
      <w:r>
        <w:rPr>
          <w:w w:val="105"/>
        </w:rPr>
        <w:t>are also available</w:t>
      </w:r>
      <w:r>
        <w:rPr>
          <w:spacing w:val="-40"/>
          <w:w w:val="105"/>
        </w:rPr>
        <w:t> </w:t>
      </w:r>
      <w:r>
        <w:rPr>
          <w:w w:val="105"/>
        </w:rPr>
        <w:t>via</w:t>
      </w:r>
      <w:r>
        <w:rPr>
          <w:spacing w:val="-40"/>
          <w:w w:val="105"/>
        </w:rPr>
        <w:t> </w:t>
      </w:r>
      <w:r>
        <w:rPr>
          <w:w w:val="105"/>
        </w:rPr>
        <w:t>the</w:t>
      </w:r>
      <w:r>
        <w:rPr>
          <w:spacing w:val="-40"/>
          <w:w w:val="105"/>
        </w:rPr>
        <w:t> </w:t>
      </w:r>
      <w:r>
        <w:rPr>
          <w:w w:val="105"/>
        </w:rPr>
        <w:t>Internet</w:t>
      </w:r>
      <w:r>
        <w:rPr>
          <w:spacing w:val="-40"/>
          <w:w w:val="105"/>
        </w:rPr>
        <w:t> </w:t>
      </w:r>
      <w:r>
        <w:rPr>
          <w:w w:val="105"/>
        </w:rPr>
        <w:t>and</w:t>
      </w:r>
      <w:r>
        <w:rPr>
          <w:spacing w:val="-40"/>
          <w:w w:val="105"/>
        </w:rPr>
        <w:t> </w:t>
      </w:r>
      <w:r>
        <w:rPr>
          <w:w w:val="105"/>
        </w:rPr>
        <w:t>can</w:t>
      </w:r>
      <w:r>
        <w:rPr>
          <w:spacing w:val="-40"/>
          <w:w w:val="105"/>
        </w:rPr>
        <w:t> </w:t>
      </w:r>
      <w:r>
        <w:rPr>
          <w:w w:val="105"/>
        </w:rPr>
        <w:t>be</w:t>
      </w:r>
      <w:r>
        <w:rPr>
          <w:spacing w:val="-40"/>
          <w:w w:val="105"/>
        </w:rPr>
        <w:t> </w:t>
      </w:r>
      <w:r>
        <w:rPr>
          <w:w w:val="105"/>
        </w:rPr>
        <w:t>found on</w:t>
      </w:r>
      <w:r>
        <w:rPr>
          <w:spacing w:val="-17"/>
          <w:w w:val="105"/>
        </w:rPr>
        <w:t> </w:t>
      </w:r>
      <w:r>
        <w:rPr>
          <w:w w:val="105"/>
        </w:rPr>
        <w:t>our</w:t>
      </w:r>
      <w:r>
        <w:rPr>
          <w:spacing w:val="-17"/>
          <w:w w:val="105"/>
        </w:rPr>
        <w:t> </w:t>
      </w:r>
      <w:r>
        <w:rPr>
          <w:w w:val="105"/>
        </w:rPr>
        <w:t>website</w:t>
      </w:r>
      <w:r>
        <w:rPr>
          <w:spacing w:val="-17"/>
          <w:w w:val="105"/>
        </w:rPr>
        <w:t> </w:t>
      </w:r>
      <w:r>
        <w:rPr>
          <w:w w:val="105"/>
        </w:rPr>
        <w:t>at</w:t>
      </w:r>
      <w:r>
        <w:rPr>
          <w:spacing w:val="-17"/>
          <w:w w:val="105"/>
        </w:rPr>
        <w:t> </w:t>
      </w:r>
      <w:r>
        <w:rPr>
          <w:rFonts w:ascii="Calibri"/>
          <w:w w:val="105"/>
        </w:rPr>
        <w:t>westernsydney.edu.au</w:t>
      </w:r>
    </w:p>
    <w:p>
      <w:pPr>
        <w:pStyle w:val="BodyText"/>
        <w:rPr>
          <w:rFonts w:ascii="Calibri"/>
        </w:rPr>
      </w:pPr>
    </w:p>
    <w:p>
      <w:pPr>
        <w:pStyle w:val="BodyText"/>
        <w:rPr>
          <w:rFonts w:ascii="Calibri"/>
        </w:rPr>
      </w:pPr>
    </w:p>
    <w:p>
      <w:pPr>
        <w:pStyle w:val="BodyText"/>
        <w:spacing w:before="6"/>
        <w:rPr>
          <w:rFonts w:ascii="Calibri"/>
        </w:rPr>
      </w:pPr>
    </w:p>
    <w:p>
      <w:pPr>
        <w:pStyle w:val="Heading7"/>
        <w:spacing w:line="249" w:lineRule="auto"/>
        <w:ind w:left="327" w:right="539"/>
      </w:pPr>
      <w:r>
        <w:rPr>
          <w:w w:val="95"/>
        </w:rPr>
        <w:t>WESTERN SYDNEY UNIVERSITY </w:t>
      </w:r>
      <w:r>
        <w:rPr/>
        <w:t>ACKNOWLEDGES THE </w:t>
      </w:r>
      <w:r>
        <w:rPr>
          <w:w w:val="95"/>
        </w:rPr>
        <w:t>TRADITIONAL OWNERS</w:t>
      </w:r>
    </w:p>
    <w:p>
      <w:pPr>
        <w:pStyle w:val="BodyText"/>
        <w:spacing w:line="249" w:lineRule="auto" w:before="50"/>
        <w:ind w:left="327" w:right="42"/>
      </w:pPr>
      <w:r>
        <w:rPr/>
        <w:t>With respect to Aboriginal cultural protocol and out of recognition that its campuses occupy Aboriginal traditional lands, the University acknowledges the Darug, Gandangara, Tharawal and Wiradjuri peoples and thanks them for supporting</w:t>
      </w:r>
    </w:p>
    <w:p>
      <w:pPr>
        <w:pStyle w:val="BodyText"/>
        <w:spacing w:line="249" w:lineRule="auto"/>
        <w:ind w:left="327" w:right="230"/>
      </w:pPr>
      <w:r>
        <w:rPr/>
        <w:t>its</w:t>
      </w:r>
      <w:r>
        <w:rPr>
          <w:spacing w:val="-19"/>
        </w:rPr>
        <w:t> </w:t>
      </w:r>
      <w:r>
        <w:rPr/>
        <w:t>work</w:t>
      </w:r>
      <w:r>
        <w:rPr>
          <w:spacing w:val="-19"/>
        </w:rPr>
        <w:t> </w:t>
      </w:r>
      <w:r>
        <w:rPr/>
        <w:t>on</w:t>
      </w:r>
      <w:r>
        <w:rPr>
          <w:spacing w:val="-19"/>
        </w:rPr>
        <w:t> </w:t>
      </w:r>
      <w:r>
        <w:rPr/>
        <w:t>their</w:t>
      </w:r>
      <w:r>
        <w:rPr>
          <w:spacing w:val="-19"/>
        </w:rPr>
        <w:t> </w:t>
      </w:r>
      <w:r>
        <w:rPr/>
        <w:t>lands.</w:t>
      </w:r>
      <w:r>
        <w:rPr>
          <w:spacing w:val="-19"/>
        </w:rPr>
        <w:t> </w:t>
      </w:r>
      <w:r>
        <w:rPr/>
        <w:t>It</w:t>
      </w:r>
      <w:r>
        <w:rPr>
          <w:spacing w:val="-19"/>
        </w:rPr>
        <w:t> </w:t>
      </w:r>
      <w:r>
        <w:rPr/>
        <w:t>is</w:t>
      </w:r>
      <w:r>
        <w:rPr>
          <w:spacing w:val="-19"/>
        </w:rPr>
        <w:t> </w:t>
      </w:r>
      <w:r>
        <w:rPr/>
        <w:t>the</w:t>
      </w:r>
      <w:r>
        <w:rPr>
          <w:spacing w:val="-19"/>
        </w:rPr>
        <w:t> </w:t>
      </w:r>
      <w:r>
        <w:rPr/>
        <w:t>University’s practice that appropriate Aboriginal cultural protocols be observed before formal</w:t>
      </w:r>
      <w:r>
        <w:rPr>
          <w:spacing w:val="-25"/>
        </w:rPr>
        <w:t> </w:t>
      </w:r>
      <w:r>
        <w:rPr/>
        <w:t>meetings,</w:t>
      </w:r>
      <w:r>
        <w:rPr>
          <w:spacing w:val="-25"/>
        </w:rPr>
        <w:t> </w:t>
      </w:r>
      <w:r>
        <w:rPr/>
        <w:t>conferences</w:t>
      </w:r>
      <w:r>
        <w:rPr>
          <w:spacing w:val="-25"/>
        </w:rPr>
        <w:t> </w:t>
      </w:r>
      <w:r>
        <w:rPr/>
        <w:t>or</w:t>
      </w:r>
      <w:r>
        <w:rPr>
          <w:spacing w:val="-25"/>
        </w:rPr>
        <w:t> </w:t>
      </w:r>
      <w:r>
        <w:rPr/>
        <w:t>events.</w:t>
      </w:r>
    </w:p>
    <w:p>
      <w:pPr>
        <w:pStyle w:val="BodyText"/>
        <w:spacing w:before="5"/>
        <w:rPr>
          <w:sz w:val="21"/>
        </w:rPr>
      </w:pPr>
      <w:r>
        <w:rPr/>
        <w:br w:type="column"/>
      </w:r>
      <w:r>
        <w:rPr>
          <w:sz w:val="21"/>
        </w:rPr>
      </w:r>
    </w:p>
    <w:p>
      <w:pPr>
        <w:pStyle w:val="Heading5"/>
        <w:spacing w:line="260" w:lineRule="exact"/>
        <w:ind w:left="234" w:right="5607"/>
      </w:pPr>
      <w:r>
        <w:rPr/>
        <w:t>LETTER OF </w:t>
      </w:r>
      <w:r>
        <w:rPr>
          <w:w w:val="95"/>
        </w:rPr>
        <w:t>SUBMISSION</w:t>
      </w:r>
    </w:p>
    <w:p>
      <w:pPr>
        <w:pStyle w:val="BodyText"/>
        <w:rPr>
          <w:rFonts w:ascii="Gotham Narrow Bold"/>
          <w:b/>
          <w:sz w:val="24"/>
        </w:rPr>
      </w:pPr>
    </w:p>
    <w:p>
      <w:pPr>
        <w:pStyle w:val="BodyText"/>
        <w:spacing w:line="460" w:lineRule="auto" w:before="183"/>
        <w:ind w:left="234" w:right="6028"/>
      </w:pPr>
      <w:r>
        <w:rPr>
          <w:w w:val="95"/>
        </w:rPr>
        <w:t>5 </w:t>
      </w:r>
      <w:r>
        <w:rPr>
          <w:w w:val="100"/>
        </w:rPr>
        <w:t>April </w:t>
      </w:r>
      <w:r>
        <w:rPr>
          <w:w w:val="87"/>
        </w:rPr>
        <w:t>2017 </w:t>
      </w:r>
      <w:r>
        <w:rPr>
          <w:w w:val="95"/>
        </w:rPr>
        <w:t>Dear Minister,</w:t>
      </w:r>
    </w:p>
    <w:p>
      <w:pPr>
        <w:pStyle w:val="BodyText"/>
        <w:spacing w:line="249" w:lineRule="auto"/>
        <w:ind w:left="234" w:right="4131"/>
      </w:pPr>
      <w:r>
        <w:rPr/>
        <w:t>The Board of Trustees of Western Sydney University is pleased to submit the Annual Report of the proceedings of the University and its audited Financial Statements for the year ended</w:t>
      </w:r>
    </w:p>
    <w:p>
      <w:pPr>
        <w:pStyle w:val="BodyText"/>
        <w:spacing w:line="249" w:lineRule="auto"/>
        <w:ind w:left="234" w:right="4131"/>
      </w:pPr>
      <w:r>
        <w:rPr>
          <w:w w:val="74"/>
        </w:rPr>
        <w:t>31 </w:t>
      </w:r>
      <w:r>
        <w:rPr>
          <w:w w:val="98"/>
        </w:rPr>
        <w:t>December </w:t>
      </w:r>
      <w:r>
        <w:rPr>
          <w:w w:val="85"/>
        </w:rPr>
        <w:t>2016, </w:t>
      </w:r>
      <w:r>
        <w:rPr>
          <w:w w:val="98"/>
        </w:rPr>
        <w:t>for </w:t>
      </w:r>
      <w:r>
        <w:rPr>
          <w:w w:val="98"/>
        </w:rPr>
        <w:t>your </w:t>
      </w:r>
      <w:r>
        <w:rPr>
          <w:w w:val="97"/>
        </w:rPr>
        <w:t>presentation </w:t>
      </w:r>
      <w:r>
        <w:rPr/>
        <w:t>to the New South Wales Parliament.</w:t>
      </w:r>
    </w:p>
    <w:p>
      <w:pPr>
        <w:pStyle w:val="BodyText"/>
        <w:rPr>
          <w:sz w:val="14"/>
        </w:rPr>
      </w:pPr>
    </w:p>
    <w:p>
      <w:pPr>
        <w:spacing w:line="247" w:lineRule="auto" w:before="0"/>
        <w:ind w:left="234" w:right="4150" w:firstLine="0"/>
        <w:jc w:val="left"/>
        <w:rPr>
          <w:rFonts w:ascii="Century Gothic"/>
          <w:i/>
          <w:sz w:val="16"/>
        </w:rPr>
      </w:pPr>
      <w:r>
        <w:rPr>
          <w:sz w:val="16"/>
        </w:rPr>
        <w:t>The Annual Report and Financial Statements have been prepared and submitted</w:t>
      </w:r>
      <w:r>
        <w:rPr>
          <w:spacing w:val="-27"/>
          <w:sz w:val="16"/>
        </w:rPr>
        <w:t> </w:t>
      </w:r>
      <w:r>
        <w:rPr>
          <w:sz w:val="16"/>
        </w:rPr>
        <w:t>in</w:t>
      </w:r>
      <w:r>
        <w:rPr>
          <w:spacing w:val="-27"/>
          <w:sz w:val="16"/>
        </w:rPr>
        <w:t> </w:t>
      </w:r>
      <w:r>
        <w:rPr>
          <w:sz w:val="16"/>
        </w:rPr>
        <w:t>accordance</w:t>
      </w:r>
      <w:r>
        <w:rPr>
          <w:spacing w:val="-27"/>
          <w:sz w:val="16"/>
        </w:rPr>
        <w:t> </w:t>
      </w:r>
      <w:r>
        <w:rPr>
          <w:sz w:val="16"/>
        </w:rPr>
        <w:t>with</w:t>
      </w:r>
      <w:r>
        <w:rPr>
          <w:spacing w:val="-27"/>
          <w:sz w:val="16"/>
        </w:rPr>
        <w:t> </w:t>
      </w:r>
      <w:r>
        <w:rPr>
          <w:sz w:val="16"/>
        </w:rPr>
        <w:t>the</w:t>
      </w:r>
      <w:r>
        <w:rPr>
          <w:spacing w:val="-27"/>
          <w:sz w:val="16"/>
        </w:rPr>
        <w:t> </w:t>
      </w:r>
      <w:r>
        <w:rPr>
          <w:rFonts w:ascii="Century Gothic"/>
          <w:i/>
          <w:sz w:val="16"/>
        </w:rPr>
        <w:t>Annual </w:t>
      </w:r>
      <w:r>
        <w:rPr>
          <w:rFonts w:ascii="Century Gothic"/>
          <w:i/>
          <w:w w:val="95"/>
          <w:sz w:val="16"/>
        </w:rPr>
        <w:t>Reports</w:t>
      </w:r>
      <w:r>
        <w:rPr>
          <w:rFonts w:ascii="Century Gothic"/>
          <w:i/>
          <w:spacing w:val="-24"/>
          <w:w w:val="95"/>
          <w:sz w:val="16"/>
        </w:rPr>
        <w:t> </w:t>
      </w:r>
      <w:r>
        <w:rPr>
          <w:rFonts w:ascii="Century Gothic"/>
          <w:i/>
          <w:w w:val="95"/>
          <w:sz w:val="16"/>
        </w:rPr>
        <w:t>(Statutory</w:t>
      </w:r>
      <w:r>
        <w:rPr>
          <w:rFonts w:ascii="Century Gothic"/>
          <w:i/>
          <w:spacing w:val="-24"/>
          <w:w w:val="95"/>
          <w:sz w:val="16"/>
        </w:rPr>
        <w:t> </w:t>
      </w:r>
      <w:r>
        <w:rPr>
          <w:rFonts w:ascii="Century Gothic"/>
          <w:i/>
          <w:w w:val="95"/>
          <w:sz w:val="16"/>
        </w:rPr>
        <w:t>Bodies)</w:t>
      </w:r>
      <w:r>
        <w:rPr>
          <w:rFonts w:ascii="Century Gothic"/>
          <w:i/>
          <w:spacing w:val="-24"/>
          <w:w w:val="95"/>
          <w:sz w:val="16"/>
        </w:rPr>
        <w:t> </w:t>
      </w:r>
      <w:r>
        <w:rPr>
          <w:rFonts w:ascii="Century Gothic"/>
          <w:i/>
          <w:w w:val="95"/>
          <w:sz w:val="16"/>
        </w:rPr>
        <w:t>Act</w:t>
      </w:r>
      <w:r>
        <w:rPr>
          <w:rFonts w:ascii="Century Gothic"/>
          <w:i/>
          <w:spacing w:val="-24"/>
          <w:w w:val="95"/>
          <w:sz w:val="16"/>
        </w:rPr>
        <w:t> </w:t>
      </w:r>
      <w:r>
        <w:rPr>
          <w:rFonts w:ascii="Century Gothic"/>
          <w:i/>
          <w:spacing w:val="3"/>
          <w:w w:val="95"/>
          <w:sz w:val="16"/>
        </w:rPr>
        <w:t>1984</w:t>
      </w:r>
      <w:r>
        <w:rPr>
          <w:rFonts w:ascii="Century Gothic"/>
          <w:i/>
          <w:spacing w:val="-24"/>
          <w:w w:val="95"/>
          <w:sz w:val="16"/>
        </w:rPr>
        <w:t> </w:t>
      </w:r>
      <w:r>
        <w:rPr>
          <w:rFonts w:ascii="Century Gothic"/>
          <w:i/>
          <w:w w:val="95"/>
          <w:sz w:val="16"/>
        </w:rPr>
        <w:t>and </w:t>
      </w:r>
      <w:r>
        <w:rPr>
          <w:rFonts w:ascii="Century Gothic"/>
          <w:i/>
          <w:w w:val="90"/>
          <w:sz w:val="16"/>
        </w:rPr>
        <w:t>the</w:t>
      </w:r>
      <w:r>
        <w:rPr>
          <w:rFonts w:ascii="Century Gothic"/>
          <w:i/>
          <w:spacing w:val="-18"/>
          <w:w w:val="90"/>
          <w:sz w:val="16"/>
        </w:rPr>
        <w:t> </w:t>
      </w:r>
      <w:r>
        <w:rPr>
          <w:rFonts w:ascii="Century Gothic"/>
          <w:i/>
          <w:w w:val="90"/>
          <w:sz w:val="16"/>
        </w:rPr>
        <w:t>Public</w:t>
      </w:r>
      <w:r>
        <w:rPr>
          <w:rFonts w:ascii="Century Gothic"/>
          <w:i/>
          <w:spacing w:val="-18"/>
          <w:w w:val="90"/>
          <w:sz w:val="16"/>
        </w:rPr>
        <w:t> </w:t>
      </w:r>
      <w:r>
        <w:rPr>
          <w:rFonts w:ascii="Century Gothic"/>
          <w:i/>
          <w:w w:val="90"/>
          <w:sz w:val="16"/>
        </w:rPr>
        <w:t>Finance</w:t>
      </w:r>
      <w:r>
        <w:rPr>
          <w:rFonts w:ascii="Century Gothic"/>
          <w:i/>
          <w:spacing w:val="-18"/>
          <w:w w:val="90"/>
          <w:sz w:val="16"/>
        </w:rPr>
        <w:t> </w:t>
      </w:r>
      <w:r>
        <w:rPr>
          <w:rFonts w:ascii="Century Gothic"/>
          <w:i/>
          <w:w w:val="90"/>
          <w:sz w:val="16"/>
        </w:rPr>
        <w:t>and</w:t>
      </w:r>
      <w:r>
        <w:rPr>
          <w:rFonts w:ascii="Century Gothic"/>
          <w:i/>
          <w:spacing w:val="-18"/>
          <w:w w:val="90"/>
          <w:sz w:val="16"/>
        </w:rPr>
        <w:t> </w:t>
      </w:r>
      <w:r>
        <w:rPr>
          <w:rFonts w:ascii="Century Gothic"/>
          <w:i/>
          <w:w w:val="90"/>
          <w:sz w:val="16"/>
        </w:rPr>
        <w:t>Audit</w:t>
      </w:r>
      <w:r>
        <w:rPr>
          <w:rFonts w:ascii="Century Gothic"/>
          <w:i/>
          <w:spacing w:val="-18"/>
          <w:w w:val="90"/>
          <w:sz w:val="16"/>
        </w:rPr>
        <w:t> </w:t>
      </w:r>
      <w:r>
        <w:rPr>
          <w:rFonts w:ascii="Century Gothic"/>
          <w:i/>
          <w:w w:val="90"/>
          <w:sz w:val="16"/>
        </w:rPr>
        <w:t>Act</w:t>
      </w:r>
      <w:r>
        <w:rPr>
          <w:rFonts w:ascii="Century Gothic"/>
          <w:i/>
          <w:spacing w:val="-18"/>
          <w:w w:val="90"/>
          <w:sz w:val="16"/>
        </w:rPr>
        <w:t> </w:t>
      </w:r>
      <w:r>
        <w:rPr>
          <w:rFonts w:ascii="Century Gothic"/>
          <w:i/>
          <w:spacing w:val="3"/>
          <w:w w:val="90"/>
          <w:sz w:val="16"/>
        </w:rPr>
        <w:t>1983.</w:t>
      </w:r>
    </w:p>
    <w:p>
      <w:pPr>
        <w:pStyle w:val="BodyText"/>
        <w:spacing w:before="9"/>
        <w:rPr>
          <w:rFonts w:ascii="Century Gothic"/>
          <w:i/>
          <w:sz w:val="13"/>
        </w:rPr>
      </w:pPr>
    </w:p>
    <w:p>
      <w:pPr>
        <w:pStyle w:val="BodyText"/>
        <w:ind w:left="234" w:right="5607"/>
      </w:pPr>
      <w:r>
        <w:rPr>
          <w:w w:val="95"/>
        </w:rPr>
        <w:t>Yours sincerely,</w:t>
      </w:r>
    </w:p>
    <w:p>
      <w:pPr>
        <w:pStyle w:val="BodyText"/>
        <w:spacing w:before="3"/>
        <w:rPr>
          <w:sz w:val="15"/>
        </w:rPr>
      </w:pPr>
    </w:p>
    <w:p>
      <w:pPr>
        <w:pStyle w:val="BodyText"/>
        <w:spacing w:line="194" w:lineRule="exact"/>
        <w:ind w:left="234" w:right="4131"/>
        <w:rPr>
          <w:rFonts w:ascii="Calibri"/>
        </w:rPr>
      </w:pPr>
      <w:r>
        <w:rPr>
          <w:rFonts w:ascii="Calibri"/>
          <w:w w:val="110"/>
        </w:rPr>
        <w:t>Professor Peter Shergold, AC</w:t>
      </w:r>
    </w:p>
    <w:p>
      <w:pPr>
        <w:pStyle w:val="BodyText"/>
        <w:spacing w:line="192" w:lineRule="exact"/>
        <w:ind w:left="234" w:right="5607"/>
      </w:pPr>
      <w:r>
        <w:rPr/>
        <w:t>Chancellor</w:t>
      </w:r>
    </w:p>
    <w:p>
      <w:pPr>
        <w:pStyle w:val="BodyText"/>
        <w:spacing w:before="3"/>
        <w:rPr>
          <w:sz w:val="15"/>
        </w:rPr>
      </w:pPr>
    </w:p>
    <w:p>
      <w:pPr>
        <w:pStyle w:val="BodyText"/>
        <w:spacing w:line="194" w:lineRule="exact"/>
        <w:ind w:left="234" w:right="4131"/>
        <w:rPr>
          <w:rFonts w:ascii="Calibri"/>
        </w:rPr>
      </w:pPr>
      <w:r>
        <w:rPr>
          <w:rFonts w:ascii="Calibri"/>
          <w:w w:val="110"/>
        </w:rPr>
        <w:t>Professor Barney Glover</w:t>
      </w:r>
    </w:p>
    <w:p>
      <w:pPr>
        <w:pStyle w:val="BodyText"/>
        <w:spacing w:line="192" w:lineRule="exact"/>
        <w:ind w:left="234" w:right="4131"/>
      </w:pPr>
      <w:r>
        <w:rPr/>
        <w:t>Vice-Chancellor and President</w:t>
      </w:r>
    </w:p>
    <w:p>
      <w:pPr>
        <w:spacing w:after="0" w:line="192" w:lineRule="exact"/>
        <w:sectPr>
          <w:type w:val="continuous"/>
          <w:pgSz w:w="11910" w:h="16840"/>
          <w:pgMar w:top="1580" w:bottom="280" w:left="580" w:right="580"/>
          <w:cols w:num="2" w:equalWidth="0">
            <w:col w:w="3492" w:space="40"/>
            <w:col w:w="7218"/>
          </w:cols>
        </w:sectPr>
      </w:pPr>
    </w:p>
    <w:p>
      <w:pPr>
        <w:pStyle w:val="BodyText"/>
        <w:spacing w:before="9"/>
        <w:rPr>
          <w:sz w:val="28"/>
        </w:rPr>
      </w:pPr>
    </w:p>
    <w:p>
      <w:pPr>
        <w:pStyle w:val="Heading2"/>
        <w:spacing w:line="240" w:lineRule="auto" w:before="27"/>
        <w:ind w:right="6763"/>
        <w:rPr>
          <w:b w:val="0"/>
        </w:rPr>
      </w:pPr>
      <w:r>
        <w:rPr>
          <w:b w:val="0"/>
        </w:rPr>
        <w:t>Contents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5"/>
        <w:rPr>
          <w:rFonts w:ascii="Chronicle Text G1"/>
          <w:b w:val="0"/>
          <w:sz w:val="25"/>
        </w:rPr>
      </w:pPr>
    </w:p>
    <w:p>
      <w:pPr>
        <w:spacing w:after="0"/>
        <w:rPr>
          <w:rFonts w:ascii="Chronicle Text G1"/>
          <w:sz w:val="25"/>
        </w:rPr>
        <w:sectPr>
          <w:pgSz w:w="11910" w:h="16840"/>
          <w:pgMar w:header="496" w:footer="472" w:top="680" w:bottom="660" w:left="800" w:right="800"/>
        </w:sectPr>
      </w:pPr>
    </w:p>
    <w:sdt>
      <w:sdtPr>
        <w:docPartObj>
          <w:docPartGallery w:val="Table of Contents"/>
          <w:docPartUnique/>
        </w:docPartObj>
      </w:sdtPr>
      <w:sdtEndPr/>
      <w:sdtContent>
        <w:p>
          <w:pPr>
            <w:pStyle w:val="TOC1"/>
            <w:tabs>
              <w:tab w:pos="3315" w:val="right" w:leader="none"/>
            </w:tabs>
            <w:spacing w:before="72"/>
          </w:pPr>
          <w:r>
            <w:rPr>
              <w:spacing w:val="2"/>
            </w:rPr>
            <w:t>THE YEAR</w:t>
          </w:r>
          <w:r>
            <w:rPr>
              <w:spacing w:val="-15"/>
            </w:rPr>
            <w:t> </w:t>
          </w:r>
          <w:r>
            <w:rPr/>
            <w:t>IN</w:t>
          </w:r>
          <w:r>
            <w:rPr>
              <w:spacing w:val="-7"/>
            </w:rPr>
            <w:t> </w:t>
          </w:r>
          <w:r>
            <w:rPr>
              <w:spacing w:val="2"/>
            </w:rPr>
            <w:t>REVIEW</w:t>
            <w:tab/>
          </w:r>
          <w:r>
            <w:rPr/>
            <w:t>4</w:t>
          </w:r>
        </w:p>
        <w:p>
          <w:pPr>
            <w:pStyle w:val="TOC1"/>
            <w:tabs>
              <w:tab w:pos="3315" w:val="right" w:leader="none"/>
            </w:tabs>
            <w:spacing w:before="234"/>
          </w:pPr>
          <w:r>
            <w:rPr/>
            <w:t>FIVE </w:t>
          </w:r>
          <w:r>
            <w:rPr>
              <w:spacing w:val="2"/>
            </w:rPr>
            <w:t>YEAR </w:t>
          </w:r>
          <w:r>
            <w:rPr/>
            <w:t>–</w:t>
          </w:r>
          <w:r>
            <w:rPr>
              <w:spacing w:val="-25"/>
            </w:rPr>
            <w:t> </w:t>
          </w:r>
          <w:r>
            <w:rPr>
              <w:spacing w:val="2"/>
            </w:rPr>
            <w:t>KEY</w:t>
          </w:r>
          <w:r>
            <w:rPr>
              <w:spacing w:val="-8"/>
            </w:rPr>
            <w:t> </w:t>
          </w:r>
          <w:r>
            <w:rPr/>
            <w:t>STATISTICS</w:t>
            <w:tab/>
            <w:t>5</w:t>
          </w:r>
        </w:p>
        <w:p>
          <w:pPr>
            <w:pStyle w:val="TOC1"/>
            <w:tabs>
              <w:tab w:pos="3315" w:val="right" w:leader="none"/>
            </w:tabs>
            <w:spacing w:before="234"/>
          </w:pPr>
          <w:hyperlink w:history="true" w:anchor="_TOC_250053">
            <w:r>
              <w:rPr>
                <w:spacing w:val="2"/>
              </w:rPr>
              <w:t>THE</w:t>
            </w:r>
            <w:r>
              <w:rPr>
                <w:spacing w:val="-7"/>
              </w:rPr>
              <w:t> </w:t>
            </w:r>
            <w:r>
              <w:rPr/>
              <w:t>ORGANISATION</w:t>
              <w:tab/>
              <w:t>7</w:t>
            </w:r>
          </w:hyperlink>
        </w:p>
        <w:p>
          <w:pPr>
            <w:pStyle w:val="TOC2"/>
            <w:tabs>
              <w:tab w:pos="3315" w:val="right" w:leader="none"/>
            </w:tabs>
            <w:spacing w:before="115"/>
          </w:pPr>
          <w:hyperlink w:history="true" w:anchor="_TOC_250052">
            <w:r>
              <w:rPr/>
              <w:t>Charter, Purpose</w:t>
            </w:r>
            <w:r>
              <w:rPr>
                <w:spacing w:val="-27"/>
              </w:rPr>
              <w:t> </w:t>
            </w:r>
            <w:r>
              <w:rPr/>
              <w:t>and</w:t>
            </w:r>
            <w:r>
              <w:rPr>
                <w:spacing w:val="-14"/>
              </w:rPr>
              <w:t> </w:t>
            </w:r>
            <w:r>
              <w:rPr/>
              <w:t>Legislation</w:t>
              <w:tab/>
              <w:t>7</w:t>
            </w:r>
          </w:hyperlink>
        </w:p>
        <w:p>
          <w:pPr>
            <w:pStyle w:val="TOC2"/>
            <w:tabs>
              <w:tab w:pos="3315" w:val="right" w:leader="none"/>
            </w:tabs>
          </w:pPr>
          <w:hyperlink w:history="true" w:anchor="_TOC_250051">
            <w:r>
              <w:rPr/>
              <w:t>Board</w:t>
            </w:r>
            <w:r>
              <w:rPr>
                <w:spacing w:val="-13"/>
              </w:rPr>
              <w:t> </w:t>
            </w:r>
            <w:r>
              <w:rPr/>
              <w:t>of</w:t>
            </w:r>
            <w:r>
              <w:rPr>
                <w:spacing w:val="-13"/>
              </w:rPr>
              <w:t> </w:t>
            </w:r>
            <w:r>
              <w:rPr/>
              <w:t>Trustees</w:t>
              <w:tab/>
              <w:t>7</w:t>
            </w:r>
          </w:hyperlink>
        </w:p>
        <w:p>
          <w:pPr>
            <w:pStyle w:val="TOC2"/>
            <w:tabs>
              <w:tab w:pos="3315" w:val="right" w:leader="none"/>
            </w:tabs>
          </w:pPr>
          <w:hyperlink w:history="true" w:anchor="_TOC_250050">
            <w:r>
              <w:rPr/>
              <w:t>Academic</w:t>
            </w:r>
            <w:r>
              <w:rPr>
                <w:spacing w:val="-12"/>
              </w:rPr>
              <w:t> </w:t>
            </w:r>
            <w:r>
              <w:rPr/>
              <w:t>Senate</w:t>
              <w:tab/>
              <w:t>8</w:t>
            </w:r>
          </w:hyperlink>
        </w:p>
        <w:p>
          <w:pPr>
            <w:pStyle w:val="TOC2"/>
            <w:tabs>
              <w:tab w:pos="3315" w:val="right" w:leader="none"/>
            </w:tabs>
          </w:pPr>
          <w:hyperlink w:history="true" w:anchor="_TOC_250049">
            <w:r>
              <w:rPr/>
              <w:t>Code</w:t>
            </w:r>
            <w:r>
              <w:rPr>
                <w:spacing w:val="-12"/>
              </w:rPr>
              <w:t> </w:t>
            </w:r>
            <w:r>
              <w:rPr/>
              <w:t>of</w:t>
            </w:r>
            <w:r>
              <w:rPr>
                <w:spacing w:val="-12"/>
              </w:rPr>
              <w:t> </w:t>
            </w:r>
            <w:r>
              <w:rPr/>
              <w:t>Conduct</w:t>
              <w:tab/>
              <w:t>8</w:t>
            </w:r>
          </w:hyperlink>
        </w:p>
        <w:p>
          <w:pPr>
            <w:pStyle w:val="TOC1"/>
            <w:tabs>
              <w:tab w:pos="3315" w:val="right" w:leader="none"/>
            </w:tabs>
          </w:pPr>
          <w:hyperlink w:history="true" w:anchor="_TOC_250048">
            <w:r>
              <w:rPr/>
              <w:t>QUALITY </w:t>
            </w:r>
            <w:r>
              <w:rPr>
                <w:spacing w:val="2"/>
              </w:rPr>
              <w:t>AND</w:t>
            </w:r>
            <w:r>
              <w:rPr>
                <w:spacing w:val="-27"/>
              </w:rPr>
              <w:t> </w:t>
            </w:r>
            <w:r>
              <w:rPr>
                <w:spacing w:val="2"/>
              </w:rPr>
              <w:t>CONSUMER</w:t>
            </w:r>
            <w:r>
              <w:rPr>
                <w:spacing w:val="-14"/>
              </w:rPr>
              <w:t> </w:t>
            </w:r>
            <w:r>
              <w:rPr>
                <w:spacing w:val="2"/>
              </w:rPr>
              <w:t>RESPONSE</w:t>
              <w:tab/>
            </w:r>
            <w:r>
              <w:rPr/>
              <w:t>10</w:t>
            </w:r>
          </w:hyperlink>
        </w:p>
        <w:p>
          <w:pPr>
            <w:pStyle w:val="TOC2"/>
            <w:tabs>
              <w:tab w:pos="3315" w:val="right" w:leader="none"/>
            </w:tabs>
            <w:spacing w:before="115"/>
          </w:pPr>
          <w:hyperlink w:history="true" w:anchor="_TOC_250047">
            <w:r>
              <w:rPr>
                <w:spacing w:val="4"/>
                <w:w w:val="100"/>
              </w:rPr>
              <w:t>Q</w:t>
            </w:r>
            <w:r>
              <w:rPr>
                <w:spacing w:val="2"/>
                <w:w w:val="95"/>
              </w:rPr>
              <w:t>u</w:t>
            </w:r>
            <w:r>
              <w:rPr>
                <w:spacing w:val="2"/>
                <w:w w:val="94"/>
              </w:rPr>
              <w:t>a</w:t>
            </w:r>
            <w:r>
              <w:rPr>
                <w:w w:val="95"/>
              </w:rPr>
              <w:t>li</w:t>
            </w:r>
            <w:r>
              <w:rPr>
                <w:spacing w:val="4"/>
                <w:w w:val="102"/>
              </w:rPr>
              <w:t>t</w:t>
            </w:r>
            <w:r>
              <w:rPr>
                <w:w w:val="101"/>
              </w:rPr>
              <w:t>y</w:t>
            </w:r>
            <w:r>
              <w:rPr>
                <w:spacing w:val="-12"/>
              </w:rPr>
              <w:t> </w:t>
            </w:r>
            <w:r>
              <w:rPr>
                <w:spacing w:val="2"/>
                <w:w w:val="94"/>
              </w:rPr>
              <w:t>a</w:t>
            </w:r>
            <w:r>
              <w:rPr>
                <w:spacing w:val="2"/>
                <w:w w:val="95"/>
              </w:rPr>
              <w:t>n</w:t>
            </w:r>
            <w:r>
              <w:rPr>
                <w:w w:val="102"/>
              </w:rPr>
              <w:t>d</w:t>
            </w:r>
            <w:r>
              <w:rPr>
                <w:spacing w:val="-12"/>
              </w:rPr>
              <w:t> </w:t>
            </w:r>
            <w:r>
              <w:rPr>
                <w:spacing w:val="1"/>
                <w:w w:val="104"/>
              </w:rPr>
              <w:t>P</w:t>
            </w:r>
            <w:r>
              <w:rPr>
                <w:spacing w:val="2"/>
                <w:w w:val="95"/>
              </w:rPr>
              <w:t>e</w:t>
            </w:r>
            <w:r>
              <w:rPr>
                <w:spacing w:val="5"/>
                <w:w w:val="95"/>
              </w:rPr>
              <w:t>r</w:t>
            </w:r>
            <w:r>
              <w:rPr>
                <w:w w:val="98"/>
              </w:rPr>
              <w:t>f</w:t>
            </w:r>
            <w:r>
              <w:rPr>
                <w:spacing w:val="2"/>
                <w:w w:val="100"/>
              </w:rPr>
              <w:t>o</w:t>
            </w:r>
            <w:r>
              <w:rPr>
                <w:spacing w:val="2"/>
                <w:w w:val="95"/>
              </w:rPr>
              <w:t>r</w:t>
            </w:r>
            <w:r>
              <w:rPr>
                <w:spacing w:val="2"/>
                <w:w w:val="98"/>
              </w:rPr>
              <w:t>m</w:t>
            </w:r>
            <w:r>
              <w:rPr>
                <w:spacing w:val="2"/>
                <w:w w:val="94"/>
              </w:rPr>
              <w:t>a</w:t>
            </w:r>
            <w:r>
              <w:rPr>
                <w:spacing w:val="2"/>
                <w:w w:val="95"/>
              </w:rPr>
              <w:t>n</w:t>
            </w:r>
            <w:r>
              <w:rPr>
                <w:w w:val="102"/>
              </w:rPr>
              <w:t>c</w:t>
            </w:r>
            <w:r>
              <w:rPr>
                <w:w w:val="95"/>
              </w:rPr>
              <w:t>e</w:t>
            </w:r>
            <w:r>
              <w:rPr>
                <w:w w:val="76"/>
              </w:rPr>
              <w:t> </w:t>
            </w:r>
            <w:r>
              <w:rPr/>
              <w:tab/>
            </w:r>
            <w:r>
              <w:rPr>
                <w:spacing w:val="4"/>
                <w:w w:val="54"/>
              </w:rPr>
              <w:t>1</w:t>
            </w:r>
            <w:r>
              <w:rPr>
                <w:w w:val="111"/>
              </w:rPr>
              <w:t>0</w:t>
            </w:r>
          </w:hyperlink>
        </w:p>
        <w:p>
          <w:pPr>
            <w:pStyle w:val="TOC2"/>
            <w:tabs>
              <w:tab w:pos="3315" w:val="right" w:leader="none"/>
            </w:tabs>
          </w:pPr>
          <w:hyperlink w:history="true" w:anchor="_TOC_250046">
            <w:r>
              <w:rPr>
                <w:w w:val="90"/>
              </w:rPr>
              <w:t>Library</w:t>
              <w:tab/>
              <w:t>11</w:t>
            </w:r>
          </w:hyperlink>
        </w:p>
        <w:p>
          <w:pPr>
            <w:pStyle w:val="TOC1"/>
            <w:tabs>
              <w:tab w:pos="3315" w:val="right" w:leader="none"/>
            </w:tabs>
          </w:pPr>
          <w:hyperlink w:history="true" w:anchor="_TOC_250045">
            <w:r>
              <w:rPr>
                <w:spacing w:val="2"/>
              </w:rPr>
              <w:t>LEARNING</w:t>
            </w:r>
            <w:r>
              <w:rPr>
                <w:spacing w:val="-8"/>
              </w:rPr>
              <w:t> </w:t>
            </w:r>
            <w:r>
              <w:rPr>
                <w:spacing w:val="2"/>
              </w:rPr>
              <w:t>AND</w:t>
            </w:r>
            <w:r>
              <w:rPr>
                <w:spacing w:val="-8"/>
              </w:rPr>
              <w:t> </w:t>
            </w:r>
            <w:r>
              <w:rPr>
                <w:spacing w:val="2"/>
              </w:rPr>
              <w:t>TEACHING</w:t>
              <w:tab/>
            </w:r>
            <w:r>
              <w:rPr/>
              <w:t>13</w:t>
            </w:r>
          </w:hyperlink>
        </w:p>
        <w:p>
          <w:pPr>
            <w:pStyle w:val="TOC2"/>
            <w:tabs>
              <w:tab w:pos="3315" w:val="right" w:leader="none"/>
            </w:tabs>
            <w:spacing w:before="115"/>
          </w:pPr>
          <w:hyperlink w:history="true" w:anchor="_TOC_250044">
            <w:r>
              <w:rPr/>
              <w:t>International</w:t>
              <w:tab/>
              <w:t>13</w:t>
            </w:r>
          </w:hyperlink>
        </w:p>
        <w:p>
          <w:pPr>
            <w:pStyle w:val="TOC2"/>
            <w:tabs>
              <w:tab w:pos="3315" w:val="right" w:leader="none"/>
            </w:tabs>
          </w:pPr>
          <w:hyperlink w:history="true" w:anchor="_TOC_250043">
            <w:r>
              <w:rPr/>
              <w:t>Learning</w:t>
            </w:r>
            <w:r>
              <w:rPr>
                <w:spacing w:val="-13"/>
              </w:rPr>
              <w:t> </w:t>
            </w:r>
            <w:r>
              <w:rPr/>
              <w:t>Futures</w:t>
              <w:tab/>
              <w:t>14</w:t>
            </w:r>
          </w:hyperlink>
        </w:p>
        <w:p>
          <w:pPr>
            <w:pStyle w:val="TOC2"/>
            <w:tabs>
              <w:tab w:pos="3315" w:val="right" w:leader="none"/>
            </w:tabs>
          </w:pPr>
          <w:r>
            <w:rPr/>
            <w:t>Whitlam</w:t>
          </w:r>
          <w:r>
            <w:rPr>
              <w:spacing w:val="-14"/>
            </w:rPr>
            <w:t> </w:t>
          </w:r>
          <w:r>
            <w:rPr/>
            <w:t>Institute</w:t>
            <w:tab/>
            <w:t>16</w:t>
          </w:r>
        </w:p>
        <w:p>
          <w:pPr>
            <w:pStyle w:val="TOC2"/>
            <w:tabs>
              <w:tab w:pos="3315" w:val="right" w:leader="none"/>
            </w:tabs>
          </w:pPr>
          <w:hyperlink w:history="true" w:anchor="_TOC_250042">
            <w:r>
              <w:rPr/>
              <w:t>The</w:t>
            </w:r>
            <w:r>
              <w:rPr>
                <w:spacing w:val="-13"/>
              </w:rPr>
              <w:t> </w:t>
            </w:r>
            <w:r>
              <w:rPr/>
              <w:t>Academy</w:t>
              <w:tab/>
              <w:t>18</w:t>
            </w:r>
          </w:hyperlink>
        </w:p>
        <w:p>
          <w:pPr>
            <w:pStyle w:val="TOC2"/>
            <w:tabs>
              <w:tab w:pos="3315" w:val="right" w:leader="none"/>
            </w:tabs>
          </w:pPr>
          <w:r>
            <w:rPr/>
            <w:t>The</w:t>
          </w:r>
          <w:r>
            <w:rPr>
              <w:spacing w:val="-13"/>
            </w:rPr>
            <w:t> </w:t>
          </w:r>
          <w:r>
            <w:rPr/>
            <w:t>College</w:t>
            <w:tab/>
            <w:t>19</w:t>
          </w:r>
        </w:p>
        <w:p>
          <w:pPr>
            <w:pStyle w:val="TOC2"/>
          </w:pPr>
          <w:r>
            <w:rPr/>
            <w:t>Engagement and Aboriginal and</w:t>
          </w:r>
        </w:p>
        <w:p>
          <w:pPr>
            <w:pStyle w:val="TOC2"/>
            <w:tabs>
              <w:tab w:pos="3315" w:val="right" w:leader="none"/>
            </w:tabs>
            <w:spacing w:before="7"/>
          </w:pPr>
          <w:r>
            <w:rPr/>
            <w:t>Torres Strait</w:t>
          </w:r>
          <w:r>
            <w:rPr>
              <w:spacing w:val="-32"/>
            </w:rPr>
            <w:t> </w:t>
          </w:r>
          <w:r>
            <w:rPr/>
            <w:t>Islander</w:t>
          </w:r>
          <w:r>
            <w:rPr>
              <w:spacing w:val="-16"/>
            </w:rPr>
            <w:t> </w:t>
          </w:r>
          <w:r>
            <w:rPr/>
            <w:t>Leadership</w:t>
            <w:tab/>
            <w:t>19</w:t>
          </w:r>
        </w:p>
        <w:p>
          <w:pPr>
            <w:pStyle w:val="TOC1"/>
            <w:tabs>
              <w:tab w:pos="3315" w:val="right" w:leader="none"/>
            </w:tabs>
          </w:pPr>
          <w:hyperlink w:history="true" w:anchor="_TOC_250041">
            <w:r>
              <w:rPr>
                <w:spacing w:val="2"/>
              </w:rPr>
              <w:t>REVIEW</w:t>
            </w:r>
            <w:r>
              <w:rPr>
                <w:spacing w:val="-7"/>
              </w:rPr>
              <w:t> </w:t>
            </w:r>
            <w:r>
              <w:rPr/>
              <w:t>OF</w:t>
            </w:r>
            <w:r>
              <w:rPr>
                <w:spacing w:val="-7"/>
              </w:rPr>
              <w:t> </w:t>
            </w:r>
            <w:r>
              <w:rPr/>
              <w:t>ACTIVITIES</w:t>
              <w:tab/>
              <w:t>22</w:t>
            </w:r>
          </w:hyperlink>
        </w:p>
        <w:p>
          <w:pPr>
            <w:pStyle w:val="TOC2"/>
            <w:tabs>
              <w:tab w:pos="3315" w:val="right" w:leader="none"/>
            </w:tabs>
            <w:spacing w:before="115"/>
          </w:pPr>
          <w:hyperlink w:history="true" w:anchor="_TOC_250040">
            <w:r>
              <w:rPr/>
              <w:t>School</w:t>
            </w:r>
            <w:r>
              <w:rPr>
                <w:spacing w:val="-13"/>
              </w:rPr>
              <w:t> </w:t>
            </w:r>
            <w:r>
              <w:rPr/>
              <w:t>of</w:t>
            </w:r>
            <w:r>
              <w:rPr>
                <w:spacing w:val="-13"/>
              </w:rPr>
              <w:t> </w:t>
            </w:r>
            <w:r>
              <w:rPr/>
              <w:t>Business</w:t>
              <w:tab/>
            </w:r>
            <w:r>
              <w:rPr>
                <w:spacing w:val="2"/>
              </w:rPr>
              <w:t>22</w:t>
            </w:r>
          </w:hyperlink>
        </w:p>
        <w:p>
          <w:pPr>
            <w:pStyle w:val="TOC2"/>
          </w:pPr>
          <w:r>
            <w:rPr/>
            <w:t>School of Computing,</w:t>
          </w:r>
        </w:p>
        <w:p>
          <w:pPr>
            <w:pStyle w:val="TOC2"/>
            <w:tabs>
              <w:tab w:pos="3315" w:val="right" w:leader="none"/>
            </w:tabs>
            <w:spacing w:before="7"/>
          </w:pPr>
          <w:r>
            <w:rPr/>
            <w:t>Engineering</w:t>
          </w:r>
          <w:r>
            <w:rPr>
              <w:spacing w:val="-13"/>
            </w:rPr>
            <w:t> </w:t>
          </w:r>
          <w:r>
            <w:rPr/>
            <w:t>and</w:t>
          </w:r>
          <w:r>
            <w:rPr>
              <w:spacing w:val="-13"/>
            </w:rPr>
            <w:t> </w:t>
          </w:r>
          <w:r>
            <w:rPr/>
            <w:t>Mathematics</w:t>
            <w:tab/>
            <w:t>23</w:t>
          </w:r>
        </w:p>
        <w:p>
          <w:pPr>
            <w:pStyle w:val="TOC2"/>
            <w:tabs>
              <w:tab w:pos="3315" w:val="right" w:leader="none"/>
            </w:tabs>
          </w:pPr>
          <w:hyperlink w:history="true" w:anchor="_TOC_250039">
            <w:r>
              <w:rPr/>
              <w:t>School</w:t>
            </w:r>
            <w:r>
              <w:rPr>
                <w:spacing w:val="-13"/>
              </w:rPr>
              <w:t> </w:t>
            </w:r>
            <w:r>
              <w:rPr/>
              <w:t>of</w:t>
            </w:r>
            <w:r>
              <w:rPr>
                <w:spacing w:val="-13"/>
              </w:rPr>
              <w:t> </w:t>
            </w:r>
            <w:r>
              <w:rPr/>
              <w:t>Education</w:t>
              <w:tab/>
              <w:t>27</w:t>
            </w:r>
          </w:hyperlink>
        </w:p>
        <w:p>
          <w:pPr>
            <w:pStyle w:val="TOC2"/>
          </w:pPr>
          <w:r>
            <w:rPr/>
            <w:t>School of Humanities</w:t>
          </w:r>
        </w:p>
        <w:p>
          <w:pPr>
            <w:pStyle w:val="TOC2"/>
            <w:tabs>
              <w:tab w:pos="3315" w:val="right" w:leader="none"/>
            </w:tabs>
            <w:spacing w:before="7"/>
          </w:pPr>
          <w:r>
            <w:rPr/>
            <w:t>and</w:t>
          </w:r>
          <w:r>
            <w:rPr>
              <w:spacing w:val="-12"/>
            </w:rPr>
            <w:t> </w:t>
          </w:r>
          <w:r>
            <w:rPr/>
            <w:t>Communication</w:t>
          </w:r>
          <w:r>
            <w:rPr>
              <w:spacing w:val="-12"/>
            </w:rPr>
            <w:t> </w:t>
          </w:r>
          <w:r>
            <w:rPr>
              <w:spacing w:val="2"/>
            </w:rPr>
            <w:t>Arts</w:t>
            <w:tab/>
          </w:r>
          <w:r>
            <w:rPr/>
            <w:t>29</w:t>
          </w:r>
        </w:p>
        <w:p>
          <w:pPr>
            <w:pStyle w:val="TOC2"/>
            <w:tabs>
              <w:tab w:pos="3315" w:val="right" w:leader="none"/>
            </w:tabs>
          </w:pPr>
          <w:hyperlink w:history="true" w:anchor="_TOC_250038">
            <w:r>
              <w:rPr/>
              <w:t>School</w:t>
            </w:r>
            <w:r>
              <w:rPr>
                <w:spacing w:val="-12"/>
              </w:rPr>
              <w:t> </w:t>
            </w:r>
            <w:r>
              <w:rPr/>
              <w:t>of</w:t>
            </w:r>
            <w:r>
              <w:rPr>
                <w:spacing w:val="-12"/>
              </w:rPr>
              <w:t> </w:t>
            </w:r>
            <w:r>
              <w:rPr/>
              <w:t>Law</w:t>
              <w:tab/>
              <w:t>30</w:t>
            </w:r>
          </w:hyperlink>
        </w:p>
        <w:p>
          <w:pPr>
            <w:pStyle w:val="TOC2"/>
            <w:tabs>
              <w:tab w:pos="3315" w:val="right" w:leader="none"/>
            </w:tabs>
          </w:pPr>
          <w:hyperlink w:history="true" w:anchor="_TOC_250037">
            <w:r>
              <w:rPr/>
              <w:t>School</w:t>
            </w:r>
            <w:r>
              <w:rPr>
                <w:spacing w:val="-13"/>
              </w:rPr>
              <w:t> </w:t>
            </w:r>
            <w:r>
              <w:rPr/>
              <w:t>of</w:t>
            </w:r>
            <w:r>
              <w:rPr>
                <w:spacing w:val="-13"/>
              </w:rPr>
              <w:t> </w:t>
            </w:r>
            <w:r>
              <w:rPr/>
              <w:t>Medicine</w:t>
              <w:tab/>
            </w:r>
            <w:r>
              <w:rPr>
                <w:spacing w:val="2"/>
              </w:rPr>
              <w:t>31</w:t>
            </w:r>
          </w:hyperlink>
        </w:p>
        <w:p>
          <w:pPr>
            <w:pStyle w:val="TOC2"/>
            <w:tabs>
              <w:tab w:pos="3315" w:val="right" w:leader="none"/>
            </w:tabs>
          </w:pPr>
          <w:hyperlink w:history="true" w:anchor="_TOC_250036">
            <w:r>
              <w:rPr/>
              <w:t>School of Nursing</w:t>
            </w:r>
            <w:r>
              <w:rPr>
                <w:spacing w:val="-37"/>
              </w:rPr>
              <w:t> </w:t>
            </w:r>
            <w:r>
              <w:rPr/>
              <w:t>and</w:t>
            </w:r>
            <w:r>
              <w:rPr>
                <w:spacing w:val="-13"/>
              </w:rPr>
              <w:t> </w:t>
            </w:r>
            <w:r>
              <w:rPr/>
              <w:t>Midwifery</w:t>
              <w:tab/>
              <w:t>33</w:t>
            </w:r>
          </w:hyperlink>
        </w:p>
        <w:p>
          <w:pPr>
            <w:pStyle w:val="TOC2"/>
            <w:tabs>
              <w:tab w:pos="3315" w:val="right" w:leader="none"/>
            </w:tabs>
          </w:pPr>
          <w:r>
            <w:rPr/>
            <w:t>School of Science</w:t>
          </w:r>
          <w:r>
            <w:rPr>
              <w:spacing w:val="-37"/>
            </w:rPr>
            <w:t> </w:t>
          </w:r>
          <w:r>
            <w:rPr/>
            <w:t>and</w:t>
          </w:r>
          <w:r>
            <w:rPr>
              <w:spacing w:val="-13"/>
            </w:rPr>
            <w:t> </w:t>
          </w:r>
          <w:r>
            <w:rPr/>
            <w:t>Health</w:t>
            <w:tab/>
            <w:t>39</w:t>
          </w:r>
        </w:p>
        <w:p>
          <w:pPr>
            <w:pStyle w:val="TOC2"/>
            <w:tabs>
              <w:tab w:pos="3315" w:val="right" w:leader="none"/>
            </w:tabs>
          </w:pPr>
          <w:hyperlink w:history="true" w:anchor="_TOC_250035">
            <w:r>
              <w:rPr/>
              <w:t>School</w:t>
            </w:r>
            <w:r>
              <w:rPr>
                <w:spacing w:val="-14"/>
              </w:rPr>
              <w:t> </w:t>
            </w:r>
            <w:r>
              <w:rPr/>
              <w:t>of</w:t>
            </w:r>
            <w:r>
              <w:rPr>
                <w:spacing w:val="-14"/>
              </w:rPr>
              <w:t> </w:t>
            </w:r>
            <w:r>
              <w:rPr/>
              <w:t>Social</w:t>
            </w:r>
            <w:r>
              <w:rPr>
                <w:spacing w:val="-14"/>
              </w:rPr>
              <w:t> </w:t>
            </w:r>
            <w:r>
              <w:rPr/>
              <w:t>Sciences</w:t>
            </w:r>
            <w:r>
              <w:rPr>
                <w:spacing w:val="-14"/>
              </w:rPr>
              <w:t> </w:t>
            </w:r>
            <w:r>
              <w:rPr/>
              <w:t>and</w:t>
            </w:r>
            <w:r>
              <w:rPr>
                <w:spacing w:val="-14"/>
              </w:rPr>
              <w:t> </w:t>
            </w:r>
            <w:r>
              <w:rPr/>
              <w:t>Psychology</w:t>
              <w:tab/>
              <w:t>41</w:t>
            </w:r>
          </w:hyperlink>
        </w:p>
        <w:p>
          <w:pPr>
            <w:pStyle w:val="TOC1"/>
            <w:tabs>
              <w:tab w:pos="3315" w:val="right" w:leader="none"/>
            </w:tabs>
            <w:spacing w:before="73"/>
          </w:pPr>
          <w:hyperlink w:history="true" w:anchor="_TOC_250034">
            <w:r>
              <w:rPr>
                <w:b w:val="0"/>
              </w:rPr>
              <w:br w:type="column"/>
            </w:r>
            <w:r>
              <w:rPr/>
              <w:t>PEOPLE</w:t>
            </w:r>
            <w:r>
              <w:rPr>
                <w:spacing w:val="-8"/>
              </w:rPr>
              <w:t> </w:t>
            </w:r>
            <w:r>
              <w:rPr>
                <w:spacing w:val="2"/>
              </w:rPr>
              <w:t>AND</w:t>
            </w:r>
            <w:r>
              <w:rPr>
                <w:spacing w:val="-8"/>
              </w:rPr>
              <w:t> </w:t>
            </w:r>
            <w:r>
              <w:rPr/>
              <w:t>ADVANCEMENT</w:t>
              <w:tab/>
              <w:t>45</w:t>
            </w:r>
          </w:hyperlink>
        </w:p>
        <w:p>
          <w:pPr>
            <w:pStyle w:val="TOC2"/>
            <w:tabs>
              <w:tab w:pos="3315" w:val="right" w:leader="none"/>
            </w:tabs>
            <w:spacing w:before="115"/>
          </w:pPr>
          <w:hyperlink w:history="true" w:anchor="_TOC_250033">
            <w:r>
              <w:rPr/>
              <w:t>Student</w:t>
            </w:r>
            <w:r>
              <w:rPr>
                <w:spacing w:val="-12"/>
              </w:rPr>
              <w:t> </w:t>
            </w:r>
            <w:r>
              <w:rPr/>
              <w:t>Experience</w:t>
            </w:r>
            <w:r>
              <w:rPr>
                <w:spacing w:val="-12"/>
              </w:rPr>
              <w:t> </w:t>
            </w:r>
            <w:r>
              <w:rPr/>
              <w:t>Office</w:t>
              <w:tab/>
              <w:t>45</w:t>
            </w:r>
          </w:hyperlink>
        </w:p>
        <w:p>
          <w:pPr>
            <w:pStyle w:val="TOC2"/>
            <w:tabs>
              <w:tab w:pos="3315" w:val="right" w:leader="none"/>
            </w:tabs>
          </w:pPr>
          <w:r>
            <w:rPr/>
            <w:t>Campus Safety</w:t>
          </w:r>
          <w:r>
            <w:rPr>
              <w:spacing w:val="-24"/>
            </w:rPr>
            <w:t> </w:t>
          </w:r>
          <w:r>
            <w:rPr/>
            <w:t>and</w:t>
          </w:r>
          <w:r>
            <w:rPr>
              <w:spacing w:val="-12"/>
            </w:rPr>
            <w:t> </w:t>
          </w:r>
          <w:r>
            <w:rPr/>
            <w:t>Security</w:t>
            <w:tab/>
            <w:t>46</w:t>
          </w:r>
        </w:p>
        <w:p>
          <w:pPr>
            <w:pStyle w:val="TOC2"/>
            <w:tabs>
              <w:tab w:pos="3315" w:val="right" w:leader="none"/>
            </w:tabs>
          </w:pPr>
          <w:hyperlink w:history="true" w:anchor="_TOC_250032">
            <w:r>
              <w:rPr/>
              <w:t>Student Participation</w:t>
            </w:r>
            <w:r>
              <w:rPr>
                <w:spacing w:val="-24"/>
              </w:rPr>
              <w:t> </w:t>
            </w:r>
            <w:r>
              <w:rPr/>
              <w:t>and</w:t>
            </w:r>
            <w:r>
              <w:rPr>
                <w:spacing w:val="-12"/>
              </w:rPr>
              <w:t> </w:t>
            </w:r>
            <w:r>
              <w:rPr/>
              <w:t>Success</w:t>
              <w:tab/>
              <w:t>46</w:t>
            </w:r>
          </w:hyperlink>
        </w:p>
        <w:p>
          <w:pPr>
            <w:pStyle w:val="TOC2"/>
            <w:tabs>
              <w:tab w:pos="3315" w:val="right" w:leader="none"/>
            </w:tabs>
          </w:pPr>
          <w:r>
            <w:rPr/>
            <w:t>Office of</w:t>
          </w:r>
          <w:r>
            <w:rPr>
              <w:spacing w:val="-25"/>
            </w:rPr>
            <w:t> </w:t>
          </w:r>
          <w:r>
            <w:rPr/>
            <w:t>Human</w:t>
          </w:r>
          <w:r>
            <w:rPr>
              <w:spacing w:val="-13"/>
            </w:rPr>
            <w:t> </w:t>
          </w:r>
          <w:r>
            <w:rPr/>
            <w:t>Resources</w:t>
            <w:tab/>
            <w:t>49</w:t>
          </w:r>
        </w:p>
        <w:p>
          <w:pPr>
            <w:pStyle w:val="TOC2"/>
            <w:tabs>
              <w:tab w:pos="3315" w:val="right" w:leader="none"/>
            </w:tabs>
          </w:pPr>
          <w:hyperlink w:history="true" w:anchor="_TOC_250031">
            <w:r>
              <w:rPr>
                <w:spacing w:val="2"/>
                <w:w w:val="93"/>
              </w:rPr>
              <w:t>2</w:t>
            </w:r>
            <w:r>
              <w:rPr>
                <w:spacing w:val="1"/>
                <w:w w:val="111"/>
              </w:rPr>
              <w:t>0</w:t>
            </w:r>
            <w:r>
              <w:rPr>
                <w:spacing w:val="4"/>
                <w:w w:val="54"/>
              </w:rPr>
              <w:t>1</w:t>
            </w:r>
            <w:r>
              <w:rPr>
                <w:w w:val="101"/>
              </w:rPr>
              <w:t>6</w:t>
            </w:r>
            <w:r>
              <w:rPr>
                <w:spacing w:val="-12"/>
              </w:rPr>
              <w:t> </w:t>
            </w:r>
            <w:r>
              <w:rPr>
                <w:w w:val="100"/>
              </w:rPr>
              <w:t>E</w:t>
            </w:r>
            <w:r>
              <w:rPr>
                <w:spacing w:val="2"/>
                <w:w w:val="102"/>
              </w:rPr>
              <w:t>q</w:t>
            </w:r>
            <w:r>
              <w:rPr>
                <w:spacing w:val="1"/>
                <w:w w:val="95"/>
              </w:rPr>
              <w:t>u</w:t>
            </w:r>
            <w:r>
              <w:rPr>
                <w:w w:val="95"/>
              </w:rPr>
              <w:t>i</w:t>
            </w:r>
            <w:r>
              <w:rPr>
                <w:spacing w:val="4"/>
                <w:w w:val="102"/>
              </w:rPr>
              <w:t>t</w:t>
            </w:r>
            <w:r>
              <w:rPr>
                <w:w w:val="101"/>
              </w:rPr>
              <w:t>y</w:t>
            </w:r>
            <w:r>
              <w:rPr>
                <w:spacing w:val="-12"/>
              </w:rPr>
              <w:t> </w:t>
            </w:r>
            <w:r>
              <w:rPr>
                <w:spacing w:val="2"/>
                <w:w w:val="94"/>
              </w:rPr>
              <w:t>a</w:t>
            </w:r>
            <w:r>
              <w:rPr>
                <w:spacing w:val="2"/>
                <w:w w:val="95"/>
              </w:rPr>
              <w:t>n</w:t>
            </w:r>
            <w:r>
              <w:rPr>
                <w:w w:val="102"/>
              </w:rPr>
              <w:t>d</w:t>
            </w:r>
            <w:r>
              <w:rPr>
                <w:spacing w:val="-12"/>
              </w:rPr>
              <w:t> </w:t>
            </w:r>
            <w:r>
              <w:rPr>
                <w:spacing w:val="2"/>
                <w:w w:val="98"/>
              </w:rPr>
              <w:t>D</w:t>
            </w:r>
            <w:r>
              <w:rPr>
                <w:w w:val="95"/>
              </w:rPr>
              <w:t>i</w:t>
            </w:r>
            <w:r>
              <w:rPr>
                <w:spacing w:val="-1"/>
                <w:w w:val="101"/>
              </w:rPr>
              <w:t>v</w:t>
            </w:r>
            <w:r>
              <w:rPr>
                <w:spacing w:val="2"/>
                <w:w w:val="95"/>
              </w:rPr>
              <w:t>e</w:t>
            </w:r>
            <w:r>
              <w:rPr>
                <w:spacing w:val="2"/>
                <w:w w:val="95"/>
              </w:rPr>
              <w:t>r</w:t>
            </w:r>
            <w:r>
              <w:rPr>
                <w:w w:val="95"/>
              </w:rPr>
              <w:t>s</w:t>
            </w:r>
            <w:r>
              <w:rPr>
                <w:w w:val="95"/>
              </w:rPr>
              <w:t>i</w:t>
            </w:r>
            <w:r>
              <w:rPr>
                <w:spacing w:val="4"/>
                <w:w w:val="102"/>
              </w:rPr>
              <w:t>t</w:t>
            </w:r>
            <w:r>
              <w:rPr>
                <w:w w:val="101"/>
              </w:rPr>
              <w:t>y</w:t>
            </w:r>
            <w:r>
              <w:rPr>
                <w:w w:val="76"/>
              </w:rPr>
              <w:t> </w:t>
            </w:r>
            <w:r>
              <w:rPr/>
              <w:tab/>
            </w:r>
            <w:r>
              <w:rPr>
                <w:w w:val="95"/>
              </w:rPr>
              <w:t>5</w:t>
            </w:r>
            <w:r>
              <w:rPr>
                <w:w w:val="93"/>
              </w:rPr>
              <w:t>2</w:t>
            </w:r>
          </w:hyperlink>
        </w:p>
        <w:p>
          <w:pPr>
            <w:pStyle w:val="TOC1"/>
          </w:pPr>
          <w:r>
            <w:rPr>
              <w:w w:val="95"/>
            </w:rPr>
            <w:t>COMMUNITY AND</w:t>
          </w:r>
        </w:p>
        <w:p>
          <w:pPr>
            <w:pStyle w:val="TOC1"/>
            <w:tabs>
              <w:tab w:pos="3315" w:val="right" w:leader="none"/>
            </w:tabs>
            <w:spacing w:before="8"/>
          </w:pPr>
          <w:r>
            <w:rPr>
              <w:spacing w:val="2"/>
            </w:rPr>
            <w:t>REGIONAL</w:t>
          </w:r>
          <w:r>
            <w:rPr>
              <w:spacing w:val="-8"/>
            </w:rPr>
            <w:t> </w:t>
          </w:r>
          <w:r>
            <w:rPr>
              <w:spacing w:val="2"/>
            </w:rPr>
            <w:t>ENGAGEMENT</w:t>
            <w:tab/>
          </w:r>
          <w:r>
            <w:rPr/>
            <w:t>55</w:t>
          </w:r>
        </w:p>
        <w:p>
          <w:pPr>
            <w:pStyle w:val="TOC2"/>
            <w:tabs>
              <w:tab w:pos="3315" w:val="right" w:leader="none"/>
            </w:tabs>
            <w:spacing w:before="115"/>
          </w:pPr>
          <w:hyperlink w:history="true" w:anchor="_TOC_250030">
            <w:r>
              <w:rPr/>
              <w:t>Advancement</w:t>
            </w:r>
            <w:r>
              <w:rPr>
                <w:spacing w:val="-12"/>
              </w:rPr>
              <w:t> </w:t>
            </w:r>
            <w:r>
              <w:rPr/>
              <w:t>and</w:t>
            </w:r>
            <w:r>
              <w:rPr>
                <w:spacing w:val="-12"/>
              </w:rPr>
              <w:t> </w:t>
            </w:r>
            <w:r>
              <w:rPr/>
              <w:t>Alumni</w:t>
              <w:tab/>
              <w:t>55</w:t>
            </w:r>
          </w:hyperlink>
        </w:p>
        <w:p>
          <w:pPr>
            <w:pStyle w:val="TOC2"/>
            <w:tabs>
              <w:tab w:pos="3315" w:val="right" w:leader="none"/>
            </w:tabs>
          </w:pPr>
          <w:hyperlink w:history="true" w:anchor="_TOC_250029">
            <w:r>
              <w:rPr/>
              <w:t>Marketing</w:t>
            </w:r>
            <w:r>
              <w:rPr>
                <w:spacing w:val="-13"/>
              </w:rPr>
              <w:t> </w:t>
            </w:r>
            <w:r>
              <w:rPr/>
              <w:t>and</w:t>
            </w:r>
            <w:r>
              <w:rPr>
                <w:spacing w:val="-13"/>
              </w:rPr>
              <w:t> </w:t>
            </w:r>
            <w:r>
              <w:rPr/>
              <w:t>Communications</w:t>
              <w:tab/>
              <w:t>57</w:t>
            </w:r>
          </w:hyperlink>
        </w:p>
        <w:p>
          <w:pPr>
            <w:pStyle w:val="TOC2"/>
            <w:tabs>
              <w:tab w:pos="3315" w:val="right" w:leader="none"/>
            </w:tabs>
          </w:pPr>
          <w:r>
            <w:rPr>
              <w:spacing w:val="2"/>
            </w:rPr>
            <w:t>Art</w:t>
          </w:r>
          <w:r>
            <w:rPr>
              <w:spacing w:val="-12"/>
            </w:rPr>
            <w:t> </w:t>
          </w:r>
          <w:r>
            <w:rPr/>
            <w:t>Collection</w:t>
            <w:tab/>
            <w:t>59</w:t>
          </w:r>
        </w:p>
        <w:p>
          <w:pPr>
            <w:pStyle w:val="TOC1"/>
            <w:tabs>
              <w:tab w:pos="3318" w:val="right" w:leader="none"/>
            </w:tabs>
          </w:pPr>
          <w:hyperlink w:history="true" w:anchor="_TOC_250028">
            <w:r>
              <w:rPr>
                <w:spacing w:val="2"/>
              </w:rPr>
              <w:t>RESEARCH</w:t>
              <w:tab/>
            </w:r>
            <w:r>
              <w:rPr/>
              <w:t>61</w:t>
            </w:r>
          </w:hyperlink>
        </w:p>
        <w:p>
          <w:pPr>
            <w:pStyle w:val="TOC2"/>
            <w:tabs>
              <w:tab w:pos="3315" w:val="right" w:leader="none"/>
            </w:tabs>
            <w:spacing w:before="115"/>
          </w:pPr>
          <w:hyperlink w:history="true" w:anchor="_TOC_250027">
            <w:r>
              <w:rPr/>
              <w:t>Research Strategy</w:t>
            </w:r>
            <w:r>
              <w:rPr>
                <w:spacing w:val="-30"/>
              </w:rPr>
              <w:t> </w:t>
            </w:r>
            <w:r>
              <w:rPr/>
              <w:t>and</w:t>
            </w:r>
            <w:r>
              <w:rPr>
                <w:spacing w:val="-15"/>
              </w:rPr>
              <w:t> </w:t>
            </w:r>
            <w:r>
              <w:rPr/>
              <w:t>Performance</w:t>
              <w:tab/>
              <w:t>61</w:t>
            </w:r>
          </w:hyperlink>
        </w:p>
        <w:p>
          <w:pPr>
            <w:pStyle w:val="TOC2"/>
            <w:tabs>
              <w:tab w:pos="3315" w:val="right" w:leader="none"/>
            </w:tabs>
          </w:pPr>
          <w:hyperlink w:history="true" w:anchor="_TOC_250026">
            <w:r>
              <w:rPr/>
              <w:t>Graduate</w:t>
            </w:r>
            <w:r>
              <w:rPr>
                <w:spacing w:val="-13"/>
              </w:rPr>
              <w:t> </w:t>
            </w:r>
            <w:r>
              <w:rPr/>
              <w:t>Research</w:t>
            </w:r>
            <w:r>
              <w:rPr>
                <w:spacing w:val="-13"/>
              </w:rPr>
              <w:t> </w:t>
            </w:r>
            <w:r>
              <w:rPr/>
              <w:t>School</w:t>
              <w:tab/>
              <w:t>63</w:t>
            </w:r>
          </w:hyperlink>
        </w:p>
        <w:p>
          <w:pPr>
            <w:pStyle w:val="TOC1"/>
            <w:tabs>
              <w:tab w:pos="3315" w:val="right" w:leader="none"/>
            </w:tabs>
          </w:pPr>
          <w:hyperlink w:history="true" w:anchor="_TOC_250025">
            <w:r>
              <w:rPr>
                <w:spacing w:val="2"/>
              </w:rPr>
              <w:t>FINANCE</w:t>
            </w:r>
            <w:r>
              <w:rPr>
                <w:spacing w:val="-8"/>
              </w:rPr>
              <w:t> </w:t>
            </w:r>
            <w:r>
              <w:rPr>
                <w:spacing w:val="2"/>
              </w:rPr>
              <w:t>AND</w:t>
            </w:r>
            <w:r>
              <w:rPr>
                <w:spacing w:val="-8"/>
              </w:rPr>
              <w:t> </w:t>
            </w:r>
            <w:r>
              <w:rPr>
                <w:spacing w:val="2"/>
              </w:rPr>
              <w:t>RESOURCES</w:t>
              <w:tab/>
            </w:r>
            <w:r>
              <w:rPr/>
              <w:t>65</w:t>
            </w:r>
          </w:hyperlink>
        </w:p>
        <w:p>
          <w:pPr>
            <w:pStyle w:val="TOC2"/>
            <w:tabs>
              <w:tab w:pos="3315" w:val="right" w:leader="none"/>
            </w:tabs>
            <w:spacing w:before="115"/>
          </w:pPr>
          <w:r>
            <w:rPr/>
            <w:t>Division</w:t>
          </w:r>
          <w:r>
            <w:rPr>
              <w:spacing w:val="-13"/>
            </w:rPr>
            <w:t> </w:t>
          </w:r>
          <w:r>
            <w:rPr/>
            <w:t>of</w:t>
          </w:r>
          <w:r>
            <w:rPr>
              <w:spacing w:val="-13"/>
            </w:rPr>
            <w:t> </w:t>
          </w:r>
          <w:r>
            <w:rPr/>
            <w:t>Finances</w:t>
          </w:r>
          <w:r>
            <w:rPr>
              <w:spacing w:val="-13"/>
            </w:rPr>
            <w:t> </w:t>
          </w:r>
          <w:r>
            <w:rPr/>
            <w:t>and</w:t>
          </w:r>
          <w:r>
            <w:rPr>
              <w:spacing w:val="-13"/>
            </w:rPr>
            <w:t> </w:t>
          </w:r>
          <w:r>
            <w:rPr/>
            <w:t>Resources</w:t>
            <w:tab/>
            <w:t>65</w:t>
          </w:r>
        </w:p>
        <w:p>
          <w:pPr>
            <w:pStyle w:val="TOC2"/>
            <w:tabs>
              <w:tab w:pos="3315" w:val="right" w:leader="none"/>
            </w:tabs>
          </w:pPr>
          <w:hyperlink w:history="true" w:anchor="_TOC_250024">
            <w:r>
              <w:rPr/>
              <w:t>Capital Works</w:t>
            </w:r>
            <w:r>
              <w:rPr>
                <w:spacing w:val="-25"/>
              </w:rPr>
              <w:t> </w:t>
            </w:r>
            <w:r>
              <w:rPr/>
              <w:t>and</w:t>
            </w:r>
            <w:r>
              <w:rPr>
                <w:spacing w:val="-13"/>
              </w:rPr>
              <w:t> </w:t>
            </w:r>
            <w:r>
              <w:rPr/>
              <w:t>Facilities</w:t>
              <w:tab/>
              <w:t>67</w:t>
            </w:r>
          </w:hyperlink>
        </w:p>
        <w:p>
          <w:pPr>
            <w:pStyle w:val="TOC2"/>
            <w:spacing w:line="310" w:lineRule="atLeast" w:before="3"/>
            <w:ind w:right="-1"/>
          </w:pPr>
          <w:r>
            <w:rPr/>
            <w:t>Financial Resources and Budget</w:t>
          </w:r>
          <w:r>
            <w:rPr>
              <w:spacing w:val="-30"/>
            </w:rPr>
            <w:t> </w:t>
          </w:r>
          <w:r>
            <w:rPr/>
            <w:t>Outcomes 67 </w:t>
          </w:r>
          <w:r>
            <w:rPr>
              <w:w w:val="95"/>
            </w:rPr>
            <w:t>Information</w:t>
          </w:r>
          <w:r>
            <w:rPr>
              <w:spacing w:val="37"/>
              <w:w w:val="95"/>
            </w:rPr>
            <w:t> </w:t>
          </w:r>
          <w:r>
            <w:rPr>
              <w:w w:val="95"/>
            </w:rPr>
            <w:t>Technology</w:t>
          </w:r>
        </w:p>
        <w:p>
          <w:pPr>
            <w:pStyle w:val="TOC2"/>
            <w:tabs>
              <w:tab w:pos="3315" w:val="right" w:leader="none"/>
            </w:tabs>
            <w:spacing w:before="7"/>
          </w:pPr>
          <w:r>
            <w:rPr/>
            <w:t>and</w:t>
          </w:r>
          <w:r>
            <w:rPr>
              <w:spacing w:val="-12"/>
            </w:rPr>
            <w:t> </w:t>
          </w:r>
          <w:r>
            <w:rPr/>
            <w:t>Digital</w:t>
          </w:r>
          <w:r>
            <w:rPr>
              <w:spacing w:val="-12"/>
            </w:rPr>
            <w:t> </w:t>
          </w:r>
          <w:r>
            <w:rPr/>
            <w:t>Services</w:t>
            <w:tab/>
            <w:t>68</w:t>
          </w:r>
        </w:p>
        <w:p>
          <w:pPr>
            <w:pStyle w:val="TOC2"/>
            <w:tabs>
              <w:tab w:pos="3315" w:val="right" w:leader="none"/>
            </w:tabs>
          </w:pPr>
          <w:hyperlink w:history="true" w:anchor="_TOC_250023">
            <w:r>
              <w:rPr/>
              <w:t>Project</w:t>
            </w:r>
            <w:r>
              <w:rPr>
                <w:spacing w:val="-13"/>
              </w:rPr>
              <w:t> </w:t>
            </w:r>
            <w:r>
              <w:rPr/>
              <w:t>Management</w:t>
            </w:r>
            <w:r>
              <w:rPr>
                <w:spacing w:val="-13"/>
              </w:rPr>
              <w:t> </w:t>
            </w:r>
            <w:r>
              <w:rPr/>
              <w:t>Office</w:t>
              <w:tab/>
              <w:t>69</w:t>
            </w:r>
          </w:hyperlink>
        </w:p>
        <w:p>
          <w:pPr>
            <w:pStyle w:val="TOC2"/>
            <w:tabs>
              <w:tab w:pos="3315" w:val="right" w:leader="none"/>
            </w:tabs>
          </w:pPr>
          <w:hyperlink w:history="true" w:anchor="_TOC_250022">
            <w:r>
              <w:rPr/>
              <w:t>Entities</w:t>
              <w:tab/>
              <w:t>70</w:t>
            </w:r>
          </w:hyperlink>
        </w:p>
        <w:p>
          <w:pPr>
            <w:pStyle w:val="TOC2"/>
            <w:tabs>
              <w:tab w:pos="3315" w:val="right" w:leader="none"/>
            </w:tabs>
          </w:pPr>
          <w:hyperlink w:history="true" w:anchor="_TOC_250021">
            <w:r>
              <w:rPr/>
              <w:t>Risk</w:t>
            </w:r>
            <w:r>
              <w:rPr>
                <w:spacing w:val="-13"/>
              </w:rPr>
              <w:t> </w:t>
            </w:r>
            <w:r>
              <w:rPr/>
              <w:t>Management</w:t>
              <w:tab/>
              <w:t>70</w:t>
            </w:r>
          </w:hyperlink>
        </w:p>
        <w:p>
          <w:pPr>
            <w:pStyle w:val="TOC1"/>
            <w:tabs>
              <w:tab w:pos="3316" w:val="right" w:leader="none"/>
            </w:tabs>
            <w:spacing w:before="74"/>
          </w:pPr>
          <w:hyperlink w:history="true" w:anchor="_TOC_250020">
            <w:r>
              <w:rPr>
                <w:b w:val="0"/>
              </w:rPr>
              <w:br w:type="column"/>
            </w:r>
            <w:r>
              <w:rPr>
                <w:spacing w:val="2"/>
              </w:rPr>
              <w:t>APPENDIX</w:t>
            </w:r>
            <w:r>
              <w:rPr>
                <w:spacing w:val="-6"/>
              </w:rPr>
              <w:t> </w:t>
            </w:r>
            <w:r>
              <w:rPr/>
              <w:t>1</w:t>
              <w:tab/>
              <w:t>72</w:t>
            </w:r>
          </w:hyperlink>
        </w:p>
        <w:p>
          <w:pPr>
            <w:pStyle w:val="TOC2"/>
            <w:tabs>
              <w:tab w:pos="3316" w:val="right" w:leader="none"/>
            </w:tabs>
            <w:spacing w:before="58"/>
          </w:pPr>
          <w:hyperlink w:history="true" w:anchor="_TOC_250019">
            <w:r>
              <w:rPr/>
              <w:t>Board of</w:t>
            </w:r>
            <w:r>
              <w:rPr>
                <w:spacing w:val="-26"/>
              </w:rPr>
              <w:t> </w:t>
            </w:r>
            <w:r>
              <w:rPr/>
              <w:t>Trustees</w:t>
            </w:r>
            <w:r>
              <w:rPr>
                <w:spacing w:val="-13"/>
              </w:rPr>
              <w:t> </w:t>
            </w:r>
            <w:r>
              <w:rPr/>
              <w:t>Members</w:t>
              <w:tab/>
              <w:t>72</w:t>
            </w:r>
          </w:hyperlink>
        </w:p>
        <w:p>
          <w:pPr>
            <w:pStyle w:val="TOC1"/>
            <w:tabs>
              <w:tab w:pos="3315" w:val="right" w:leader="none"/>
            </w:tabs>
          </w:pPr>
          <w:hyperlink w:history="true" w:anchor="_TOC_250018">
            <w:r>
              <w:rPr>
                <w:spacing w:val="2"/>
              </w:rPr>
              <w:t>APPENDIX</w:t>
            </w:r>
            <w:r>
              <w:rPr>
                <w:spacing w:val="-6"/>
              </w:rPr>
              <w:t> </w:t>
            </w:r>
            <w:r>
              <w:rPr/>
              <w:t>2</w:t>
              <w:tab/>
              <w:t>73</w:t>
            </w:r>
          </w:hyperlink>
        </w:p>
        <w:p>
          <w:pPr>
            <w:pStyle w:val="TOC2"/>
            <w:tabs>
              <w:tab w:pos="3316" w:val="right" w:leader="none"/>
            </w:tabs>
            <w:spacing w:before="58"/>
          </w:pPr>
          <w:hyperlink w:history="true" w:anchor="_TOC_250017">
            <w:r>
              <w:rPr/>
              <w:t>Board of</w:t>
            </w:r>
            <w:r>
              <w:rPr>
                <w:spacing w:val="-26"/>
              </w:rPr>
              <w:t> </w:t>
            </w:r>
            <w:r>
              <w:rPr/>
              <w:t>Trustees</w:t>
            </w:r>
            <w:r>
              <w:rPr>
                <w:spacing w:val="-13"/>
              </w:rPr>
              <w:t> </w:t>
            </w:r>
            <w:r>
              <w:rPr/>
              <w:t>Meetings</w:t>
              <w:tab/>
              <w:t>73</w:t>
            </w:r>
          </w:hyperlink>
        </w:p>
        <w:p>
          <w:pPr>
            <w:pStyle w:val="TOC1"/>
            <w:tabs>
              <w:tab w:pos="3315" w:val="right" w:leader="none"/>
            </w:tabs>
          </w:pPr>
          <w:hyperlink w:history="true" w:anchor="_TOC_250016">
            <w:r>
              <w:rPr>
                <w:spacing w:val="2"/>
              </w:rPr>
              <w:t>APPENDIX</w:t>
            </w:r>
            <w:r>
              <w:rPr>
                <w:spacing w:val="-6"/>
              </w:rPr>
              <w:t> </w:t>
            </w:r>
            <w:r>
              <w:rPr/>
              <w:t>3</w:t>
              <w:tab/>
            </w:r>
            <w:r>
              <w:rPr>
                <w:spacing w:val="-4"/>
              </w:rPr>
              <w:t>74</w:t>
            </w:r>
          </w:hyperlink>
        </w:p>
        <w:p>
          <w:pPr>
            <w:pStyle w:val="TOC2"/>
            <w:spacing w:before="58"/>
          </w:pPr>
          <w:r>
            <w:rPr/>
            <w:t>Committees and Other Bodies</w:t>
          </w:r>
        </w:p>
        <w:p>
          <w:pPr>
            <w:pStyle w:val="TOC2"/>
            <w:tabs>
              <w:tab w:pos="3316" w:val="right" w:leader="none"/>
            </w:tabs>
            <w:spacing w:before="7"/>
          </w:pPr>
          <w:r>
            <w:rPr/>
            <w:t>established</w:t>
          </w:r>
          <w:r>
            <w:rPr>
              <w:spacing w:val="-14"/>
            </w:rPr>
            <w:t> </w:t>
          </w:r>
          <w:r>
            <w:rPr/>
            <w:t>by</w:t>
          </w:r>
          <w:r>
            <w:rPr>
              <w:spacing w:val="-14"/>
            </w:rPr>
            <w:t> </w:t>
          </w:r>
          <w:r>
            <w:rPr/>
            <w:t>the</w:t>
          </w:r>
          <w:r>
            <w:rPr>
              <w:spacing w:val="-14"/>
            </w:rPr>
            <w:t> </w:t>
          </w:r>
          <w:r>
            <w:rPr/>
            <w:t>Board</w:t>
          </w:r>
          <w:r>
            <w:rPr>
              <w:spacing w:val="-14"/>
            </w:rPr>
            <w:t> </w:t>
          </w:r>
          <w:r>
            <w:rPr/>
            <w:t>of</w:t>
          </w:r>
          <w:r>
            <w:rPr>
              <w:spacing w:val="-14"/>
            </w:rPr>
            <w:t> </w:t>
          </w:r>
          <w:r>
            <w:rPr/>
            <w:t>Trustees</w:t>
            <w:tab/>
          </w:r>
          <w:r>
            <w:rPr>
              <w:spacing w:val="-4"/>
            </w:rPr>
            <w:t>74</w:t>
          </w:r>
        </w:p>
        <w:p>
          <w:pPr>
            <w:pStyle w:val="TOC1"/>
            <w:tabs>
              <w:tab w:pos="3316" w:val="right" w:leader="none"/>
            </w:tabs>
          </w:pPr>
          <w:hyperlink w:history="true" w:anchor="_TOC_250015">
            <w:r>
              <w:rPr>
                <w:spacing w:val="2"/>
              </w:rPr>
              <w:t>APPENDIX</w:t>
            </w:r>
            <w:r>
              <w:rPr>
                <w:spacing w:val="-6"/>
              </w:rPr>
              <w:t> </w:t>
            </w:r>
            <w:r>
              <w:rPr/>
              <w:t>4</w:t>
              <w:tab/>
              <w:t>75</w:t>
            </w:r>
          </w:hyperlink>
        </w:p>
        <w:p>
          <w:pPr>
            <w:pStyle w:val="TOC2"/>
            <w:tabs>
              <w:tab w:pos="3315" w:val="right" w:leader="none"/>
            </w:tabs>
            <w:spacing w:before="58"/>
          </w:pPr>
          <w:r>
            <w:rPr/>
            <w:t>Academic</w:t>
          </w:r>
          <w:r>
            <w:rPr>
              <w:spacing w:val="-13"/>
            </w:rPr>
            <w:t> </w:t>
          </w:r>
          <w:r>
            <w:rPr/>
            <w:t>Senate</w:t>
          </w:r>
          <w:r>
            <w:rPr>
              <w:spacing w:val="-13"/>
            </w:rPr>
            <w:t> </w:t>
          </w:r>
          <w:r>
            <w:rPr/>
            <w:t>Membership</w:t>
            <w:tab/>
            <w:t>75</w:t>
          </w:r>
        </w:p>
        <w:p>
          <w:pPr>
            <w:pStyle w:val="TOC1"/>
            <w:tabs>
              <w:tab w:pos="3315" w:val="right" w:leader="none"/>
            </w:tabs>
          </w:pPr>
          <w:hyperlink w:history="true" w:anchor="_TOC_250014">
            <w:r>
              <w:rPr>
                <w:spacing w:val="2"/>
              </w:rPr>
              <w:t>APPENDIX</w:t>
            </w:r>
            <w:r>
              <w:rPr>
                <w:spacing w:val="-6"/>
              </w:rPr>
              <w:t> </w:t>
            </w:r>
            <w:r>
              <w:rPr/>
              <w:t>5</w:t>
              <w:tab/>
              <w:t>76</w:t>
            </w:r>
          </w:hyperlink>
        </w:p>
        <w:p>
          <w:pPr>
            <w:pStyle w:val="TOC2"/>
            <w:tabs>
              <w:tab w:pos="3315" w:val="right" w:leader="none"/>
            </w:tabs>
            <w:spacing w:before="58"/>
          </w:pPr>
          <w:hyperlink w:history="true" w:anchor="_TOC_250013">
            <w:r>
              <w:rPr/>
              <w:t>Board of</w:t>
            </w:r>
            <w:r>
              <w:rPr>
                <w:spacing w:val="-25"/>
              </w:rPr>
              <w:t> </w:t>
            </w:r>
            <w:r>
              <w:rPr/>
              <w:t>Trustees</w:t>
            </w:r>
            <w:r>
              <w:rPr>
                <w:spacing w:val="-13"/>
              </w:rPr>
              <w:t> </w:t>
            </w:r>
            <w:r>
              <w:rPr/>
              <w:t>Report</w:t>
              <w:tab/>
              <w:t>76</w:t>
            </w:r>
          </w:hyperlink>
        </w:p>
        <w:p>
          <w:pPr>
            <w:pStyle w:val="TOC1"/>
            <w:tabs>
              <w:tab w:pos="3315" w:val="right" w:leader="none"/>
            </w:tabs>
          </w:pPr>
          <w:hyperlink w:history="true" w:anchor="_TOC_250012">
            <w:r>
              <w:rPr>
                <w:spacing w:val="2"/>
              </w:rPr>
              <w:t>APPENDIX</w:t>
            </w:r>
            <w:r>
              <w:rPr>
                <w:spacing w:val="-6"/>
              </w:rPr>
              <w:t> </w:t>
            </w:r>
            <w:r>
              <w:rPr/>
              <w:t>6</w:t>
              <w:tab/>
              <w:t>77</w:t>
            </w:r>
          </w:hyperlink>
        </w:p>
        <w:p>
          <w:pPr>
            <w:pStyle w:val="TOC2"/>
            <w:spacing w:before="58"/>
          </w:pPr>
          <w:r>
            <w:rPr/>
            <w:t>Executive Remuneration and</w:t>
          </w:r>
        </w:p>
        <w:p>
          <w:pPr>
            <w:pStyle w:val="TOC2"/>
            <w:tabs>
              <w:tab w:pos="3315" w:val="right" w:leader="none"/>
            </w:tabs>
            <w:spacing w:before="7"/>
          </w:pPr>
          <w:r>
            <w:rPr/>
            <w:t>Performance</w:t>
          </w:r>
          <w:r>
            <w:rPr>
              <w:spacing w:val="-13"/>
            </w:rPr>
            <w:t> </w:t>
          </w:r>
          <w:r>
            <w:rPr/>
            <w:t>Data</w:t>
            <w:tab/>
            <w:t>77</w:t>
          </w:r>
        </w:p>
        <w:p>
          <w:pPr>
            <w:pStyle w:val="TOC1"/>
            <w:tabs>
              <w:tab w:pos="3315" w:val="right" w:leader="none"/>
            </w:tabs>
          </w:pPr>
          <w:hyperlink w:history="true" w:anchor="_TOC_250011">
            <w:r>
              <w:rPr>
                <w:spacing w:val="2"/>
              </w:rPr>
              <w:t>APPENDIX</w:t>
            </w:r>
            <w:r>
              <w:rPr>
                <w:spacing w:val="-6"/>
              </w:rPr>
              <w:t> </w:t>
            </w:r>
            <w:r>
              <w:rPr/>
              <w:t>7</w:t>
              <w:tab/>
              <w:t>78</w:t>
            </w:r>
          </w:hyperlink>
        </w:p>
        <w:p>
          <w:pPr>
            <w:pStyle w:val="TOC2"/>
            <w:tabs>
              <w:tab w:pos="3315" w:val="right" w:leader="none"/>
            </w:tabs>
            <w:spacing w:before="58"/>
          </w:pPr>
          <w:hyperlink w:history="true" w:anchor="_TOC_250010">
            <w:r>
              <w:rPr/>
              <w:t>Principal Officers of</w:t>
            </w:r>
            <w:r>
              <w:rPr>
                <w:spacing w:val="-38"/>
              </w:rPr>
              <w:t> </w:t>
            </w:r>
            <w:r>
              <w:rPr/>
              <w:t>the</w:t>
            </w:r>
            <w:r>
              <w:rPr>
                <w:spacing w:val="-13"/>
              </w:rPr>
              <w:t> </w:t>
            </w:r>
            <w:r>
              <w:rPr/>
              <w:t>University</w:t>
              <w:tab/>
              <w:t>78</w:t>
            </w:r>
          </w:hyperlink>
        </w:p>
        <w:p>
          <w:pPr>
            <w:pStyle w:val="TOC1"/>
            <w:tabs>
              <w:tab w:pos="3315" w:val="right" w:leader="none"/>
            </w:tabs>
          </w:pPr>
          <w:hyperlink w:history="true" w:anchor="_TOC_250009">
            <w:r>
              <w:rPr>
                <w:spacing w:val="2"/>
              </w:rPr>
              <w:t>APPENDIX</w:t>
            </w:r>
            <w:r>
              <w:rPr>
                <w:spacing w:val="-6"/>
              </w:rPr>
              <w:t> </w:t>
            </w:r>
            <w:r>
              <w:rPr/>
              <w:t>8</w:t>
              <w:tab/>
              <w:t>79</w:t>
            </w:r>
          </w:hyperlink>
        </w:p>
        <w:p>
          <w:pPr>
            <w:pStyle w:val="TOC2"/>
            <w:tabs>
              <w:tab w:pos="3315" w:val="right" w:leader="none"/>
            </w:tabs>
            <w:spacing w:before="58"/>
          </w:pPr>
          <w:hyperlink w:history="true" w:anchor="_TOC_250008">
            <w:r>
              <w:rPr/>
              <w:t>Government Information</w:t>
            </w:r>
            <w:r>
              <w:rPr>
                <w:spacing w:val="-31"/>
              </w:rPr>
              <w:t> </w:t>
            </w:r>
            <w:r>
              <w:rPr/>
              <w:t>(Public</w:t>
            </w:r>
            <w:r>
              <w:rPr>
                <w:spacing w:val="-16"/>
              </w:rPr>
              <w:t> </w:t>
            </w:r>
            <w:r>
              <w:rPr/>
              <w:t>Access)</w:t>
              <w:tab/>
              <w:t>79</w:t>
            </w:r>
          </w:hyperlink>
        </w:p>
        <w:p>
          <w:pPr>
            <w:pStyle w:val="TOC1"/>
            <w:tabs>
              <w:tab w:pos="3315" w:val="right" w:leader="none"/>
            </w:tabs>
          </w:pPr>
          <w:hyperlink w:history="true" w:anchor="_TOC_250007">
            <w:r>
              <w:rPr>
                <w:spacing w:val="2"/>
              </w:rPr>
              <w:t>APPENDIX</w:t>
            </w:r>
            <w:r>
              <w:rPr>
                <w:spacing w:val="-6"/>
              </w:rPr>
              <w:t> </w:t>
            </w:r>
            <w:r>
              <w:rPr/>
              <w:t>9</w:t>
              <w:tab/>
              <w:t>83</w:t>
            </w:r>
          </w:hyperlink>
        </w:p>
        <w:p>
          <w:pPr>
            <w:pStyle w:val="TOC2"/>
            <w:tabs>
              <w:tab w:pos="3315" w:val="right" w:leader="none"/>
            </w:tabs>
            <w:spacing w:before="58"/>
          </w:pPr>
          <w:hyperlink w:history="true" w:anchor="_TOC_250006">
            <w:r>
              <w:rPr/>
              <w:t>Major</w:t>
            </w:r>
            <w:r>
              <w:rPr>
                <w:spacing w:val="-13"/>
              </w:rPr>
              <w:t> </w:t>
            </w:r>
            <w:r>
              <w:rPr/>
              <w:t>Consultancies</w:t>
              <w:tab/>
              <w:t>83</w:t>
            </w:r>
          </w:hyperlink>
        </w:p>
        <w:p>
          <w:pPr>
            <w:pStyle w:val="TOC1"/>
            <w:tabs>
              <w:tab w:pos="3315" w:val="right" w:leader="none"/>
            </w:tabs>
          </w:pPr>
          <w:hyperlink w:history="true" w:anchor="_TOC_250005">
            <w:r>
              <w:rPr>
                <w:spacing w:val="2"/>
              </w:rPr>
              <w:t>APPENDIX</w:t>
            </w:r>
            <w:r>
              <w:rPr>
                <w:spacing w:val="-6"/>
              </w:rPr>
              <w:t> </w:t>
            </w:r>
            <w:r>
              <w:rPr/>
              <w:t>10</w:t>
              <w:tab/>
              <w:t>85</w:t>
            </w:r>
          </w:hyperlink>
        </w:p>
        <w:p>
          <w:pPr>
            <w:pStyle w:val="TOC2"/>
            <w:tabs>
              <w:tab w:pos="3316" w:val="right" w:leader="none"/>
            </w:tabs>
            <w:spacing w:before="58"/>
          </w:pPr>
          <w:hyperlink w:history="true" w:anchor="_TOC_250004">
            <w:r>
              <w:rPr/>
              <w:t>Equity and</w:t>
            </w:r>
            <w:r>
              <w:rPr>
                <w:spacing w:val="-24"/>
              </w:rPr>
              <w:t> </w:t>
            </w:r>
            <w:r>
              <w:rPr/>
              <w:t>Diversity</w:t>
            </w:r>
            <w:r>
              <w:rPr>
                <w:spacing w:val="-12"/>
              </w:rPr>
              <w:t> </w:t>
            </w:r>
            <w:r>
              <w:rPr/>
              <w:t>Statistics</w:t>
              <w:tab/>
              <w:t>85</w:t>
            </w:r>
          </w:hyperlink>
        </w:p>
        <w:p>
          <w:pPr>
            <w:pStyle w:val="TOC1"/>
            <w:tabs>
              <w:tab w:pos="3315" w:val="right" w:leader="none"/>
            </w:tabs>
          </w:pPr>
          <w:hyperlink w:history="true" w:anchor="_TOC_250003">
            <w:r>
              <w:rPr>
                <w:spacing w:val="2"/>
              </w:rPr>
              <w:t>APPENDIX</w:t>
            </w:r>
            <w:r>
              <w:rPr>
                <w:spacing w:val="-6"/>
              </w:rPr>
              <w:t> </w:t>
            </w:r>
            <w:r>
              <w:rPr/>
              <w:t>11</w:t>
              <w:tab/>
              <w:t>87</w:t>
            </w:r>
          </w:hyperlink>
        </w:p>
        <w:p>
          <w:pPr>
            <w:pStyle w:val="TOC2"/>
            <w:tabs>
              <w:tab w:pos="3316" w:val="right" w:leader="none"/>
            </w:tabs>
            <w:spacing w:before="58"/>
          </w:pPr>
          <w:hyperlink w:history="true" w:anchor="_TOC_250002">
            <w:r>
              <w:rPr/>
              <w:t>Student</w:t>
            </w:r>
            <w:r>
              <w:rPr>
                <w:spacing w:val="-13"/>
              </w:rPr>
              <w:t> </w:t>
            </w:r>
            <w:r>
              <w:rPr/>
              <w:t>Enrolment</w:t>
            </w:r>
            <w:r>
              <w:rPr>
                <w:spacing w:val="-13"/>
              </w:rPr>
              <w:t> </w:t>
            </w:r>
            <w:r>
              <w:rPr/>
              <w:t>Data</w:t>
              <w:tab/>
              <w:t>87</w:t>
            </w:r>
          </w:hyperlink>
        </w:p>
        <w:p>
          <w:pPr>
            <w:pStyle w:val="TOC1"/>
            <w:tabs>
              <w:tab w:pos="3315" w:val="right" w:leader="none"/>
            </w:tabs>
          </w:pPr>
          <w:hyperlink w:history="true" w:anchor="_TOC_250001">
            <w:r>
              <w:rPr>
                <w:spacing w:val="2"/>
              </w:rPr>
              <w:t>APPENDIX</w:t>
            </w:r>
            <w:r>
              <w:rPr>
                <w:spacing w:val="-6"/>
              </w:rPr>
              <w:t> </w:t>
            </w:r>
            <w:r>
              <w:rPr/>
              <w:t>12</w:t>
              <w:tab/>
              <w:t>91</w:t>
            </w:r>
          </w:hyperlink>
        </w:p>
        <w:p>
          <w:pPr>
            <w:pStyle w:val="TOC2"/>
            <w:tabs>
              <w:tab w:pos="3318" w:val="right" w:leader="none"/>
            </w:tabs>
            <w:spacing w:before="58"/>
          </w:pPr>
          <w:r>
            <w:rPr/>
            <w:t>Governance</w:t>
          </w:r>
          <w:r>
            <w:rPr>
              <w:spacing w:val="-14"/>
            </w:rPr>
            <w:t> </w:t>
          </w:r>
          <w:r>
            <w:rPr/>
            <w:t>Structure</w:t>
            <w:tab/>
            <w:t>91</w:t>
          </w:r>
        </w:p>
        <w:p>
          <w:pPr>
            <w:pStyle w:val="TOC1"/>
            <w:tabs>
              <w:tab w:pos="3316" w:val="right" w:leader="none"/>
            </w:tabs>
          </w:pPr>
          <w:hyperlink w:history="true" w:anchor="_TOC_250000">
            <w:r>
              <w:rPr>
                <w:spacing w:val="2"/>
              </w:rPr>
              <w:t>APPENDIX</w:t>
            </w:r>
            <w:r>
              <w:rPr>
                <w:spacing w:val="-6"/>
              </w:rPr>
              <w:t> </w:t>
            </w:r>
            <w:r>
              <w:rPr/>
              <w:t>13</w:t>
              <w:tab/>
              <w:t>92</w:t>
            </w:r>
          </w:hyperlink>
        </w:p>
        <w:p>
          <w:pPr>
            <w:pStyle w:val="TOC2"/>
            <w:tabs>
              <w:tab w:pos="3316" w:val="right" w:leader="none"/>
            </w:tabs>
            <w:spacing w:before="58"/>
          </w:pPr>
          <w:r>
            <w:rPr/>
            <w:t>Organisational</w:t>
          </w:r>
          <w:r>
            <w:rPr>
              <w:spacing w:val="-13"/>
            </w:rPr>
            <w:t> </w:t>
          </w:r>
          <w:r>
            <w:rPr/>
            <w:t>Structure</w:t>
            <w:tab/>
            <w:t>92</w:t>
          </w:r>
        </w:p>
      </w:sdtContent>
    </w:sdt>
    <w:p>
      <w:pPr>
        <w:spacing w:after="0"/>
        <w:sectPr>
          <w:type w:val="continuous"/>
          <w:pgSz w:w="11910" w:h="16840"/>
          <w:pgMar w:top="1580" w:bottom="280" w:left="800" w:right="800"/>
          <w:cols w:num="3" w:equalWidth="0">
            <w:col w:w="3316" w:space="123"/>
            <w:col w:w="3319" w:space="120"/>
            <w:col w:w="3432"/>
          </w:cols>
        </w:sectPr>
      </w:pPr>
    </w:p>
    <w:p>
      <w:pPr>
        <w:pStyle w:val="BodyText"/>
        <w:spacing w:before="12"/>
        <w:rPr>
          <w:sz w:val="30"/>
        </w:rPr>
      </w:pPr>
    </w:p>
    <w:p>
      <w:pPr>
        <w:spacing w:line="450" w:lineRule="exact" w:before="0"/>
        <w:ind w:left="107" w:right="81" w:firstLine="0"/>
        <w:jc w:val="left"/>
        <w:rPr>
          <w:rFonts w:ascii="Chronicle Text G1"/>
          <w:b w:val="0"/>
          <w:sz w:val="40"/>
        </w:rPr>
      </w:pPr>
      <w:r>
        <w:rPr>
          <w:rFonts w:ascii="Chronicle Text G1"/>
          <w:b w:val="0"/>
          <w:sz w:val="40"/>
        </w:rPr>
        <w:t>The</w:t>
      </w:r>
    </w:p>
    <w:p>
      <w:pPr>
        <w:spacing w:line="450" w:lineRule="exact" w:before="0"/>
        <w:ind w:left="107" w:right="81" w:firstLine="0"/>
        <w:jc w:val="left"/>
        <w:rPr>
          <w:rFonts w:ascii="Chronicle Text G1"/>
          <w:b w:val="0"/>
          <w:sz w:val="40"/>
        </w:rPr>
      </w:pPr>
      <w:r>
        <w:rPr>
          <w:rFonts w:ascii="Chronicle Text G1"/>
          <w:b w:val="0"/>
          <w:sz w:val="40"/>
        </w:rPr>
        <w:t>Year in Review</w:t>
      </w:r>
    </w:p>
    <w:p>
      <w:pPr>
        <w:pStyle w:val="BodyText"/>
        <w:rPr>
          <w:rFonts w:ascii="Chronicle Text G1"/>
          <w:b w:val="0"/>
          <w:sz w:val="40"/>
        </w:rPr>
      </w:pPr>
    </w:p>
    <w:p>
      <w:pPr>
        <w:pStyle w:val="BodyText"/>
        <w:rPr>
          <w:rFonts w:ascii="Chronicle Text G1"/>
          <w:b w:val="0"/>
          <w:sz w:val="40"/>
        </w:rPr>
      </w:pPr>
    </w:p>
    <w:p>
      <w:pPr>
        <w:pStyle w:val="BodyText"/>
        <w:rPr>
          <w:rFonts w:ascii="Chronicle Text G1"/>
          <w:b w:val="0"/>
          <w:sz w:val="40"/>
        </w:rPr>
      </w:pPr>
    </w:p>
    <w:p>
      <w:pPr>
        <w:pStyle w:val="BodyText"/>
        <w:rPr>
          <w:rFonts w:ascii="Chronicle Text G1"/>
          <w:b w:val="0"/>
          <w:sz w:val="40"/>
        </w:rPr>
      </w:pPr>
    </w:p>
    <w:p>
      <w:pPr>
        <w:pStyle w:val="BodyText"/>
        <w:rPr>
          <w:rFonts w:ascii="Chronicle Text G1"/>
          <w:b w:val="0"/>
          <w:sz w:val="40"/>
        </w:rPr>
      </w:pPr>
    </w:p>
    <w:p>
      <w:pPr>
        <w:pStyle w:val="BodyText"/>
        <w:spacing w:before="3"/>
        <w:rPr>
          <w:rFonts w:ascii="Chronicle Text G1"/>
          <w:b w:val="0"/>
          <w:sz w:val="37"/>
        </w:rPr>
      </w:pPr>
    </w:p>
    <w:p>
      <w:pPr>
        <w:pStyle w:val="Heading5"/>
        <w:spacing w:line="260" w:lineRule="exact"/>
        <w:ind w:right="788"/>
      </w:pPr>
      <w:r>
        <w:rPr/>
        <w:t>A</w:t>
      </w:r>
      <w:r>
        <w:rPr>
          <w:spacing w:val="-42"/>
        </w:rPr>
        <w:t> </w:t>
      </w:r>
      <w:r>
        <w:rPr>
          <w:spacing w:val="-3"/>
        </w:rPr>
        <w:t>MESSAGE</w:t>
      </w:r>
      <w:r>
        <w:rPr>
          <w:spacing w:val="-42"/>
        </w:rPr>
        <w:t> </w:t>
      </w:r>
      <w:r>
        <w:rPr>
          <w:spacing w:val="-3"/>
        </w:rPr>
        <w:t>FROM</w:t>
      </w:r>
      <w:r>
        <w:rPr>
          <w:spacing w:val="-42"/>
        </w:rPr>
        <w:t> </w:t>
      </w:r>
      <w:r>
        <w:rPr/>
        <w:t>THE </w:t>
      </w:r>
      <w:r>
        <w:rPr>
          <w:spacing w:val="-3"/>
        </w:rPr>
        <w:t>CHANCELLOR </w:t>
      </w:r>
      <w:r>
        <w:rPr/>
        <w:t>AND </w:t>
      </w:r>
      <w:r>
        <w:rPr>
          <w:spacing w:val="-3"/>
        </w:rPr>
        <w:t>VICE-CHANCELLOR</w:t>
      </w:r>
    </w:p>
    <w:p>
      <w:pPr>
        <w:pStyle w:val="BodyText"/>
        <w:spacing w:line="247" w:lineRule="auto" w:before="101"/>
        <w:ind w:left="107" w:right="81"/>
      </w:pPr>
      <w:r>
        <w:rPr/>
        <w:t>Despite a challenging national policy environment,</w:t>
      </w:r>
      <w:r>
        <w:rPr>
          <w:spacing w:val="-23"/>
        </w:rPr>
        <w:t> </w:t>
      </w:r>
      <w:r>
        <w:rPr/>
        <w:t>Western</w:t>
      </w:r>
      <w:r>
        <w:rPr>
          <w:spacing w:val="-23"/>
        </w:rPr>
        <w:t> </w:t>
      </w:r>
      <w:r>
        <w:rPr/>
        <w:t>Sydney</w:t>
      </w:r>
      <w:r>
        <w:rPr>
          <w:spacing w:val="-23"/>
        </w:rPr>
        <w:t> </w:t>
      </w:r>
      <w:r>
        <w:rPr/>
        <w:t>University</w:t>
      </w:r>
      <w:r>
        <w:rPr>
          <w:spacing w:val="-23"/>
        </w:rPr>
        <w:t> </w:t>
      </w:r>
      <w:r>
        <w:rPr>
          <w:spacing w:val="2"/>
        </w:rPr>
        <w:t>has </w:t>
      </w:r>
      <w:r>
        <w:rPr/>
        <w:t>continued to perform well across many of the key indicators identified in its </w:t>
      </w:r>
      <w:r>
        <w:rPr>
          <w:rFonts w:ascii="Century Gothic" w:hAnsi="Century Gothic"/>
          <w:i/>
        </w:rPr>
        <w:t>Securing </w:t>
      </w:r>
      <w:r>
        <w:rPr>
          <w:rFonts w:ascii="Century Gothic" w:hAnsi="Century Gothic"/>
          <w:i/>
        </w:rPr>
        <w:t>Success: 2015–2020 Strategic Plan</w:t>
      </w:r>
      <w:r>
        <w:rPr/>
        <w:t>. We remain steadfast in our commitment to enhancing the student experience and we are</w:t>
      </w:r>
      <w:r>
        <w:rPr>
          <w:spacing w:val="-19"/>
        </w:rPr>
        <w:t> </w:t>
      </w:r>
      <w:r>
        <w:rPr/>
        <w:t>proud</w:t>
      </w:r>
      <w:r>
        <w:rPr>
          <w:spacing w:val="-19"/>
        </w:rPr>
        <w:t> </w:t>
      </w:r>
      <w:r>
        <w:rPr/>
        <w:t>to</w:t>
      </w:r>
      <w:r>
        <w:rPr>
          <w:spacing w:val="-19"/>
        </w:rPr>
        <w:t> </w:t>
      </w:r>
      <w:r>
        <w:rPr/>
        <w:t>be</w:t>
      </w:r>
      <w:r>
        <w:rPr>
          <w:spacing w:val="-19"/>
        </w:rPr>
        <w:t> </w:t>
      </w:r>
      <w:r>
        <w:rPr/>
        <w:t>a</w:t>
      </w:r>
      <w:r>
        <w:rPr>
          <w:spacing w:val="-19"/>
        </w:rPr>
        <w:t> </w:t>
      </w:r>
      <w:r>
        <w:rPr/>
        <w:t>leader</w:t>
      </w:r>
      <w:r>
        <w:rPr>
          <w:spacing w:val="-19"/>
        </w:rPr>
        <w:t> </w:t>
      </w:r>
      <w:r>
        <w:rPr/>
        <w:t>in</w:t>
      </w:r>
      <w:r>
        <w:rPr>
          <w:spacing w:val="-19"/>
        </w:rPr>
        <w:t> </w:t>
      </w:r>
      <w:r>
        <w:rPr/>
        <w:t>Western</w:t>
      </w:r>
      <w:r>
        <w:rPr>
          <w:spacing w:val="-19"/>
        </w:rPr>
        <w:t> </w:t>
      </w:r>
      <w:r>
        <w:rPr/>
        <w:t>Sydney.</w:t>
      </w:r>
    </w:p>
    <w:p>
      <w:pPr>
        <w:pStyle w:val="BodyText"/>
        <w:spacing w:before="2"/>
        <w:rPr>
          <w:sz w:val="14"/>
        </w:rPr>
      </w:pPr>
    </w:p>
    <w:p>
      <w:pPr>
        <w:pStyle w:val="BodyText"/>
        <w:spacing w:line="249" w:lineRule="auto"/>
        <w:ind w:left="107"/>
      </w:pPr>
      <w:r>
        <w:rPr/>
        <w:t>This year, the University renewed its focus on student attraction and retention. Through the Transforming Western Sydney University (TWSU) program, we have sought to future- proof the University against the risks of sectoral uncertainty and consolidate our position as a ‘distinctively student-centred and research-led’ institution. To complement the TWSU program, major system upgrades have been completed across the University. We rolled out an enhanced student engagement suite, created a new online application system for international students and introduced a guaranteed entry scheme.</w:t>
      </w:r>
    </w:p>
    <w:p>
      <w:pPr>
        <w:pStyle w:val="BodyText"/>
        <w:rPr>
          <w:sz w:val="14"/>
        </w:rPr>
      </w:pPr>
    </w:p>
    <w:p>
      <w:pPr>
        <w:pStyle w:val="BodyText"/>
        <w:spacing w:line="249" w:lineRule="auto"/>
        <w:ind w:left="107"/>
      </w:pPr>
      <w:r>
        <w:rPr>
          <w:spacing w:val="1"/>
          <w:w w:val="80"/>
        </w:rPr>
        <w:t>In</w:t>
      </w:r>
      <w:r>
        <w:rPr>
          <w:w w:val="80"/>
        </w:rPr>
        <w:t> </w:t>
      </w:r>
      <w:r>
        <w:rPr>
          <w:spacing w:val="2"/>
          <w:w w:val="85"/>
        </w:rPr>
        <w:t>2016,</w:t>
      </w:r>
      <w:r>
        <w:rPr>
          <w:w w:val="85"/>
        </w:rPr>
        <w:t> </w:t>
      </w:r>
      <w:r>
        <w:rPr>
          <w:w w:val="97"/>
        </w:rPr>
        <w:t>the </w:t>
      </w:r>
      <w:r>
        <w:rPr>
          <w:spacing w:val="1"/>
          <w:w w:val="97"/>
        </w:rPr>
        <w:t>University</w:t>
      </w:r>
      <w:r>
        <w:rPr>
          <w:w w:val="97"/>
        </w:rPr>
        <w:t> </w:t>
      </w:r>
      <w:r>
        <w:rPr>
          <w:w w:val="98"/>
        </w:rPr>
        <w:t>introduced </w:t>
      </w:r>
      <w:r>
        <w:rPr>
          <w:spacing w:val="1"/>
          <w:w w:val="95"/>
        </w:rPr>
        <w:t>an</w:t>
      </w:r>
      <w:r>
        <w:rPr>
          <w:w w:val="95"/>
        </w:rPr>
        <w:t> </w:t>
      </w:r>
      <w:r>
        <w:rPr>
          <w:spacing w:val="1"/>
          <w:w w:val="97"/>
        </w:rPr>
        <w:t>Early</w:t>
      </w:r>
      <w:r>
        <w:rPr>
          <w:w w:val="97"/>
        </w:rPr>
        <w:t> </w:t>
      </w:r>
      <w:r>
        <w:rPr/>
        <w:t>Voluntary</w:t>
      </w:r>
      <w:r>
        <w:rPr>
          <w:spacing w:val="-15"/>
        </w:rPr>
        <w:t> </w:t>
      </w:r>
      <w:r>
        <w:rPr/>
        <w:t>Retirement</w:t>
      </w:r>
      <w:r>
        <w:rPr>
          <w:spacing w:val="-15"/>
        </w:rPr>
        <w:t> </w:t>
      </w:r>
      <w:r>
        <w:rPr/>
        <w:t>Scheme</w:t>
      </w:r>
      <w:r>
        <w:rPr>
          <w:spacing w:val="-15"/>
        </w:rPr>
        <w:t> </w:t>
      </w:r>
      <w:r>
        <w:rPr/>
        <w:t>and</w:t>
      </w:r>
      <w:r>
        <w:rPr>
          <w:spacing w:val="-15"/>
        </w:rPr>
        <w:t> </w:t>
      </w:r>
      <w:r>
        <w:rPr/>
        <w:t>undertook a</w:t>
      </w:r>
      <w:r>
        <w:rPr>
          <w:spacing w:val="-18"/>
        </w:rPr>
        <w:t> </w:t>
      </w:r>
      <w:r>
        <w:rPr/>
        <w:t>professional</w:t>
      </w:r>
      <w:r>
        <w:rPr>
          <w:spacing w:val="-18"/>
        </w:rPr>
        <w:t> </w:t>
      </w:r>
      <w:r>
        <w:rPr/>
        <w:t>services</w:t>
      </w:r>
      <w:r>
        <w:rPr>
          <w:spacing w:val="-18"/>
        </w:rPr>
        <w:t> </w:t>
      </w:r>
      <w:r>
        <w:rPr/>
        <w:t>review</w:t>
      </w:r>
      <w:r>
        <w:rPr>
          <w:spacing w:val="-18"/>
        </w:rPr>
        <w:t> </w:t>
      </w:r>
      <w:r>
        <w:rPr/>
        <w:t>with</w:t>
      </w:r>
      <w:r>
        <w:rPr>
          <w:spacing w:val="-18"/>
        </w:rPr>
        <w:t> </w:t>
      </w:r>
      <w:r>
        <w:rPr/>
        <w:t>consulting firm Deloitte. These initiatives will be instrumental in reshaping the University’s staffing profile and redirecting resources towards efficient structures and operating </w:t>
      </w:r>
      <w:r>
        <w:rPr>
          <w:spacing w:val="1"/>
          <w:w w:val="98"/>
        </w:rPr>
        <w:t>models</w:t>
      </w:r>
      <w:r>
        <w:rPr>
          <w:w w:val="98"/>
        </w:rPr>
        <w:t> </w:t>
      </w:r>
      <w:r>
        <w:rPr>
          <w:w w:val="95"/>
        </w:rPr>
        <w:t>in </w:t>
      </w:r>
      <w:r>
        <w:rPr>
          <w:spacing w:val="-2"/>
          <w:w w:val="83"/>
        </w:rPr>
        <w:t>2017.</w:t>
      </w:r>
      <w:r>
        <w:rPr>
          <w:w w:val="83"/>
        </w:rPr>
        <w:t> </w:t>
      </w:r>
      <w:r>
        <w:rPr>
          <w:spacing w:val="1"/>
          <w:w w:val="80"/>
        </w:rPr>
        <w:t>In</w:t>
      </w:r>
      <w:r>
        <w:rPr>
          <w:w w:val="80"/>
        </w:rPr>
        <w:t> </w:t>
      </w:r>
      <w:r>
        <w:rPr>
          <w:spacing w:val="1"/>
          <w:w w:val="97"/>
        </w:rPr>
        <w:t>response</w:t>
      </w:r>
      <w:r>
        <w:rPr>
          <w:w w:val="97"/>
        </w:rPr>
        <w:t> </w:t>
      </w:r>
      <w:r>
        <w:rPr>
          <w:spacing w:val="-1"/>
          <w:w w:val="101"/>
        </w:rPr>
        <w:t>to</w:t>
      </w:r>
      <w:r>
        <w:rPr>
          <w:w w:val="101"/>
        </w:rPr>
        <w:t> </w:t>
      </w:r>
      <w:r>
        <w:rPr>
          <w:w w:val="97"/>
        </w:rPr>
        <w:t>the </w:t>
      </w:r>
      <w:r>
        <w:rPr>
          <w:w w:val="99"/>
        </w:rPr>
        <w:t>growth </w:t>
      </w:r>
      <w:r>
        <w:rPr>
          <w:w w:val="99"/>
        </w:rPr>
        <w:t>of </w:t>
      </w:r>
      <w:r>
        <w:rPr/>
        <w:t>Western</w:t>
      </w:r>
      <w:r>
        <w:rPr>
          <w:spacing w:val="-24"/>
        </w:rPr>
        <w:t> </w:t>
      </w:r>
      <w:r>
        <w:rPr/>
        <w:t>Sydney,</w:t>
      </w:r>
      <w:r>
        <w:rPr>
          <w:spacing w:val="-24"/>
        </w:rPr>
        <w:t> </w:t>
      </w:r>
      <w:r>
        <w:rPr/>
        <w:t>the</w:t>
      </w:r>
      <w:r>
        <w:rPr>
          <w:spacing w:val="-24"/>
        </w:rPr>
        <w:t> </w:t>
      </w:r>
      <w:r>
        <w:rPr/>
        <w:t>University</w:t>
      </w:r>
      <w:r>
        <w:rPr>
          <w:spacing w:val="-24"/>
        </w:rPr>
        <w:t> </w:t>
      </w:r>
      <w:r>
        <w:rPr/>
        <w:t>continues</w:t>
      </w:r>
    </w:p>
    <w:p>
      <w:pPr>
        <w:pStyle w:val="BodyText"/>
        <w:spacing w:line="249" w:lineRule="auto"/>
        <w:ind w:left="107" w:right="154"/>
      </w:pPr>
      <w:r>
        <w:rPr/>
        <w:t>to explore innovative approaches to the use and management of its campuses.</w:t>
      </w:r>
    </w:p>
    <w:p>
      <w:pPr>
        <w:pStyle w:val="BodyText"/>
        <w:rPr>
          <w:sz w:val="14"/>
        </w:rPr>
      </w:pPr>
    </w:p>
    <w:p>
      <w:pPr>
        <w:pStyle w:val="BodyText"/>
        <w:spacing w:line="249" w:lineRule="auto"/>
        <w:ind w:left="107" w:right="383"/>
        <w:jc w:val="both"/>
      </w:pPr>
      <w:r>
        <w:rPr/>
        <w:t>As</w:t>
      </w:r>
      <w:r>
        <w:rPr>
          <w:spacing w:val="-11"/>
        </w:rPr>
        <w:t> </w:t>
      </w:r>
      <w:r>
        <w:rPr>
          <w:spacing w:val="2"/>
        </w:rPr>
        <w:t>part</w:t>
      </w:r>
      <w:r>
        <w:rPr>
          <w:spacing w:val="-11"/>
        </w:rPr>
        <w:t> </w:t>
      </w:r>
      <w:r>
        <w:rPr/>
        <w:t>of</w:t>
      </w:r>
      <w:r>
        <w:rPr>
          <w:spacing w:val="-11"/>
        </w:rPr>
        <w:t> </w:t>
      </w:r>
      <w:r>
        <w:rPr/>
        <w:t>its</w:t>
      </w:r>
      <w:r>
        <w:rPr>
          <w:spacing w:val="-11"/>
        </w:rPr>
        <w:t> </w:t>
      </w:r>
      <w:r>
        <w:rPr/>
        <w:t>commitment</w:t>
      </w:r>
      <w:r>
        <w:rPr>
          <w:spacing w:val="-11"/>
        </w:rPr>
        <w:t> </w:t>
      </w:r>
      <w:r>
        <w:rPr/>
        <w:t>to</w:t>
      </w:r>
      <w:r>
        <w:rPr>
          <w:spacing w:val="-11"/>
        </w:rPr>
        <w:t> </w:t>
      </w:r>
      <w:r>
        <w:rPr/>
        <w:t>developing and</w:t>
      </w:r>
      <w:r>
        <w:rPr>
          <w:spacing w:val="-20"/>
        </w:rPr>
        <w:t> </w:t>
      </w:r>
      <w:r>
        <w:rPr/>
        <w:t>delivering</w:t>
      </w:r>
      <w:r>
        <w:rPr>
          <w:spacing w:val="-20"/>
        </w:rPr>
        <w:t> </w:t>
      </w:r>
      <w:r>
        <w:rPr/>
        <w:t>student-centred</w:t>
      </w:r>
      <w:r>
        <w:rPr>
          <w:spacing w:val="-20"/>
        </w:rPr>
        <w:t> </w:t>
      </w:r>
      <w:r>
        <w:rPr/>
        <w:t>learning, the</w:t>
      </w:r>
      <w:r>
        <w:rPr>
          <w:spacing w:val="-17"/>
        </w:rPr>
        <w:t> </w:t>
      </w:r>
      <w:r>
        <w:rPr/>
        <w:t>University</w:t>
      </w:r>
      <w:r>
        <w:rPr>
          <w:spacing w:val="-17"/>
        </w:rPr>
        <w:t> </w:t>
      </w:r>
      <w:r>
        <w:rPr/>
        <w:t>has</w:t>
      </w:r>
      <w:r>
        <w:rPr>
          <w:spacing w:val="-17"/>
        </w:rPr>
        <w:t> </w:t>
      </w:r>
      <w:r>
        <w:rPr/>
        <w:t>continued</w:t>
      </w:r>
      <w:r>
        <w:rPr>
          <w:spacing w:val="-17"/>
        </w:rPr>
        <w:t> </w:t>
      </w:r>
      <w:r>
        <w:rPr/>
        <w:t>to</w:t>
      </w:r>
      <w:r>
        <w:rPr>
          <w:spacing w:val="-17"/>
        </w:rPr>
        <w:t> </w:t>
      </w:r>
      <w:r>
        <w:rPr/>
        <w:t>invest</w:t>
      </w:r>
      <w:r>
        <w:rPr>
          <w:spacing w:val="-17"/>
        </w:rPr>
        <w:t> </w:t>
      </w:r>
      <w:r>
        <w:rPr/>
        <w:t>in</w:t>
      </w:r>
    </w:p>
    <w:p>
      <w:pPr>
        <w:pStyle w:val="BodyText"/>
        <w:spacing w:line="249" w:lineRule="auto"/>
        <w:ind w:left="107"/>
      </w:pPr>
      <w:r>
        <w:rPr/>
        <w:t>innovative,</w:t>
      </w:r>
      <w:r>
        <w:rPr>
          <w:spacing w:val="-20"/>
        </w:rPr>
        <w:t> </w:t>
      </w:r>
      <w:r>
        <w:rPr/>
        <w:t>high-quality</w:t>
      </w:r>
      <w:r>
        <w:rPr>
          <w:spacing w:val="-20"/>
        </w:rPr>
        <w:t> </w:t>
      </w:r>
      <w:r>
        <w:rPr/>
        <w:t>learning</w:t>
      </w:r>
      <w:r>
        <w:rPr>
          <w:spacing w:val="-20"/>
        </w:rPr>
        <w:t> </w:t>
      </w:r>
      <w:r>
        <w:rPr/>
        <w:t>and</w:t>
      </w:r>
      <w:r>
        <w:rPr>
          <w:spacing w:val="-20"/>
        </w:rPr>
        <w:t> </w:t>
      </w:r>
      <w:r>
        <w:rPr/>
        <w:t>teaching facilities across the campus network. Major </w:t>
      </w:r>
      <w:r>
        <w:rPr>
          <w:spacing w:val="1"/>
          <w:w w:val="97"/>
        </w:rPr>
        <w:t>milestones</w:t>
      </w:r>
      <w:r>
        <w:rPr>
          <w:w w:val="97"/>
        </w:rPr>
        <w:t> </w:t>
      </w:r>
      <w:r>
        <w:rPr>
          <w:w w:val="95"/>
        </w:rPr>
        <w:t>in </w:t>
      </w:r>
      <w:r>
        <w:rPr>
          <w:spacing w:val="1"/>
          <w:w w:val="90"/>
        </w:rPr>
        <w:t>2016</w:t>
      </w:r>
      <w:r>
        <w:rPr>
          <w:w w:val="90"/>
        </w:rPr>
        <w:t> </w:t>
      </w:r>
      <w:r>
        <w:rPr>
          <w:spacing w:val="1"/>
          <w:w w:val="98"/>
        </w:rPr>
        <w:t>included</w:t>
      </w:r>
      <w:r>
        <w:rPr>
          <w:w w:val="98"/>
        </w:rPr>
        <w:t> </w:t>
      </w:r>
      <w:r>
        <w:rPr>
          <w:w w:val="97"/>
        </w:rPr>
        <w:t>the</w:t>
      </w:r>
      <w:r>
        <w:rPr>
          <w:spacing w:val="-32"/>
          <w:w w:val="97"/>
        </w:rPr>
        <w:t> </w:t>
      </w:r>
      <w:r>
        <w:rPr>
          <w:spacing w:val="1"/>
          <w:w w:val="99"/>
        </w:rPr>
        <w:t>completion</w:t>
      </w:r>
    </w:p>
    <w:p>
      <w:pPr>
        <w:pStyle w:val="BodyText"/>
        <w:spacing w:line="249" w:lineRule="auto"/>
        <w:ind w:left="107" w:right="-8"/>
      </w:pPr>
      <w:r>
        <w:rPr/>
        <w:t>of the new Parramatta City campus (1PSQ) and the new Science Building on Parramatta South</w:t>
      </w:r>
      <w:r>
        <w:rPr>
          <w:spacing w:val="-24"/>
        </w:rPr>
        <w:t> </w:t>
      </w:r>
      <w:r>
        <w:rPr>
          <w:spacing w:val="2"/>
        </w:rPr>
        <w:t>campus.</w:t>
      </w:r>
      <w:r>
        <w:rPr>
          <w:spacing w:val="-24"/>
        </w:rPr>
        <w:t> </w:t>
      </w:r>
      <w:r>
        <w:rPr>
          <w:spacing w:val="2"/>
        </w:rPr>
        <w:t>1PSQ</w:t>
      </w:r>
      <w:r>
        <w:rPr>
          <w:spacing w:val="-24"/>
        </w:rPr>
        <w:t> </w:t>
      </w:r>
      <w:r>
        <w:rPr/>
        <w:t>will</w:t>
      </w:r>
      <w:r>
        <w:rPr>
          <w:spacing w:val="-24"/>
        </w:rPr>
        <w:t> </w:t>
      </w:r>
      <w:r>
        <w:rPr/>
        <w:t>enable</w:t>
      </w:r>
      <w:r>
        <w:rPr>
          <w:spacing w:val="-24"/>
        </w:rPr>
        <w:t> </w:t>
      </w:r>
      <w:r>
        <w:rPr/>
        <w:t>the</w:t>
      </w:r>
      <w:r>
        <w:rPr>
          <w:spacing w:val="-24"/>
        </w:rPr>
        <w:t> </w:t>
      </w:r>
      <w:r>
        <w:rPr/>
        <w:t>University to offer tailored industry engagement opportunities</w:t>
      </w:r>
      <w:r>
        <w:rPr>
          <w:spacing w:val="-12"/>
        </w:rPr>
        <w:t> </w:t>
      </w:r>
      <w:r>
        <w:rPr/>
        <w:t>to</w:t>
      </w:r>
      <w:r>
        <w:rPr>
          <w:spacing w:val="-12"/>
        </w:rPr>
        <w:t> </w:t>
      </w:r>
      <w:r>
        <w:rPr/>
        <w:t>students</w:t>
      </w:r>
      <w:r>
        <w:rPr>
          <w:spacing w:val="-12"/>
        </w:rPr>
        <w:t> </w:t>
      </w:r>
      <w:r>
        <w:rPr/>
        <w:t>and</w:t>
      </w:r>
      <w:r>
        <w:rPr>
          <w:spacing w:val="-12"/>
        </w:rPr>
        <w:t> </w:t>
      </w:r>
      <w:r>
        <w:rPr/>
        <w:t>staff</w:t>
      </w:r>
      <w:r>
        <w:rPr>
          <w:spacing w:val="-12"/>
        </w:rPr>
        <w:t> </w:t>
      </w:r>
      <w:r>
        <w:rPr/>
        <w:t>from</w:t>
      </w:r>
    </w:p>
    <w:p>
      <w:pPr>
        <w:pStyle w:val="BodyText"/>
        <w:spacing w:line="249" w:lineRule="auto"/>
        <w:ind w:left="107" w:right="123"/>
      </w:pPr>
      <w:r>
        <w:rPr/>
        <w:t>the University’s School of Business, who will work alongside PwC at the new vertical</w:t>
      </w:r>
    </w:p>
    <w:p>
      <w:pPr>
        <w:pStyle w:val="BodyText"/>
        <w:spacing w:line="192" w:lineRule="exact"/>
        <w:ind w:left="107"/>
      </w:pPr>
      <w:r>
        <w:rPr>
          <w:spacing w:val="2"/>
        </w:rPr>
        <w:t>campus.</w:t>
      </w:r>
      <w:r>
        <w:rPr>
          <w:spacing w:val="-23"/>
        </w:rPr>
        <w:t> </w:t>
      </w:r>
      <w:r>
        <w:rPr/>
        <w:t>In</w:t>
      </w:r>
      <w:r>
        <w:rPr>
          <w:spacing w:val="-23"/>
        </w:rPr>
        <w:t> </w:t>
      </w:r>
      <w:r>
        <w:rPr/>
        <w:t>addition,</w:t>
      </w:r>
      <w:r>
        <w:rPr>
          <w:spacing w:val="-23"/>
        </w:rPr>
        <w:t> </w:t>
      </w:r>
      <w:r>
        <w:rPr/>
        <w:t>the</w:t>
      </w:r>
      <w:r>
        <w:rPr>
          <w:spacing w:val="-23"/>
        </w:rPr>
        <w:t> </w:t>
      </w:r>
      <w:r>
        <w:rPr/>
        <w:t>new</w:t>
      </w:r>
      <w:r>
        <w:rPr>
          <w:spacing w:val="-23"/>
        </w:rPr>
        <w:t> </w:t>
      </w:r>
      <w:r>
        <w:rPr/>
        <w:t>Science</w:t>
      </w:r>
      <w:r>
        <w:rPr>
          <w:spacing w:val="-23"/>
        </w:rPr>
        <w:t> </w:t>
      </w:r>
      <w:r>
        <w:rPr/>
        <w:t>Building</w:t>
      </w:r>
    </w:p>
    <w:p>
      <w:pPr>
        <w:pStyle w:val="BodyText"/>
        <w:rPr>
          <w:sz w:val="20"/>
        </w:rPr>
      </w:pPr>
      <w:r>
        <w:rPr/>
        <w:br w:type="column"/>
      </w:r>
      <w:r>
        <w:rPr>
          <w:sz w:val="20"/>
        </w:rPr>
      </w:r>
    </w:p>
    <w:p>
      <w:pPr>
        <w:pStyle w:val="BodyText"/>
        <w:rPr>
          <w:sz w:val="13"/>
        </w:rPr>
      </w:pPr>
      <w:r>
        <w:rPr/>
        <w:drawing>
          <wp:anchor distT="0" distB="0" distL="0" distR="0" allowOverlap="1" layoutInCell="1" locked="0" behindDoc="0" simplePos="0" relativeHeight="1072">
            <wp:simplePos x="0" y="0"/>
            <wp:positionH relativeFrom="page">
              <wp:posOffset>2760002</wp:posOffset>
            </wp:positionH>
            <wp:positionV relativeFrom="paragraph">
              <wp:posOffset>124926</wp:posOffset>
            </wp:positionV>
            <wp:extent cx="1920239" cy="1920239"/>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12" cstate="print"/>
                    <a:stretch>
                      <a:fillRect/>
                    </a:stretch>
                  </pic:blipFill>
                  <pic:spPr>
                    <a:xfrm>
                      <a:off x="0" y="0"/>
                      <a:ext cx="1920239" cy="1920239"/>
                    </a:xfrm>
                    <a:prstGeom prst="rect">
                      <a:avLst/>
                    </a:prstGeom>
                  </pic:spPr>
                </pic:pic>
              </a:graphicData>
            </a:graphic>
          </wp:anchor>
        </w:drawing>
      </w:r>
    </w:p>
    <w:p>
      <w:pPr>
        <w:pStyle w:val="BodyText"/>
        <w:spacing w:line="194" w:lineRule="exact" w:before="40"/>
        <w:ind w:left="107" w:right="206"/>
        <w:rPr>
          <w:rFonts w:ascii="Calibri"/>
        </w:rPr>
      </w:pPr>
      <w:r>
        <w:rPr>
          <w:rFonts w:ascii="Calibri"/>
          <w:w w:val="110"/>
        </w:rPr>
        <w:t>Professor Peter Shergold, AC</w:t>
      </w:r>
    </w:p>
    <w:p>
      <w:pPr>
        <w:pStyle w:val="BodyText"/>
        <w:spacing w:line="192" w:lineRule="exact"/>
        <w:ind w:left="107" w:right="206"/>
      </w:pPr>
      <w:r>
        <w:rPr/>
        <w:t>Chancellor</w:t>
      </w:r>
    </w:p>
    <w:p>
      <w:pPr>
        <w:pStyle w:val="BodyText"/>
      </w:pPr>
    </w:p>
    <w:p>
      <w:pPr>
        <w:pStyle w:val="BodyText"/>
      </w:pPr>
    </w:p>
    <w:p>
      <w:pPr>
        <w:pStyle w:val="BodyText"/>
      </w:pPr>
    </w:p>
    <w:p>
      <w:pPr>
        <w:pStyle w:val="BodyText"/>
      </w:pPr>
    </w:p>
    <w:p>
      <w:pPr>
        <w:pStyle w:val="BodyText"/>
      </w:pPr>
    </w:p>
    <w:p>
      <w:pPr>
        <w:pStyle w:val="BodyText"/>
        <w:spacing w:line="249" w:lineRule="auto" w:before="119"/>
        <w:ind w:left="107" w:right="206"/>
      </w:pPr>
      <w:r>
        <w:rPr/>
        <w:t>houses the largest art therapy space in the Southern Hemisphere and includes six</w:t>
      </w:r>
    </w:p>
    <w:p>
      <w:pPr>
        <w:pStyle w:val="BodyText"/>
        <w:spacing w:line="192" w:lineRule="exact"/>
        <w:ind w:left="107" w:right="1"/>
      </w:pPr>
      <w:r>
        <w:rPr/>
        <w:t>interactive psychology testing laboratories.</w:t>
      </w:r>
    </w:p>
    <w:p>
      <w:pPr>
        <w:pStyle w:val="BodyText"/>
        <w:spacing w:before="7"/>
        <w:rPr>
          <w:sz w:val="14"/>
        </w:rPr>
      </w:pPr>
    </w:p>
    <w:p>
      <w:pPr>
        <w:pStyle w:val="BodyText"/>
        <w:spacing w:line="247" w:lineRule="auto"/>
        <w:ind w:left="107" w:right="1"/>
      </w:pPr>
      <w:r>
        <w:rPr>
          <w:spacing w:val="1"/>
          <w:w w:val="94"/>
        </w:rPr>
        <w:t>The</w:t>
      </w:r>
      <w:r>
        <w:rPr>
          <w:w w:val="94"/>
        </w:rPr>
        <w:t> </w:t>
      </w:r>
      <w:r>
        <w:rPr>
          <w:rFonts w:ascii="Century Gothic" w:hAnsi="Century Gothic"/>
          <w:i/>
          <w:w w:val="88"/>
        </w:rPr>
        <w:t>Research </w:t>
      </w:r>
      <w:r>
        <w:rPr>
          <w:rFonts w:ascii="Century Gothic" w:hAnsi="Century Gothic"/>
          <w:i/>
          <w:spacing w:val="1"/>
          <w:w w:val="80"/>
        </w:rPr>
        <w:t>and</w:t>
      </w:r>
      <w:r>
        <w:rPr>
          <w:rFonts w:ascii="Century Gothic" w:hAnsi="Century Gothic"/>
          <w:i/>
          <w:w w:val="80"/>
        </w:rPr>
        <w:t> </w:t>
      </w:r>
      <w:r>
        <w:rPr>
          <w:rFonts w:ascii="Century Gothic" w:hAnsi="Century Gothic"/>
          <w:i/>
          <w:spacing w:val="1"/>
          <w:w w:val="85"/>
        </w:rPr>
        <w:t>Development</w:t>
      </w:r>
      <w:r>
        <w:rPr>
          <w:rFonts w:ascii="Century Gothic" w:hAnsi="Century Gothic"/>
          <w:i/>
          <w:w w:val="85"/>
        </w:rPr>
        <w:t> </w:t>
      </w:r>
      <w:r>
        <w:rPr>
          <w:rFonts w:ascii="Century Gothic" w:hAnsi="Century Gothic"/>
          <w:i/>
          <w:spacing w:val="1"/>
          <w:w w:val="87"/>
        </w:rPr>
        <w:t>2015–2017</w:t>
      </w:r>
      <w:r>
        <w:rPr>
          <w:rFonts w:ascii="Century Gothic" w:hAnsi="Century Gothic"/>
          <w:i/>
          <w:w w:val="87"/>
        </w:rPr>
        <w:t> </w:t>
      </w:r>
      <w:r>
        <w:rPr/>
        <w:t>strategy has provided a firm foundation for the</w:t>
      </w:r>
      <w:r>
        <w:rPr>
          <w:spacing w:val="-16"/>
        </w:rPr>
        <w:t> </w:t>
      </w:r>
      <w:r>
        <w:rPr/>
        <w:t>University</w:t>
      </w:r>
      <w:r>
        <w:rPr>
          <w:spacing w:val="-16"/>
        </w:rPr>
        <w:t> </w:t>
      </w:r>
      <w:r>
        <w:rPr/>
        <w:t>in</w:t>
      </w:r>
      <w:r>
        <w:rPr>
          <w:spacing w:val="-16"/>
        </w:rPr>
        <w:t> </w:t>
      </w:r>
      <w:r>
        <w:rPr/>
        <w:t>preparing</w:t>
      </w:r>
      <w:r>
        <w:rPr>
          <w:spacing w:val="-16"/>
        </w:rPr>
        <w:t> </w:t>
      </w:r>
      <w:r>
        <w:rPr/>
        <w:t>for</w:t>
      </w:r>
      <w:r>
        <w:rPr>
          <w:spacing w:val="-16"/>
        </w:rPr>
        <w:t> </w:t>
      </w:r>
      <w:r>
        <w:rPr/>
        <w:t>the</w:t>
      </w:r>
      <w:r>
        <w:rPr>
          <w:spacing w:val="-16"/>
        </w:rPr>
        <w:t> </w:t>
      </w:r>
      <w:r>
        <w:rPr/>
        <w:t>challenges of</w:t>
      </w:r>
      <w:r>
        <w:rPr>
          <w:spacing w:val="-21"/>
        </w:rPr>
        <w:t> </w:t>
      </w:r>
      <w:r>
        <w:rPr/>
        <w:t>declining</w:t>
      </w:r>
      <w:r>
        <w:rPr>
          <w:spacing w:val="-21"/>
        </w:rPr>
        <w:t> </w:t>
      </w:r>
      <w:r>
        <w:rPr/>
        <w:t>government</w:t>
      </w:r>
      <w:r>
        <w:rPr>
          <w:spacing w:val="-21"/>
        </w:rPr>
        <w:t> </w:t>
      </w:r>
      <w:r>
        <w:rPr/>
        <w:t>research</w:t>
      </w:r>
      <w:r>
        <w:rPr>
          <w:spacing w:val="-21"/>
        </w:rPr>
        <w:t> </w:t>
      </w:r>
      <w:r>
        <w:rPr/>
        <w:t>funding.</w:t>
      </w:r>
      <w:r>
        <w:rPr>
          <w:spacing w:val="-21"/>
        </w:rPr>
        <w:t> </w:t>
      </w:r>
      <w:r>
        <w:rPr/>
        <w:t>In </w:t>
      </w:r>
      <w:r>
        <w:rPr>
          <w:spacing w:val="2"/>
          <w:w w:val="85"/>
        </w:rPr>
        <w:t>2016,</w:t>
      </w:r>
      <w:r>
        <w:rPr>
          <w:w w:val="85"/>
        </w:rPr>
        <w:t> </w:t>
      </w:r>
      <w:r>
        <w:rPr>
          <w:w w:val="97"/>
        </w:rPr>
        <w:t>the </w:t>
      </w:r>
      <w:r>
        <w:rPr>
          <w:spacing w:val="1"/>
          <w:w w:val="97"/>
        </w:rPr>
        <w:t>University</w:t>
      </w:r>
      <w:r>
        <w:rPr>
          <w:w w:val="97"/>
        </w:rPr>
        <w:t> </w:t>
      </w:r>
      <w:r>
        <w:rPr>
          <w:w w:val="98"/>
        </w:rPr>
        <w:t>grew </w:t>
      </w:r>
      <w:r>
        <w:rPr>
          <w:spacing w:val="1"/>
          <w:w w:val="97"/>
        </w:rPr>
        <w:t>its</w:t>
      </w:r>
      <w:r>
        <w:rPr>
          <w:w w:val="97"/>
        </w:rPr>
        <w:t> </w:t>
      </w:r>
      <w:r>
        <w:rPr>
          <w:w w:val="97"/>
        </w:rPr>
        <w:t>overall </w:t>
      </w:r>
      <w:r>
        <w:rPr>
          <w:spacing w:val="1"/>
          <w:w w:val="96"/>
        </w:rPr>
        <w:t>research</w:t>
      </w:r>
      <w:r>
        <w:rPr>
          <w:w w:val="96"/>
        </w:rPr>
        <w:t> </w:t>
      </w:r>
      <w:r>
        <w:rPr/>
        <w:t>income</w:t>
      </w:r>
      <w:r>
        <w:rPr>
          <w:spacing w:val="-17"/>
        </w:rPr>
        <w:t> </w:t>
      </w:r>
      <w:r>
        <w:rPr/>
        <w:t>at</w:t>
      </w:r>
      <w:r>
        <w:rPr>
          <w:spacing w:val="-17"/>
        </w:rPr>
        <w:t> </w:t>
      </w:r>
      <w:r>
        <w:rPr/>
        <w:t>an</w:t>
      </w:r>
      <w:r>
        <w:rPr>
          <w:spacing w:val="-17"/>
        </w:rPr>
        <w:t> </w:t>
      </w:r>
      <w:r>
        <w:rPr/>
        <w:t>average</w:t>
      </w:r>
      <w:r>
        <w:rPr>
          <w:spacing w:val="-17"/>
        </w:rPr>
        <w:t> </w:t>
      </w:r>
      <w:r>
        <w:rPr/>
        <w:t>of</w:t>
      </w:r>
      <w:r>
        <w:rPr>
          <w:spacing w:val="-17"/>
        </w:rPr>
        <w:t> </w:t>
      </w:r>
      <w:r>
        <w:rPr>
          <w:spacing w:val="2"/>
        </w:rPr>
        <w:t>8.4</w:t>
      </w:r>
      <w:r>
        <w:rPr>
          <w:spacing w:val="-17"/>
        </w:rPr>
        <w:t> </w:t>
      </w:r>
      <w:r>
        <w:rPr/>
        <w:t>per</w:t>
      </w:r>
      <w:r>
        <w:rPr>
          <w:spacing w:val="-17"/>
        </w:rPr>
        <w:t> </w:t>
      </w:r>
      <w:r>
        <w:rPr/>
        <w:t>cent</w:t>
      </w:r>
      <w:r>
        <w:rPr>
          <w:spacing w:val="-17"/>
        </w:rPr>
        <w:t> </w:t>
      </w:r>
      <w:r>
        <w:rPr/>
        <w:t>per</w:t>
      </w:r>
      <w:r>
        <w:rPr>
          <w:spacing w:val="-17"/>
        </w:rPr>
        <w:t> </w:t>
      </w:r>
      <w:r>
        <w:rPr/>
        <w:t>year </w:t>
      </w:r>
      <w:r>
        <w:rPr>
          <w:spacing w:val="1"/>
          <w:w w:val="98"/>
        </w:rPr>
        <w:t>from</w:t>
      </w:r>
      <w:r>
        <w:rPr>
          <w:w w:val="98"/>
        </w:rPr>
        <w:t> </w:t>
      </w:r>
      <w:r>
        <w:rPr>
          <w:w w:val="94"/>
        </w:rPr>
        <w:t>a </w:t>
      </w:r>
      <w:r>
        <w:rPr>
          <w:spacing w:val="1"/>
          <w:w w:val="88"/>
        </w:rPr>
        <w:t>2013</w:t>
      </w:r>
      <w:r>
        <w:rPr>
          <w:w w:val="88"/>
        </w:rPr>
        <w:t> </w:t>
      </w:r>
      <w:r>
        <w:rPr>
          <w:spacing w:val="1"/>
          <w:w w:val="96"/>
        </w:rPr>
        <w:t>base</w:t>
      </w:r>
      <w:r>
        <w:rPr>
          <w:w w:val="96"/>
        </w:rPr>
        <w:t> </w:t>
      </w:r>
      <w:r>
        <w:rPr>
          <w:spacing w:val="-1"/>
          <w:w w:val="91"/>
        </w:rPr>
        <w:t>year.</w:t>
      </w:r>
      <w:r>
        <w:rPr>
          <w:w w:val="91"/>
        </w:rPr>
        <w:t> </w:t>
      </w:r>
      <w:r>
        <w:rPr>
          <w:spacing w:val="1"/>
          <w:w w:val="80"/>
        </w:rPr>
        <w:t>In</w:t>
      </w:r>
      <w:r>
        <w:rPr>
          <w:w w:val="80"/>
        </w:rPr>
        <w:t> </w:t>
      </w:r>
      <w:r>
        <w:rPr>
          <w:spacing w:val="1"/>
          <w:w w:val="84"/>
        </w:rPr>
        <w:t>2015,</w:t>
      </w:r>
      <w:r>
        <w:rPr>
          <w:w w:val="84"/>
        </w:rPr>
        <w:t> </w:t>
      </w:r>
      <w:r>
        <w:rPr>
          <w:w w:val="97"/>
        </w:rPr>
        <w:t>the </w:t>
      </w:r>
      <w:r>
        <w:rPr>
          <w:spacing w:val="1"/>
          <w:w w:val="97"/>
        </w:rPr>
        <w:t>Australian</w:t>
      </w:r>
      <w:r>
        <w:rPr>
          <w:w w:val="97"/>
        </w:rPr>
        <w:t> </w:t>
      </w:r>
      <w:r>
        <w:rPr/>
        <w:t>Government</w:t>
      </w:r>
      <w:r>
        <w:rPr>
          <w:spacing w:val="-16"/>
        </w:rPr>
        <w:t> </w:t>
      </w:r>
      <w:r>
        <w:rPr/>
        <w:t>announced</w:t>
      </w:r>
      <w:r>
        <w:rPr>
          <w:spacing w:val="-16"/>
        </w:rPr>
        <w:t> </w:t>
      </w:r>
      <w:r>
        <w:rPr/>
        <w:t>the</w:t>
      </w:r>
      <w:r>
        <w:rPr>
          <w:spacing w:val="-16"/>
        </w:rPr>
        <w:t> </w:t>
      </w:r>
      <w:r>
        <w:rPr/>
        <w:t>introduction</w:t>
      </w:r>
    </w:p>
    <w:p>
      <w:pPr>
        <w:pStyle w:val="BodyText"/>
        <w:spacing w:line="249" w:lineRule="auto" w:before="1"/>
        <w:ind w:left="107" w:right="278"/>
      </w:pPr>
      <w:r>
        <w:rPr/>
        <w:t>of a national impact and engagement assessment</w:t>
      </w:r>
      <w:r>
        <w:rPr>
          <w:spacing w:val="-22"/>
        </w:rPr>
        <w:t> </w:t>
      </w:r>
      <w:r>
        <w:rPr/>
        <w:t>for</w:t>
      </w:r>
      <w:r>
        <w:rPr>
          <w:spacing w:val="-22"/>
        </w:rPr>
        <w:t> </w:t>
      </w:r>
      <w:r>
        <w:rPr/>
        <w:t>research</w:t>
      </w:r>
      <w:r>
        <w:rPr>
          <w:spacing w:val="-22"/>
        </w:rPr>
        <w:t> </w:t>
      </w:r>
      <w:r>
        <w:rPr/>
        <w:t>funding.</w:t>
      </w:r>
      <w:r>
        <w:rPr>
          <w:spacing w:val="-22"/>
        </w:rPr>
        <w:t> </w:t>
      </w:r>
      <w:r>
        <w:rPr/>
        <w:t>Western Sydney University has begun preparing for this reorientation in research funding and</w:t>
      </w:r>
      <w:r>
        <w:rPr>
          <w:spacing w:val="-17"/>
        </w:rPr>
        <w:t> </w:t>
      </w:r>
      <w:r>
        <w:rPr/>
        <w:t>has</w:t>
      </w:r>
      <w:r>
        <w:rPr>
          <w:spacing w:val="-17"/>
        </w:rPr>
        <w:t> </w:t>
      </w:r>
      <w:r>
        <w:rPr/>
        <w:t>increased</w:t>
      </w:r>
      <w:r>
        <w:rPr>
          <w:spacing w:val="-17"/>
        </w:rPr>
        <w:t> </w:t>
      </w:r>
      <w:r>
        <w:rPr/>
        <w:t>its</w:t>
      </w:r>
      <w:r>
        <w:rPr>
          <w:spacing w:val="-17"/>
        </w:rPr>
        <w:t> </w:t>
      </w:r>
      <w:r>
        <w:rPr/>
        <w:t>consulting</w:t>
      </w:r>
      <w:r>
        <w:rPr>
          <w:spacing w:val="-17"/>
        </w:rPr>
        <w:t> </w:t>
      </w:r>
      <w:r>
        <w:rPr/>
        <w:t>income</w:t>
      </w:r>
    </w:p>
    <w:p>
      <w:pPr>
        <w:pStyle w:val="BodyText"/>
        <w:spacing w:line="249" w:lineRule="auto"/>
        <w:ind w:left="107" w:right="122"/>
      </w:pPr>
      <w:r>
        <w:rPr/>
        <w:t>– a key marker of industry engagement. This rapidly growing area of the research income portfolio reflects positively on the targeted investments that have been made under the University’s Research Plan.</w:t>
      </w:r>
    </w:p>
    <w:p>
      <w:pPr>
        <w:pStyle w:val="BodyText"/>
        <w:rPr>
          <w:sz w:val="14"/>
        </w:rPr>
      </w:pPr>
    </w:p>
    <w:p>
      <w:pPr>
        <w:pStyle w:val="BodyText"/>
        <w:spacing w:line="249" w:lineRule="auto"/>
        <w:ind w:left="107" w:right="278"/>
      </w:pPr>
      <w:r>
        <w:rPr>
          <w:w w:val="80"/>
        </w:rPr>
        <w:t>In </w:t>
      </w:r>
      <w:r>
        <w:rPr>
          <w:w w:val="85"/>
        </w:rPr>
        <w:t>2016, </w:t>
      </w:r>
      <w:r>
        <w:rPr>
          <w:w w:val="98"/>
        </w:rPr>
        <w:t>we </w:t>
      </w:r>
      <w:r>
        <w:rPr>
          <w:w w:val="97"/>
        </w:rPr>
        <w:t>heightened </w:t>
      </w:r>
      <w:r>
        <w:rPr>
          <w:w w:val="97"/>
        </w:rPr>
        <w:t>our </w:t>
      </w:r>
      <w:r>
        <w:rPr>
          <w:w w:val="99"/>
        </w:rPr>
        <w:t>commitment </w:t>
      </w:r>
      <w:r>
        <w:rPr/>
        <w:t>to equity and access through increased philanthropic activity and scholarship development. We offer more than 300 University-funded scholarships to current students, school-leavers and mature age</w:t>
      </w:r>
    </w:p>
    <w:p>
      <w:pPr>
        <w:pStyle w:val="BodyText"/>
        <w:spacing w:line="249" w:lineRule="auto"/>
        <w:ind w:left="107" w:right="-18"/>
      </w:pPr>
      <w:r>
        <w:rPr/>
        <w:t>students</w:t>
      </w:r>
      <w:r>
        <w:rPr>
          <w:spacing w:val="-17"/>
        </w:rPr>
        <w:t> </w:t>
      </w:r>
      <w:r>
        <w:rPr/>
        <w:t>from</w:t>
      </w:r>
      <w:r>
        <w:rPr>
          <w:spacing w:val="-17"/>
        </w:rPr>
        <w:t> </w:t>
      </w:r>
      <w:r>
        <w:rPr/>
        <w:t>the</w:t>
      </w:r>
      <w:r>
        <w:rPr>
          <w:spacing w:val="-17"/>
        </w:rPr>
        <w:t> </w:t>
      </w:r>
      <w:r>
        <w:rPr/>
        <w:t>Western</w:t>
      </w:r>
      <w:r>
        <w:rPr>
          <w:spacing w:val="-17"/>
        </w:rPr>
        <w:t> </w:t>
      </w:r>
      <w:r>
        <w:rPr/>
        <w:t>Sydney</w:t>
      </w:r>
      <w:r>
        <w:rPr>
          <w:spacing w:val="-17"/>
        </w:rPr>
        <w:t> </w:t>
      </w:r>
      <w:r>
        <w:rPr/>
        <w:t>region.</w:t>
      </w:r>
      <w:r>
        <w:rPr>
          <w:spacing w:val="-17"/>
        </w:rPr>
        <w:t> </w:t>
      </w:r>
      <w:r>
        <w:rPr/>
        <w:t>We are</w:t>
      </w:r>
      <w:r>
        <w:rPr>
          <w:spacing w:val="-14"/>
        </w:rPr>
        <w:t> </w:t>
      </w:r>
      <w:r>
        <w:rPr/>
        <w:t>especially</w:t>
      </w:r>
      <w:r>
        <w:rPr>
          <w:spacing w:val="-14"/>
        </w:rPr>
        <w:t> </w:t>
      </w:r>
      <w:r>
        <w:rPr/>
        <w:t>proud</w:t>
      </w:r>
      <w:r>
        <w:rPr>
          <w:spacing w:val="-14"/>
        </w:rPr>
        <w:t> </w:t>
      </w:r>
      <w:r>
        <w:rPr/>
        <w:t>of</w:t>
      </w:r>
      <w:r>
        <w:rPr>
          <w:spacing w:val="-14"/>
        </w:rPr>
        <w:t> </w:t>
      </w:r>
      <w:r>
        <w:rPr/>
        <w:t>the</w:t>
      </w:r>
      <w:r>
        <w:rPr>
          <w:spacing w:val="-14"/>
        </w:rPr>
        <w:t> </w:t>
      </w:r>
      <w:r>
        <w:rPr/>
        <w:t>growing</w:t>
      </w:r>
      <w:r>
        <w:rPr>
          <w:spacing w:val="-14"/>
        </w:rPr>
        <w:t> </w:t>
      </w:r>
      <w:r>
        <w:rPr/>
        <w:t>success</w:t>
      </w:r>
      <w:r>
        <w:rPr>
          <w:spacing w:val="-14"/>
        </w:rPr>
        <w:t> </w:t>
      </w:r>
      <w:r>
        <w:rPr/>
        <w:t>of our Refugee Scholarship Fund. Established in </w:t>
      </w:r>
      <w:r>
        <w:rPr>
          <w:spacing w:val="1"/>
          <w:w w:val="88"/>
        </w:rPr>
        <w:t>2015</w:t>
      </w:r>
      <w:r>
        <w:rPr>
          <w:w w:val="88"/>
        </w:rPr>
        <w:t> </w:t>
      </w:r>
      <w:r>
        <w:rPr>
          <w:w w:val="98"/>
        </w:rPr>
        <w:t>with </w:t>
      </w:r>
      <w:r>
        <w:rPr>
          <w:w w:val="94"/>
        </w:rPr>
        <w:t>a </w:t>
      </w:r>
      <w:r>
        <w:rPr>
          <w:spacing w:val="1"/>
          <w:w w:val="97"/>
        </w:rPr>
        <w:t>lead</w:t>
      </w:r>
      <w:r>
        <w:rPr>
          <w:w w:val="97"/>
        </w:rPr>
        <w:t> </w:t>
      </w:r>
      <w:r>
        <w:rPr>
          <w:spacing w:val="1"/>
          <w:w w:val="98"/>
        </w:rPr>
        <w:t>donation</w:t>
      </w:r>
      <w:r>
        <w:rPr>
          <w:w w:val="98"/>
        </w:rPr>
        <w:t> </w:t>
      </w:r>
      <w:r>
        <w:rPr>
          <w:spacing w:val="1"/>
          <w:w w:val="98"/>
        </w:rPr>
        <w:t>from</w:t>
      </w:r>
      <w:r>
        <w:rPr>
          <w:w w:val="98"/>
        </w:rPr>
        <w:t> </w:t>
      </w:r>
      <w:r>
        <w:rPr>
          <w:w w:val="97"/>
        </w:rPr>
        <w:t>the </w:t>
      </w:r>
      <w:r>
        <w:rPr>
          <w:w w:val="95"/>
        </w:rPr>
        <w:t>University, </w:t>
      </w:r>
      <w:r>
        <w:rPr/>
        <w:t>the initiative has been generously supported by University staff members and the wider community.</w:t>
      </w:r>
      <w:r>
        <w:rPr>
          <w:spacing w:val="-19"/>
        </w:rPr>
        <w:t> </w:t>
      </w:r>
      <w:r>
        <w:rPr/>
        <w:t>The</w:t>
      </w:r>
      <w:r>
        <w:rPr>
          <w:spacing w:val="-19"/>
        </w:rPr>
        <w:t> </w:t>
      </w:r>
      <w:r>
        <w:rPr/>
        <w:t>fund</w:t>
      </w:r>
      <w:r>
        <w:rPr>
          <w:spacing w:val="-19"/>
        </w:rPr>
        <w:t> </w:t>
      </w:r>
      <w:r>
        <w:rPr/>
        <w:t>has</w:t>
      </w:r>
      <w:r>
        <w:rPr>
          <w:spacing w:val="-19"/>
        </w:rPr>
        <w:t> </w:t>
      </w:r>
      <w:r>
        <w:rPr/>
        <w:t>grown</w:t>
      </w:r>
      <w:r>
        <w:rPr>
          <w:spacing w:val="-19"/>
        </w:rPr>
        <w:t> </w:t>
      </w:r>
      <w:r>
        <w:rPr/>
        <w:t>to</w:t>
      </w:r>
      <w:r>
        <w:rPr>
          <w:spacing w:val="-19"/>
        </w:rPr>
        <w:t> </w:t>
      </w:r>
      <w:r>
        <w:rPr/>
        <w:t>more</w:t>
      </w:r>
    </w:p>
    <w:p>
      <w:pPr>
        <w:pStyle w:val="BodyText"/>
        <w:spacing w:line="249" w:lineRule="auto"/>
        <w:ind w:left="107" w:right="1"/>
      </w:pPr>
      <w:r>
        <w:rPr/>
        <w:t>than</w:t>
      </w:r>
      <w:r>
        <w:rPr>
          <w:spacing w:val="-18"/>
        </w:rPr>
        <w:t> </w:t>
      </w:r>
      <w:r>
        <w:rPr/>
        <w:t>$2</w:t>
      </w:r>
      <w:r>
        <w:rPr>
          <w:spacing w:val="-18"/>
        </w:rPr>
        <w:t> </w:t>
      </w:r>
      <w:r>
        <w:rPr/>
        <w:t>million,</w:t>
      </w:r>
      <w:r>
        <w:rPr>
          <w:spacing w:val="-18"/>
        </w:rPr>
        <w:t> </w:t>
      </w:r>
      <w:r>
        <w:rPr/>
        <w:t>and</w:t>
      </w:r>
      <w:r>
        <w:rPr>
          <w:spacing w:val="-18"/>
        </w:rPr>
        <w:t> </w:t>
      </w:r>
      <w:r>
        <w:rPr/>
        <w:t>enabled</w:t>
      </w:r>
      <w:r>
        <w:rPr>
          <w:spacing w:val="-18"/>
        </w:rPr>
        <w:t> </w:t>
      </w:r>
      <w:r>
        <w:rPr/>
        <w:t>the</w:t>
      </w:r>
      <w:r>
        <w:rPr>
          <w:spacing w:val="-18"/>
        </w:rPr>
        <w:t> </w:t>
      </w:r>
      <w:r>
        <w:rPr/>
        <w:t>University</w:t>
      </w:r>
      <w:r>
        <w:rPr>
          <w:spacing w:val="-18"/>
        </w:rPr>
        <w:t> </w:t>
      </w:r>
      <w:r>
        <w:rPr/>
        <w:t>to </w:t>
      </w:r>
      <w:r>
        <w:rPr>
          <w:w w:val="97"/>
        </w:rPr>
        <w:t>award </w:t>
      </w:r>
      <w:r>
        <w:rPr>
          <w:spacing w:val="1"/>
          <w:w w:val="74"/>
        </w:rPr>
        <w:t>15</w:t>
      </w:r>
      <w:r>
        <w:rPr>
          <w:w w:val="74"/>
        </w:rPr>
        <w:t> </w:t>
      </w:r>
      <w:r>
        <w:rPr>
          <w:w w:val="97"/>
        </w:rPr>
        <w:t>new </w:t>
      </w:r>
      <w:r>
        <w:rPr>
          <w:spacing w:val="1"/>
          <w:w w:val="97"/>
        </w:rPr>
        <w:t>refugee</w:t>
      </w:r>
      <w:r>
        <w:rPr>
          <w:w w:val="97"/>
        </w:rPr>
        <w:t> </w:t>
      </w:r>
      <w:r>
        <w:rPr>
          <w:spacing w:val="1"/>
          <w:w w:val="96"/>
        </w:rPr>
        <w:t>scholarships</w:t>
      </w:r>
      <w:r>
        <w:rPr>
          <w:w w:val="96"/>
        </w:rPr>
        <w:t> </w:t>
      </w:r>
      <w:r>
        <w:rPr>
          <w:w w:val="95"/>
        </w:rPr>
        <w:t>in</w:t>
      </w:r>
      <w:r>
        <w:rPr>
          <w:spacing w:val="-33"/>
          <w:w w:val="95"/>
        </w:rPr>
        <w:t> </w:t>
      </w:r>
      <w:r>
        <w:rPr>
          <w:spacing w:val="2"/>
          <w:w w:val="85"/>
        </w:rPr>
        <w:t>2016.</w:t>
      </w:r>
    </w:p>
    <w:p>
      <w:pPr>
        <w:pStyle w:val="BodyText"/>
        <w:rPr>
          <w:sz w:val="14"/>
        </w:rPr>
      </w:pPr>
    </w:p>
    <w:p>
      <w:pPr>
        <w:pStyle w:val="BodyText"/>
        <w:spacing w:line="249" w:lineRule="auto"/>
        <w:ind w:left="107" w:right="122"/>
      </w:pPr>
      <w:r>
        <w:rPr/>
        <w:t>Throughout the year, the University strengthened its international partnerships, particularly in China, and in Asia more generally. Key successes included opening the Western Sydney University–Ningbo Cooperative Education Centre and establishing a presence in regional China, with a focus on the Fujian and Guandong provinces. The Australia-China Institute</w:t>
      </w:r>
    </w:p>
    <w:p>
      <w:pPr>
        <w:pStyle w:val="BodyText"/>
        <w:spacing w:line="249" w:lineRule="auto"/>
        <w:ind w:left="107" w:right="1"/>
      </w:pPr>
      <w:r>
        <w:rPr>
          <w:w w:val="98"/>
        </w:rPr>
        <w:t>for </w:t>
      </w:r>
      <w:r>
        <w:rPr>
          <w:w w:val="101"/>
        </w:rPr>
        <w:t>Arts </w:t>
      </w:r>
      <w:r>
        <w:rPr>
          <w:w w:val="97"/>
        </w:rPr>
        <w:t>and </w:t>
      </w:r>
      <w:r>
        <w:rPr>
          <w:w w:val="97"/>
        </w:rPr>
        <w:t>Culture </w:t>
      </w:r>
      <w:r>
        <w:rPr>
          <w:w w:val="96"/>
        </w:rPr>
        <w:t>was </w:t>
      </w:r>
      <w:r>
        <w:rPr>
          <w:w w:val="97"/>
        </w:rPr>
        <w:t>launched </w:t>
      </w:r>
      <w:r>
        <w:rPr>
          <w:w w:val="95"/>
        </w:rPr>
        <w:t>in </w:t>
      </w:r>
      <w:r>
        <w:rPr>
          <w:w w:val="85"/>
        </w:rPr>
        <w:t>2016, </w:t>
      </w:r>
      <w:r>
        <w:rPr/>
        <w:t>with former diplomat and leading academic</w:t>
      </w:r>
    </w:p>
    <w:p>
      <w:pPr>
        <w:pStyle w:val="BodyText"/>
        <w:rPr>
          <w:sz w:val="20"/>
        </w:rPr>
      </w:pPr>
      <w:r>
        <w:rPr/>
        <w:br w:type="column"/>
      </w:r>
      <w:r>
        <w:rPr>
          <w:sz w:val="20"/>
        </w:rPr>
      </w:r>
    </w:p>
    <w:p>
      <w:pPr>
        <w:pStyle w:val="BodyText"/>
        <w:rPr>
          <w:sz w:val="13"/>
        </w:rPr>
      </w:pPr>
      <w:r>
        <w:rPr/>
        <w:drawing>
          <wp:anchor distT="0" distB="0" distL="0" distR="0" allowOverlap="1" layoutInCell="1" locked="0" behindDoc="0" simplePos="0" relativeHeight="1096">
            <wp:simplePos x="0" y="0"/>
            <wp:positionH relativeFrom="page">
              <wp:posOffset>4943995</wp:posOffset>
            </wp:positionH>
            <wp:positionV relativeFrom="paragraph">
              <wp:posOffset>124926</wp:posOffset>
            </wp:positionV>
            <wp:extent cx="1909286" cy="1909286"/>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13" cstate="print"/>
                    <a:stretch>
                      <a:fillRect/>
                    </a:stretch>
                  </pic:blipFill>
                  <pic:spPr>
                    <a:xfrm>
                      <a:off x="0" y="0"/>
                      <a:ext cx="1909286" cy="1909286"/>
                    </a:xfrm>
                    <a:prstGeom prst="rect">
                      <a:avLst/>
                    </a:prstGeom>
                  </pic:spPr>
                </pic:pic>
              </a:graphicData>
            </a:graphic>
          </wp:anchor>
        </w:drawing>
      </w:r>
    </w:p>
    <w:p>
      <w:pPr>
        <w:pStyle w:val="BodyText"/>
        <w:spacing w:line="194" w:lineRule="exact" w:before="58"/>
        <w:ind w:left="107"/>
        <w:rPr>
          <w:rFonts w:ascii="Calibri"/>
        </w:rPr>
      </w:pPr>
      <w:r>
        <w:rPr>
          <w:rFonts w:ascii="Calibri"/>
          <w:w w:val="110"/>
        </w:rPr>
        <w:t>Professor Barney Glover</w:t>
      </w:r>
    </w:p>
    <w:p>
      <w:pPr>
        <w:pStyle w:val="BodyText"/>
        <w:spacing w:line="192" w:lineRule="exact"/>
        <w:ind w:left="107"/>
      </w:pPr>
      <w:r>
        <w:rPr/>
        <w:t>Vice-Chancellor and President</w:t>
      </w:r>
    </w:p>
    <w:p>
      <w:pPr>
        <w:pStyle w:val="BodyText"/>
      </w:pPr>
    </w:p>
    <w:p>
      <w:pPr>
        <w:pStyle w:val="BodyText"/>
      </w:pPr>
    </w:p>
    <w:p>
      <w:pPr>
        <w:pStyle w:val="BodyText"/>
      </w:pPr>
    </w:p>
    <w:p>
      <w:pPr>
        <w:pStyle w:val="BodyText"/>
      </w:pPr>
    </w:p>
    <w:p>
      <w:pPr>
        <w:pStyle w:val="BodyText"/>
      </w:pPr>
    </w:p>
    <w:p>
      <w:pPr>
        <w:pStyle w:val="BodyText"/>
        <w:spacing w:line="249" w:lineRule="auto" w:before="119"/>
        <w:ind w:left="107" w:right="111"/>
      </w:pPr>
      <w:r>
        <w:rPr/>
        <w:t>Professor Jocelyn Chey, AM as Foundation Director.</w:t>
      </w:r>
      <w:r>
        <w:rPr>
          <w:spacing w:val="-22"/>
        </w:rPr>
        <w:t> </w:t>
      </w:r>
      <w:r>
        <w:rPr/>
        <w:t>Our</w:t>
      </w:r>
      <w:r>
        <w:rPr>
          <w:spacing w:val="-22"/>
        </w:rPr>
        <w:t> </w:t>
      </w:r>
      <w:r>
        <w:rPr/>
        <w:t>growing</w:t>
      </w:r>
      <w:r>
        <w:rPr>
          <w:spacing w:val="-22"/>
        </w:rPr>
        <w:t> </w:t>
      </w:r>
      <w:r>
        <w:rPr/>
        <w:t>international</w:t>
      </w:r>
      <w:r>
        <w:rPr>
          <w:spacing w:val="-22"/>
        </w:rPr>
        <w:t> </w:t>
      </w:r>
      <w:r>
        <w:rPr/>
        <w:t>reputation has</w:t>
      </w:r>
      <w:r>
        <w:rPr>
          <w:spacing w:val="-16"/>
        </w:rPr>
        <w:t> </w:t>
      </w:r>
      <w:r>
        <w:rPr/>
        <w:t>boosted</w:t>
      </w:r>
      <w:r>
        <w:rPr>
          <w:spacing w:val="-16"/>
        </w:rPr>
        <w:t> </w:t>
      </w:r>
      <w:r>
        <w:rPr/>
        <w:t>our</w:t>
      </w:r>
      <w:r>
        <w:rPr>
          <w:spacing w:val="-16"/>
        </w:rPr>
        <w:t> </w:t>
      </w:r>
      <w:r>
        <w:rPr/>
        <w:t>overseas</w:t>
      </w:r>
      <w:r>
        <w:rPr>
          <w:spacing w:val="-16"/>
        </w:rPr>
        <w:t> </w:t>
      </w:r>
      <w:r>
        <w:rPr/>
        <w:t>enrolments</w:t>
      </w:r>
      <w:r>
        <w:rPr>
          <w:spacing w:val="-16"/>
        </w:rPr>
        <w:t> </w:t>
      </w:r>
      <w:r>
        <w:rPr/>
        <w:t>and</w:t>
      </w:r>
      <w:r>
        <w:rPr>
          <w:spacing w:val="-16"/>
        </w:rPr>
        <w:t> </w:t>
      </w:r>
      <w:r>
        <w:rPr/>
        <w:t>led to</w:t>
      </w:r>
      <w:r>
        <w:rPr>
          <w:spacing w:val="-19"/>
        </w:rPr>
        <w:t> </w:t>
      </w:r>
      <w:r>
        <w:rPr/>
        <w:t>the</w:t>
      </w:r>
      <w:r>
        <w:rPr>
          <w:spacing w:val="-19"/>
        </w:rPr>
        <w:t> </w:t>
      </w:r>
      <w:r>
        <w:rPr/>
        <w:t>establishment</w:t>
      </w:r>
      <w:r>
        <w:rPr>
          <w:spacing w:val="-19"/>
        </w:rPr>
        <w:t> </w:t>
      </w:r>
      <w:r>
        <w:rPr/>
        <w:t>of</w:t>
      </w:r>
      <w:r>
        <w:rPr>
          <w:spacing w:val="-19"/>
        </w:rPr>
        <w:t> </w:t>
      </w:r>
      <w:r>
        <w:rPr/>
        <w:t>the</w:t>
      </w:r>
      <w:r>
        <w:rPr>
          <w:spacing w:val="-19"/>
        </w:rPr>
        <w:t> </w:t>
      </w:r>
      <w:r>
        <w:rPr/>
        <w:t>WSU</w:t>
      </w:r>
      <w:r>
        <w:rPr>
          <w:spacing w:val="-19"/>
        </w:rPr>
        <w:t> </w:t>
      </w:r>
      <w:r>
        <w:rPr/>
        <w:t>International College</w:t>
      </w:r>
      <w:r>
        <w:rPr>
          <w:spacing w:val="-23"/>
        </w:rPr>
        <w:t> </w:t>
      </w:r>
      <w:r>
        <w:rPr/>
        <w:t>as</w:t>
      </w:r>
      <w:r>
        <w:rPr>
          <w:spacing w:val="-23"/>
        </w:rPr>
        <w:t> </w:t>
      </w:r>
      <w:r>
        <w:rPr/>
        <w:t>an</w:t>
      </w:r>
      <w:r>
        <w:rPr>
          <w:spacing w:val="-23"/>
        </w:rPr>
        <w:t> </w:t>
      </w:r>
      <w:r>
        <w:rPr/>
        <w:t>alternative</w:t>
      </w:r>
      <w:r>
        <w:rPr>
          <w:spacing w:val="-23"/>
        </w:rPr>
        <w:t> </w:t>
      </w:r>
      <w:r>
        <w:rPr/>
        <w:t>student</w:t>
      </w:r>
      <w:r>
        <w:rPr>
          <w:spacing w:val="-23"/>
        </w:rPr>
        <w:t> </w:t>
      </w:r>
      <w:r>
        <w:rPr/>
        <w:t>pathway.</w:t>
      </w:r>
    </w:p>
    <w:p>
      <w:pPr>
        <w:pStyle w:val="BodyText"/>
        <w:rPr>
          <w:sz w:val="14"/>
        </w:rPr>
      </w:pPr>
    </w:p>
    <w:p>
      <w:pPr>
        <w:pStyle w:val="BodyText"/>
        <w:spacing w:line="249" w:lineRule="auto"/>
        <w:ind w:left="107" w:right="111"/>
      </w:pPr>
      <w:r>
        <w:rPr/>
        <w:t>Globally, Western Sydney University performed well in a highly competitive environment.</w:t>
      </w:r>
      <w:r>
        <w:rPr>
          <w:spacing w:val="-20"/>
        </w:rPr>
        <w:t> </w:t>
      </w:r>
      <w:r>
        <w:rPr/>
        <w:t>The</w:t>
      </w:r>
      <w:r>
        <w:rPr>
          <w:spacing w:val="-20"/>
        </w:rPr>
        <w:t> </w:t>
      </w:r>
      <w:r>
        <w:rPr/>
        <w:t>University</w:t>
      </w:r>
      <w:r>
        <w:rPr>
          <w:spacing w:val="-20"/>
        </w:rPr>
        <w:t> </w:t>
      </w:r>
      <w:r>
        <w:rPr/>
        <w:t>appeared</w:t>
      </w:r>
      <w:r>
        <w:rPr>
          <w:spacing w:val="-20"/>
        </w:rPr>
        <w:t> </w:t>
      </w:r>
      <w:r>
        <w:rPr/>
        <w:t>for</w:t>
      </w:r>
      <w:r>
        <w:rPr>
          <w:spacing w:val="-20"/>
        </w:rPr>
        <w:t> </w:t>
      </w:r>
      <w:r>
        <w:rPr/>
        <w:t>the first time in the Academic Ranking of World Universities,</w:t>
      </w:r>
      <w:r>
        <w:rPr>
          <w:spacing w:val="-19"/>
        </w:rPr>
        <w:t> </w:t>
      </w:r>
      <w:r>
        <w:rPr/>
        <w:t>placing</w:t>
      </w:r>
      <w:r>
        <w:rPr>
          <w:spacing w:val="-19"/>
        </w:rPr>
        <w:t> </w:t>
      </w:r>
      <w:r>
        <w:rPr/>
        <w:t>in</w:t>
      </w:r>
      <w:r>
        <w:rPr>
          <w:spacing w:val="-19"/>
        </w:rPr>
        <w:t> </w:t>
      </w:r>
      <w:r>
        <w:rPr/>
        <w:t>the</w:t>
      </w:r>
      <w:r>
        <w:rPr>
          <w:spacing w:val="-19"/>
        </w:rPr>
        <w:t> </w:t>
      </w:r>
      <w:r>
        <w:rPr/>
        <w:t>top</w:t>
      </w:r>
      <w:r>
        <w:rPr>
          <w:spacing w:val="-19"/>
        </w:rPr>
        <w:t> </w:t>
      </w:r>
      <w:r>
        <w:rPr/>
        <w:t>3</w:t>
      </w:r>
      <w:r>
        <w:rPr>
          <w:spacing w:val="-19"/>
        </w:rPr>
        <w:t> </w:t>
      </w:r>
      <w:r>
        <w:rPr/>
        <w:t>per</w:t>
      </w:r>
      <w:r>
        <w:rPr>
          <w:spacing w:val="-19"/>
        </w:rPr>
        <w:t> </w:t>
      </w:r>
      <w:r>
        <w:rPr/>
        <w:t>cent.</w:t>
      </w:r>
      <w:r>
        <w:rPr>
          <w:spacing w:val="-19"/>
        </w:rPr>
        <w:t> </w:t>
      </w:r>
      <w:r>
        <w:rPr>
          <w:spacing w:val="-3"/>
        </w:rPr>
        <w:t>Ten </w:t>
      </w:r>
      <w:r>
        <w:rPr/>
        <w:t>subject areas at Western Sydney University were</w:t>
      </w:r>
      <w:r>
        <w:rPr>
          <w:spacing w:val="-11"/>
        </w:rPr>
        <w:t> </w:t>
      </w:r>
      <w:r>
        <w:rPr/>
        <w:t>listed</w:t>
      </w:r>
      <w:r>
        <w:rPr>
          <w:spacing w:val="-11"/>
        </w:rPr>
        <w:t> </w:t>
      </w:r>
      <w:r>
        <w:rPr/>
        <w:t>in</w:t>
      </w:r>
      <w:r>
        <w:rPr>
          <w:spacing w:val="-11"/>
        </w:rPr>
        <w:t> </w:t>
      </w:r>
      <w:r>
        <w:rPr/>
        <w:t>the</w:t>
      </w:r>
      <w:r>
        <w:rPr>
          <w:spacing w:val="-11"/>
        </w:rPr>
        <w:t> </w:t>
      </w:r>
      <w:r>
        <w:rPr/>
        <w:t>top</w:t>
      </w:r>
      <w:r>
        <w:rPr>
          <w:spacing w:val="-11"/>
        </w:rPr>
        <w:t> </w:t>
      </w:r>
      <w:r>
        <w:rPr>
          <w:spacing w:val="2"/>
        </w:rPr>
        <w:t>400</w:t>
      </w:r>
      <w:r>
        <w:rPr>
          <w:spacing w:val="-11"/>
        </w:rPr>
        <w:t> </w:t>
      </w:r>
      <w:r>
        <w:rPr/>
        <w:t>worldwide</w:t>
      </w:r>
      <w:r>
        <w:rPr>
          <w:spacing w:val="-11"/>
        </w:rPr>
        <w:t> </w:t>
      </w:r>
      <w:r>
        <w:rPr/>
        <w:t>in</w:t>
      </w:r>
    </w:p>
    <w:p>
      <w:pPr>
        <w:pStyle w:val="BodyText"/>
        <w:spacing w:line="249" w:lineRule="auto"/>
        <w:ind w:left="107" w:right="212"/>
      </w:pPr>
      <w:r>
        <w:rPr/>
        <w:t>the QS World University Rankings, with nursing placed in the top 50 and geography </w:t>
      </w:r>
      <w:r>
        <w:rPr>
          <w:w w:val="96"/>
        </w:rPr>
        <w:t>ranked </w:t>
      </w:r>
      <w:r>
        <w:rPr>
          <w:w w:val="95"/>
        </w:rPr>
        <w:t>in </w:t>
      </w:r>
      <w:r>
        <w:rPr>
          <w:w w:val="97"/>
        </w:rPr>
        <w:t>the </w:t>
      </w:r>
      <w:r>
        <w:rPr>
          <w:w w:val="101"/>
        </w:rPr>
        <w:t>top </w:t>
      </w:r>
      <w:r>
        <w:rPr>
          <w:w w:val="86"/>
        </w:rPr>
        <w:t>100. </w:t>
      </w:r>
      <w:r>
        <w:rPr>
          <w:w w:val="100"/>
        </w:rPr>
        <w:t>We </w:t>
      </w:r>
      <w:r>
        <w:rPr>
          <w:w w:val="97"/>
        </w:rPr>
        <w:t>were </w:t>
      </w:r>
      <w:r>
        <w:rPr>
          <w:w w:val="96"/>
        </w:rPr>
        <w:t>also </w:t>
      </w:r>
      <w:r>
        <w:rPr>
          <w:w w:val="97"/>
        </w:rPr>
        <w:t>named </w:t>
      </w:r>
      <w:r>
        <w:rPr/>
        <w:t>in the QS World University Rankings Top</w:t>
      </w:r>
    </w:p>
    <w:p>
      <w:pPr>
        <w:pStyle w:val="BodyText"/>
        <w:spacing w:line="249" w:lineRule="auto"/>
        <w:ind w:left="107" w:right="111"/>
      </w:pPr>
      <w:r>
        <w:rPr/>
        <w:t>50</w:t>
      </w:r>
      <w:r>
        <w:rPr>
          <w:spacing w:val="-15"/>
        </w:rPr>
        <w:t> </w:t>
      </w:r>
      <w:r>
        <w:rPr/>
        <w:t>under</w:t>
      </w:r>
      <w:r>
        <w:rPr>
          <w:spacing w:val="-15"/>
        </w:rPr>
        <w:t> </w:t>
      </w:r>
      <w:r>
        <w:rPr/>
        <w:t>50,</w:t>
      </w:r>
      <w:r>
        <w:rPr>
          <w:spacing w:val="-15"/>
        </w:rPr>
        <w:t> </w:t>
      </w:r>
      <w:r>
        <w:rPr/>
        <w:t>and</w:t>
      </w:r>
      <w:r>
        <w:rPr>
          <w:spacing w:val="-15"/>
        </w:rPr>
        <w:t> </w:t>
      </w:r>
      <w:r>
        <w:rPr/>
        <w:t>Next</w:t>
      </w:r>
      <w:r>
        <w:rPr>
          <w:spacing w:val="-15"/>
        </w:rPr>
        <w:t> </w:t>
      </w:r>
      <w:r>
        <w:rPr/>
        <w:t>50,</w:t>
      </w:r>
      <w:r>
        <w:rPr>
          <w:spacing w:val="-15"/>
        </w:rPr>
        <w:t> </w:t>
      </w:r>
      <w:r>
        <w:rPr/>
        <w:t>which</w:t>
      </w:r>
      <w:r>
        <w:rPr>
          <w:spacing w:val="-15"/>
        </w:rPr>
        <w:t> </w:t>
      </w:r>
      <w:r>
        <w:rPr/>
        <w:t>rate</w:t>
      </w:r>
      <w:r>
        <w:rPr>
          <w:spacing w:val="-15"/>
        </w:rPr>
        <w:t> </w:t>
      </w:r>
      <w:r>
        <w:rPr/>
        <w:t>fast- rising</w:t>
      </w:r>
      <w:r>
        <w:rPr>
          <w:spacing w:val="-20"/>
        </w:rPr>
        <w:t> </w:t>
      </w:r>
      <w:r>
        <w:rPr/>
        <w:t>universities</w:t>
      </w:r>
      <w:r>
        <w:rPr>
          <w:spacing w:val="-20"/>
        </w:rPr>
        <w:t> </w:t>
      </w:r>
      <w:r>
        <w:rPr/>
        <w:t>under</w:t>
      </w:r>
      <w:r>
        <w:rPr>
          <w:spacing w:val="-20"/>
        </w:rPr>
        <w:t> </w:t>
      </w:r>
      <w:r>
        <w:rPr/>
        <w:t>50</w:t>
      </w:r>
      <w:r>
        <w:rPr>
          <w:spacing w:val="-20"/>
        </w:rPr>
        <w:t> </w:t>
      </w:r>
      <w:r>
        <w:rPr/>
        <w:t>years</w:t>
      </w:r>
      <w:r>
        <w:rPr>
          <w:spacing w:val="-20"/>
        </w:rPr>
        <w:t> </w:t>
      </w:r>
      <w:r>
        <w:rPr/>
        <w:t>old.</w:t>
      </w:r>
    </w:p>
    <w:p>
      <w:pPr>
        <w:pStyle w:val="BodyText"/>
        <w:rPr>
          <w:sz w:val="14"/>
        </w:rPr>
      </w:pPr>
    </w:p>
    <w:p>
      <w:pPr>
        <w:pStyle w:val="BodyText"/>
        <w:spacing w:line="249" w:lineRule="auto"/>
        <w:ind w:left="107" w:right="158"/>
      </w:pPr>
      <w:r>
        <w:rPr/>
        <w:t>Overall, we are pleased with the University’s performance in a challenging and volatile </w:t>
      </w:r>
      <w:r>
        <w:rPr>
          <w:w w:val="95"/>
        </w:rPr>
        <w:t>environment. </w:t>
      </w:r>
      <w:r>
        <w:rPr>
          <w:w w:val="103"/>
        </w:rPr>
        <w:t>As </w:t>
      </w:r>
      <w:r>
        <w:rPr>
          <w:w w:val="98"/>
        </w:rPr>
        <w:t>we </w:t>
      </w:r>
      <w:r>
        <w:rPr>
          <w:w w:val="98"/>
        </w:rPr>
        <w:t>look </w:t>
      </w:r>
      <w:r>
        <w:rPr>
          <w:w w:val="101"/>
        </w:rPr>
        <w:t>to </w:t>
      </w:r>
      <w:r>
        <w:rPr>
          <w:w w:val="83"/>
        </w:rPr>
        <w:t>2017, </w:t>
      </w:r>
      <w:r>
        <w:rPr>
          <w:w w:val="98"/>
        </w:rPr>
        <w:t>we </w:t>
      </w:r>
      <w:r>
        <w:rPr>
          <w:w w:val="95"/>
        </w:rPr>
        <w:t>are </w:t>
      </w:r>
      <w:r>
        <w:rPr/>
        <w:t>confident we can meet the challenges facing Western Sydney University and our region.</w:t>
      </w:r>
    </w:p>
    <w:p>
      <w:pPr>
        <w:pStyle w:val="BodyText"/>
        <w:spacing w:before="4"/>
        <w:rPr>
          <w:sz w:val="19"/>
        </w:rPr>
      </w:pPr>
    </w:p>
    <w:p>
      <w:pPr>
        <w:pStyle w:val="BodyText"/>
        <w:spacing w:line="194" w:lineRule="exact"/>
        <w:ind w:left="107"/>
        <w:rPr>
          <w:rFonts w:ascii="Calibri"/>
        </w:rPr>
      </w:pPr>
      <w:r>
        <w:rPr>
          <w:rFonts w:ascii="Calibri"/>
          <w:w w:val="110"/>
        </w:rPr>
        <w:t>Professor Peter Shergold, AC</w:t>
      </w:r>
    </w:p>
    <w:p>
      <w:pPr>
        <w:pStyle w:val="BodyText"/>
        <w:spacing w:line="192" w:lineRule="exact"/>
        <w:ind w:left="107"/>
      </w:pPr>
      <w:r>
        <w:rPr/>
        <w:t>Chancellor</w:t>
      </w:r>
    </w:p>
    <w:p>
      <w:pPr>
        <w:pStyle w:val="BodyText"/>
        <w:spacing w:before="12"/>
        <w:rPr>
          <w:sz w:val="19"/>
        </w:rPr>
      </w:pPr>
    </w:p>
    <w:p>
      <w:pPr>
        <w:pStyle w:val="BodyText"/>
        <w:spacing w:line="194" w:lineRule="exact"/>
        <w:ind w:left="107"/>
        <w:rPr>
          <w:rFonts w:ascii="Calibri"/>
        </w:rPr>
      </w:pPr>
      <w:r>
        <w:rPr>
          <w:rFonts w:ascii="Calibri"/>
          <w:w w:val="110"/>
        </w:rPr>
        <w:t>Professor Barney Glover</w:t>
      </w:r>
    </w:p>
    <w:p>
      <w:pPr>
        <w:pStyle w:val="BodyText"/>
        <w:spacing w:line="192" w:lineRule="exact"/>
        <w:ind w:left="107"/>
      </w:pPr>
      <w:r>
        <w:rPr/>
        <w:t>Vice-Chancellor and President</w:t>
      </w:r>
    </w:p>
    <w:p>
      <w:pPr>
        <w:spacing w:after="0" w:line="192" w:lineRule="exact"/>
        <w:sectPr>
          <w:pgSz w:w="11910" w:h="16840"/>
          <w:pgMar w:header="496" w:footer="472" w:top="680" w:bottom="660" w:left="800" w:right="800"/>
          <w:cols w:num="3" w:equalWidth="0">
            <w:col w:w="3289" w:space="150"/>
            <w:col w:w="3295" w:space="144"/>
            <w:col w:w="3432"/>
          </w:cols>
        </w:sectPr>
      </w:pPr>
    </w:p>
    <w:p>
      <w:pPr>
        <w:pStyle w:val="BodyText"/>
        <w:spacing w:before="6"/>
        <w:rPr>
          <w:sz w:val="28"/>
        </w:rPr>
      </w:pPr>
      <w:r>
        <w:rPr/>
        <w:pict>
          <v:rect style="position:absolute;margin-left:34.015999pt;margin-top:45.355015pt;width:527.244pt;height:751.181pt;mso-position-horizontal-relative:page;mso-position-vertical-relative:page;z-index:-336592" filled="true" fillcolor="#e9e9e9" stroked="false">
            <v:fill type="solid"/>
            <w10:wrap type="none"/>
          </v:rect>
        </w:pict>
      </w:r>
    </w:p>
    <w:p>
      <w:pPr>
        <w:pStyle w:val="Heading1"/>
        <w:spacing w:line="420" w:lineRule="exact" w:before="78"/>
      </w:pPr>
      <w:r>
        <w:rPr>
          <w:spacing w:val="-5"/>
        </w:rPr>
        <w:t>FIVE </w:t>
      </w:r>
      <w:r>
        <w:rPr>
          <w:spacing w:val="-3"/>
        </w:rPr>
        <w:t>YEARS </w:t>
      </w:r>
      <w:r>
        <w:rPr/>
        <w:t>– </w:t>
      </w:r>
      <w:r>
        <w:rPr>
          <w:w w:val="95"/>
        </w:rPr>
        <w:t>KEY </w:t>
      </w:r>
      <w:r>
        <w:rPr>
          <w:spacing w:val="-10"/>
          <w:w w:val="95"/>
        </w:rPr>
        <w:t>STATISTICS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19"/>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623"/>
        <w:gridCol w:w="964"/>
        <w:gridCol w:w="964"/>
        <w:gridCol w:w="964"/>
        <w:gridCol w:w="964"/>
        <w:gridCol w:w="964"/>
        <w:gridCol w:w="964"/>
        <w:gridCol w:w="689"/>
      </w:tblGrid>
      <w:tr>
        <w:trPr>
          <w:trHeight w:val="436" w:hRule="exact"/>
        </w:trPr>
        <w:tc>
          <w:tcPr>
            <w:tcW w:w="3623" w:type="dxa"/>
            <w:tcBorders>
              <w:bottom w:val="nil"/>
            </w:tcBorders>
            <w:shd w:val="clear" w:color="auto" w:fill="E9E9E9"/>
          </w:tcPr>
          <w:p>
            <w:pPr>
              <w:pStyle w:val="TableParagraph"/>
              <w:spacing w:before="126"/>
              <w:ind w:left="75" w:right="90"/>
              <w:jc w:val="left"/>
              <w:rPr>
                <w:rFonts w:ascii="Gotham Narrow Bold"/>
                <w:b/>
                <w:sz w:val="16"/>
              </w:rPr>
            </w:pPr>
            <w:r>
              <w:rPr>
                <w:rFonts w:ascii="Gotham Narrow Bold"/>
                <w:b/>
                <w:color w:val="615C58"/>
                <w:sz w:val="16"/>
              </w:rPr>
              <w:t>CATEGORY</w:t>
            </w:r>
          </w:p>
        </w:tc>
        <w:tc>
          <w:tcPr>
            <w:tcW w:w="964" w:type="dxa"/>
            <w:tcBorders>
              <w:bottom w:val="nil"/>
            </w:tcBorders>
            <w:shd w:val="clear" w:color="auto" w:fill="E9E9E9"/>
          </w:tcPr>
          <w:p>
            <w:pPr>
              <w:pStyle w:val="TableParagraph"/>
              <w:spacing w:before="126"/>
              <w:ind w:right="73"/>
              <w:rPr>
                <w:rFonts w:ascii="Gotham Narrow Bold"/>
                <w:b/>
                <w:sz w:val="16"/>
              </w:rPr>
            </w:pPr>
            <w:r>
              <w:rPr>
                <w:rFonts w:ascii="Gotham Narrow Bold"/>
                <w:b/>
                <w:color w:val="615C58"/>
                <w:w w:val="95"/>
                <w:sz w:val="16"/>
              </w:rPr>
              <w:t>2012</w:t>
            </w:r>
          </w:p>
        </w:tc>
        <w:tc>
          <w:tcPr>
            <w:tcW w:w="964" w:type="dxa"/>
            <w:tcBorders>
              <w:bottom w:val="nil"/>
            </w:tcBorders>
            <w:shd w:val="clear" w:color="auto" w:fill="E9E9E9"/>
          </w:tcPr>
          <w:p>
            <w:pPr>
              <w:pStyle w:val="TableParagraph"/>
              <w:spacing w:before="126"/>
              <w:ind w:right="73"/>
              <w:rPr>
                <w:rFonts w:ascii="Gotham Narrow Bold"/>
                <w:b/>
                <w:sz w:val="16"/>
              </w:rPr>
            </w:pPr>
            <w:r>
              <w:rPr>
                <w:rFonts w:ascii="Gotham Narrow Bold"/>
                <w:b/>
                <w:color w:val="615C58"/>
                <w:w w:val="95"/>
                <w:sz w:val="16"/>
              </w:rPr>
              <w:t>2013</w:t>
            </w:r>
          </w:p>
        </w:tc>
        <w:tc>
          <w:tcPr>
            <w:tcW w:w="964" w:type="dxa"/>
            <w:tcBorders>
              <w:bottom w:val="nil"/>
            </w:tcBorders>
            <w:shd w:val="clear" w:color="auto" w:fill="E9E9E9"/>
          </w:tcPr>
          <w:p>
            <w:pPr>
              <w:pStyle w:val="TableParagraph"/>
              <w:spacing w:before="126"/>
              <w:ind w:right="74"/>
              <w:rPr>
                <w:rFonts w:ascii="Gotham Narrow Bold"/>
                <w:b/>
                <w:sz w:val="16"/>
              </w:rPr>
            </w:pPr>
            <w:r>
              <w:rPr>
                <w:rFonts w:ascii="Gotham Narrow Bold"/>
                <w:b/>
                <w:color w:val="615C58"/>
                <w:w w:val="95"/>
                <w:sz w:val="16"/>
              </w:rPr>
              <w:t>2014</w:t>
            </w:r>
          </w:p>
        </w:tc>
        <w:tc>
          <w:tcPr>
            <w:tcW w:w="964" w:type="dxa"/>
            <w:tcBorders>
              <w:bottom w:val="nil"/>
            </w:tcBorders>
            <w:shd w:val="clear" w:color="auto" w:fill="E9E9E9"/>
          </w:tcPr>
          <w:p>
            <w:pPr>
              <w:pStyle w:val="TableParagraph"/>
              <w:spacing w:before="126"/>
              <w:ind w:right="73"/>
              <w:rPr>
                <w:rFonts w:ascii="Gotham Narrow Bold"/>
                <w:b/>
                <w:sz w:val="16"/>
              </w:rPr>
            </w:pPr>
            <w:r>
              <w:rPr>
                <w:rFonts w:ascii="Gotham Narrow Bold"/>
                <w:b/>
                <w:color w:val="615C58"/>
                <w:w w:val="95"/>
                <w:sz w:val="16"/>
              </w:rPr>
              <w:t>2015</w:t>
            </w:r>
          </w:p>
        </w:tc>
        <w:tc>
          <w:tcPr>
            <w:tcW w:w="964" w:type="dxa"/>
            <w:tcBorders>
              <w:bottom w:val="nil"/>
            </w:tcBorders>
            <w:shd w:val="clear" w:color="auto" w:fill="E9E9E9"/>
          </w:tcPr>
          <w:p>
            <w:pPr>
              <w:pStyle w:val="TableParagraph"/>
              <w:spacing w:before="126"/>
              <w:ind w:right="78"/>
              <w:rPr>
                <w:rFonts w:ascii="Gotham Narrow Bold"/>
                <w:b/>
                <w:sz w:val="16"/>
              </w:rPr>
            </w:pPr>
            <w:r>
              <w:rPr>
                <w:rFonts w:ascii="Gotham Narrow Bold"/>
                <w:b/>
                <w:color w:val="615C58"/>
                <w:sz w:val="16"/>
              </w:rPr>
              <w:t>2016 (p)</w:t>
            </w:r>
          </w:p>
        </w:tc>
        <w:tc>
          <w:tcPr>
            <w:tcW w:w="964" w:type="dxa"/>
            <w:tcBorders>
              <w:bottom w:val="nil"/>
            </w:tcBorders>
            <w:shd w:val="clear" w:color="auto" w:fill="E9E9E9"/>
          </w:tcPr>
          <w:p>
            <w:pPr>
              <w:pStyle w:val="TableParagraph"/>
              <w:spacing w:line="249" w:lineRule="auto" w:before="26"/>
              <w:ind w:left="74" w:right="32" w:firstLine="103"/>
              <w:jc w:val="left"/>
              <w:rPr>
                <w:rFonts w:ascii="Gotham Narrow Bold"/>
                <w:b/>
                <w:sz w:val="16"/>
              </w:rPr>
            </w:pPr>
            <w:r>
              <w:rPr>
                <w:rFonts w:ascii="Gotham Narrow Bold"/>
                <w:b/>
                <w:color w:val="615C58"/>
                <w:w w:val="95"/>
                <w:sz w:val="16"/>
              </w:rPr>
              <w:t>% Change 2015-16 (p)</w:t>
            </w:r>
          </w:p>
        </w:tc>
        <w:tc>
          <w:tcPr>
            <w:tcW w:w="689" w:type="dxa"/>
            <w:tcBorders>
              <w:bottom w:val="nil"/>
            </w:tcBorders>
            <w:shd w:val="clear" w:color="auto" w:fill="E9E9E9"/>
          </w:tcPr>
          <w:p>
            <w:pPr>
              <w:pStyle w:val="TableParagraph"/>
              <w:spacing w:before="130"/>
              <w:ind w:left="89" w:right="89"/>
              <w:jc w:val="center"/>
              <w:rPr>
                <w:rFonts w:ascii="Microsoft Sans Serif"/>
                <w:sz w:val="16"/>
              </w:rPr>
            </w:pPr>
            <w:r>
              <w:rPr>
                <w:rFonts w:ascii="Microsoft Sans Serif"/>
                <w:w w:val="175"/>
                <w:sz w:val="16"/>
              </w:rPr>
              <w:t>q  p</w:t>
            </w:r>
          </w:p>
        </w:tc>
      </w:tr>
      <w:tr>
        <w:trPr>
          <w:trHeight w:val="279" w:hRule="exact"/>
        </w:trPr>
        <w:tc>
          <w:tcPr>
            <w:tcW w:w="10095" w:type="dxa"/>
            <w:gridSpan w:val="8"/>
            <w:tcBorders>
              <w:top w:val="nil"/>
              <w:left w:val="nil"/>
              <w:bottom w:val="nil"/>
              <w:right w:val="nil"/>
            </w:tcBorders>
            <w:shd w:val="clear" w:color="auto" w:fill="949290"/>
          </w:tcPr>
          <w:p>
            <w:pPr>
              <w:pStyle w:val="TableParagraph"/>
              <w:spacing w:before="50"/>
              <w:ind w:left="79"/>
              <w:jc w:val="left"/>
              <w:rPr>
                <w:rFonts w:ascii="Gotham Narrow Bold"/>
                <w:b/>
                <w:sz w:val="16"/>
              </w:rPr>
            </w:pPr>
            <w:r>
              <w:rPr>
                <w:rFonts w:ascii="Gotham Narrow Bold"/>
                <w:b/>
                <w:color w:val="FFFFFF"/>
                <w:w w:val="95"/>
                <w:sz w:val="16"/>
              </w:rPr>
              <w:t>NUMBER OF STUDENTS</w:t>
            </w:r>
          </w:p>
        </w:tc>
      </w:tr>
      <w:tr>
        <w:trPr>
          <w:trHeight w:val="264" w:hRule="exact"/>
        </w:trPr>
        <w:tc>
          <w:tcPr>
            <w:tcW w:w="3623" w:type="dxa"/>
            <w:tcBorders>
              <w:top w:val="nil"/>
            </w:tcBorders>
            <w:shd w:val="clear" w:color="auto" w:fill="E9E9E9"/>
          </w:tcPr>
          <w:p>
            <w:pPr>
              <w:pStyle w:val="TableParagraph"/>
              <w:spacing w:before="41"/>
              <w:ind w:left="74" w:right="90"/>
              <w:jc w:val="left"/>
              <w:rPr>
                <w:rFonts w:ascii="Calibri"/>
                <w:sz w:val="16"/>
              </w:rPr>
            </w:pPr>
            <w:r>
              <w:rPr>
                <w:rFonts w:ascii="Calibri"/>
                <w:w w:val="110"/>
                <w:sz w:val="16"/>
              </w:rPr>
              <w:t>Total</w:t>
            </w:r>
          </w:p>
        </w:tc>
        <w:tc>
          <w:tcPr>
            <w:tcW w:w="964" w:type="dxa"/>
            <w:tcBorders>
              <w:top w:val="nil"/>
            </w:tcBorders>
            <w:shd w:val="clear" w:color="auto" w:fill="E9E9E9"/>
          </w:tcPr>
          <w:p>
            <w:pPr>
              <w:pStyle w:val="TableParagraph"/>
              <w:spacing w:before="41"/>
              <w:ind w:right="72"/>
              <w:rPr>
                <w:rFonts w:ascii="Calibri"/>
                <w:sz w:val="16"/>
              </w:rPr>
            </w:pPr>
            <w:r>
              <w:rPr>
                <w:rFonts w:ascii="Calibri"/>
                <w:w w:val="110"/>
                <w:sz w:val="16"/>
              </w:rPr>
              <w:t>40,257</w:t>
            </w:r>
          </w:p>
        </w:tc>
        <w:tc>
          <w:tcPr>
            <w:tcW w:w="964" w:type="dxa"/>
            <w:tcBorders>
              <w:top w:val="nil"/>
            </w:tcBorders>
            <w:shd w:val="clear" w:color="auto" w:fill="E9E9E9"/>
          </w:tcPr>
          <w:p>
            <w:pPr>
              <w:pStyle w:val="TableParagraph"/>
              <w:spacing w:before="41"/>
              <w:ind w:right="69"/>
              <w:rPr>
                <w:rFonts w:ascii="Calibri"/>
                <w:sz w:val="16"/>
              </w:rPr>
            </w:pPr>
            <w:r>
              <w:rPr>
                <w:rFonts w:ascii="Calibri"/>
                <w:w w:val="115"/>
                <w:sz w:val="16"/>
              </w:rPr>
              <w:t>42,000</w:t>
            </w:r>
          </w:p>
        </w:tc>
        <w:tc>
          <w:tcPr>
            <w:tcW w:w="964" w:type="dxa"/>
            <w:tcBorders>
              <w:top w:val="nil"/>
            </w:tcBorders>
            <w:shd w:val="clear" w:color="auto" w:fill="E9E9E9"/>
          </w:tcPr>
          <w:p>
            <w:pPr>
              <w:pStyle w:val="TableParagraph"/>
              <w:spacing w:before="41"/>
              <w:ind w:right="72"/>
              <w:rPr>
                <w:rFonts w:ascii="Calibri"/>
                <w:sz w:val="16"/>
              </w:rPr>
            </w:pPr>
            <w:r>
              <w:rPr>
                <w:rFonts w:ascii="Calibri"/>
                <w:w w:val="105"/>
                <w:sz w:val="16"/>
              </w:rPr>
              <w:t>43,916</w:t>
            </w:r>
          </w:p>
        </w:tc>
        <w:tc>
          <w:tcPr>
            <w:tcW w:w="964" w:type="dxa"/>
            <w:tcBorders>
              <w:top w:val="nil"/>
            </w:tcBorders>
            <w:shd w:val="clear" w:color="auto" w:fill="E9E9E9"/>
          </w:tcPr>
          <w:p>
            <w:pPr>
              <w:pStyle w:val="TableParagraph"/>
              <w:spacing w:before="41"/>
              <w:ind w:right="72"/>
              <w:rPr>
                <w:rFonts w:ascii="Calibri"/>
                <w:sz w:val="16"/>
              </w:rPr>
            </w:pPr>
            <w:r>
              <w:rPr>
                <w:rFonts w:ascii="Calibri"/>
                <w:w w:val="105"/>
                <w:sz w:val="16"/>
              </w:rPr>
              <w:t>44,919</w:t>
            </w:r>
          </w:p>
        </w:tc>
        <w:tc>
          <w:tcPr>
            <w:tcW w:w="964" w:type="dxa"/>
            <w:tcBorders>
              <w:top w:val="nil"/>
            </w:tcBorders>
            <w:shd w:val="clear" w:color="auto" w:fill="E9E9E9"/>
          </w:tcPr>
          <w:p>
            <w:pPr>
              <w:pStyle w:val="TableParagraph"/>
              <w:spacing w:before="41"/>
              <w:ind w:right="72"/>
              <w:rPr>
                <w:rFonts w:ascii="Calibri"/>
                <w:sz w:val="16"/>
              </w:rPr>
            </w:pPr>
            <w:r>
              <w:rPr>
                <w:rFonts w:ascii="Calibri"/>
                <w:w w:val="105"/>
                <w:sz w:val="16"/>
              </w:rPr>
              <w:t>44,451</w:t>
            </w:r>
          </w:p>
        </w:tc>
        <w:tc>
          <w:tcPr>
            <w:tcW w:w="964" w:type="dxa"/>
            <w:tcBorders>
              <w:top w:val="nil"/>
            </w:tcBorders>
            <w:shd w:val="clear" w:color="auto" w:fill="E9E9E9"/>
          </w:tcPr>
          <w:p>
            <w:pPr>
              <w:pStyle w:val="TableParagraph"/>
              <w:spacing w:before="41"/>
              <w:ind w:right="72"/>
              <w:rPr>
                <w:rFonts w:ascii="Calibri"/>
                <w:sz w:val="16"/>
              </w:rPr>
            </w:pPr>
            <w:r>
              <w:rPr>
                <w:rFonts w:ascii="Calibri"/>
                <w:sz w:val="16"/>
              </w:rPr>
              <w:t>-1.0%</w:t>
            </w:r>
          </w:p>
        </w:tc>
        <w:tc>
          <w:tcPr>
            <w:tcW w:w="689" w:type="dxa"/>
            <w:tcBorders>
              <w:top w:val="nil"/>
            </w:tcBorders>
            <w:shd w:val="clear" w:color="auto" w:fill="E9E9E9"/>
          </w:tcPr>
          <w:p>
            <w:pPr>
              <w:pStyle w:val="TableParagraph"/>
              <w:spacing w:before="43"/>
              <w:jc w:val="center"/>
              <w:rPr>
                <w:rFonts w:ascii="Microsoft Sans Serif"/>
                <w:sz w:val="16"/>
              </w:rPr>
            </w:pPr>
            <w:r>
              <w:rPr>
                <w:rFonts w:ascii="Microsoft Sans Serif"/>
                <w:w w:val="176"/>
                <w:sz w:val="16"/>
              </w:rPr>
              <w:t>q</w:t>
            </w:r>
          </w:p>
        </w:tc>
      </w:tr>
      <w:tr>
        <w:trPr>
          <w:trHeight w:val="269" w:hRule="exact"/>
        </w:trPr>
        <w:tc>
          <w:tcPr>
            <w:tcW w:w="3623" w:type="dxa"/>
            <w:shd w:val="clear" w:color="auto" w:fill="E9E9E9"/>
          </w:tcPr>
          <w:p>
            <w:pPr>
              <w:pStyle w:val="TableParagraph"/>
              <w:spacing w:before="33"/>
              <w:ind w:left="75" w:right="90"/>
              <w:jc w:val="left"/>
              <w:rPr>
                <w:sz w:val="16"/>
              </w:rPr>
            </w:pPr>
            <w:r>
              <w:rPr>
                <w:w w:val="95"/>
                <w:sz w:val="16"/>
              </w:rPr>
              <w:t>Female %</w:t>
            </w:r>
          </w:p>
        </w:tc>
        <w:tc>
          <w:tcPr>
            <w:tcW w:w="964" w:type="dxa"/>
            <w:shd w:val="clear" w:color="auto" w:fill="E9E9E9"/>
          </w:tcPr>
          <w:p>
            <w:pPr>
              <w:pStyle w:val="TableParagraph"/>
              <w:spacing w:before="33"/>
              <w:ind w:right="71"/>
              <w:rPr>
                <w:sz w:val="16"/>
              </w:rPr>
            </w:pPr>
            <w:r>
              <w:rPr>
                <w:w w:val="85"/>
                <w:sz w:val="16"/>
              </w:rPr>
              <w:t>55.6%</w:t>
            </w:r>
          </w:p>
        </w:tc>
        <w:tc>
          <w:tcPr>
            <w:tcW w:w="964" w:type="dxa"/>
            <w:shd w:val="clear" w:color="auto" w:fill="E9E9E9"/>
          </w:tcPr>
          <w:p>
            <w:pPr>
              <w:pStyle w:val="TableParagraph"/>
              <w:spacing w:before="33"/>
              <w:ind w:right="72"/>
              <w:rPr>
                <w:sz w:val="16"/>
              </w:rPr>
            </w:pPr>
            <w:r>
              <w:rPr>
                <w:w w:val="75"/>
                <w:sz w:val="16"/>
              </w:rPr>
              <w:t>55.1%</w:t>
            </w:r>
          </w:p>
        </w:tc>
        <w:tc>
          <w:tcPr>
            <w:tcW w:w="964" w:type="dxa"/>
            <w:shd w:val="clear" w:color="auto" w:fill="E9E9E9"/>
          </w:tcPr>
          <w:p>
            <w:pPr>
              <w:pStyle w:val="TableParagraph"/>
              <w:spacing w:before="33"/>
              <w:ind w:right="72"/>
              <w:rPr>
                <w:sz w:val="16"/>
              </w:rPr>
            </w:pPr>
            <w:r>
              <w:rPr>
                <w:w w:val="90"/>
                <w:sz w:val="16"/>
              </w:rPr>
              <w:t>55.0%</w:t>
            </w:r>
          </w:p>
        </w:tc>
        <w:tc>
          <w:tcPr>
            <w:tcW w:w="964" w:type="dxa"/>
            <w:shd w:val="clear" w:color="auto" w:fill="E9E9E9"/>
          </w:tcPr>
          <w:p>
            <w:pPr>
              <w:pStyle w:val="TableParagraph"/>
              <w:spacing w:before="33"/>
              <w:ind w:right="72"/>
              <w:rPr>
                <w:sz w:val="16"/>
              </w:rPr>
            </w:pPr>
            <w:r>
              <w:rPr>
                <w:w w:val="90"/>
                <w:sz w:val="16"/>
              </w:rPr>
              <w:t>54.8%</w:t>
            </w:r>
          </w:p>
        </w:tc>
        <w:tc>
          <w:tcPr>
            <w:tcW w:w="964" w:type="dxa"/>
            <w:shd w:val="clear" w:color="auto" w:fill="E9E9E9"/>
          </w:tcPr>
          <w:p>
            <w:pPr>
              <w:pStyle w:val="TableParagraph"/>
              <w:spacing w:before="33"/>
              <w:ind w:right="72"/>
              <w:rPr>
                <w:sz w:val="16"/>
              </w:rPr>
            </w:pPr>
            <w:r>
              <w:rPr>
                <w:w w:val="85"/>
                <w:sz w:val="16"/>
              </w:rPr>
              <w:t>55.2%</w:t>
            </w:r>
          </w:p>
        </w:tc>
        <w:tc>
          <w:tcPr>
            <w:tcW w:w="964" w:type="dxa"/>
            <w:shd w:val="clear" w:color="auto" w:fill="E9E9E9"/>
          </w:tcPr>
          <w:p>
            <w:pPr>
              <w:pStyle w:val="TableParagraph"/>
              <w:spacing w:before="33"/>
              <w:ind w:right="73"/>
              <w:rPr>
                <w:sz w:val="16"/>
              </w:rPr>
            </w:pPr>
            <w:r>
              <w:rPr>
                <w:w w:val="85"/>
                <w:sz w:val="16"/>
              </w:rPr>
              <w:t>0.4%</w:t>
            </w:r>
          </w:p>
        </w:tc>
        <w:tc>
          <w:tcPr>
            <w:tcW w:w="689" w:type="dxa"/>
            <w:shd w:val="clear" w:color="auto" w:fill="E9E9E9"/>
          </w:tcPr>
          <w:p>
            <w:pPr>
              <w:pStyle w:val="TableParagraph"/>
              <w:spacing w:before="43"/>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3"/>
              <w:ind w:left="75" w:right="90"/>
              <w:jc w:val="left"/>
              <w:rPr>
                <w:sz w:val="16"/>
              </w:rPr>
            </w:pPr>
            <w:r>
              <w:rPr>
                <w:sz w:val="16"/>
              </w:rPr>
              <w:t>Commencing</w:t>
            </w:r>
          </w:p>
        </w:tc>
        <w:tc>
          <w:tcPr>
            <w:tcW w:w="964" w:type="dxa"/>
            <w:shd w:val="clear" w:color="auto" w:fill="E9E9E9"/>
          </w:tcPr>
          <w:p>
            <w:pPr>
              <w:pStyle w:val="TableParagraph"/>
              <w:spacing w:before="33"/>
              <w:ind w:right="72"/>
              <w:rPr>
                <w:sz w:val="16"/>
              </w:rPr>
            </w:pPr>
            <w:r>
              <w:rPr>
                <w:w w:val="75"/>
                <w:sz w:val="16"/>
              </w:rPr>
              <w:t>15,156</w:t>
            </w:r>
          </w:p>
        </w:tc>
        <w:tc>
          <w:tcPr>
            <w:tcW w:w="964" w:type="dxa"/>
            <w:shd w:val="clear" w:color="auto" w:fill="E9E9E9"/>
          </w:tcPr>
          <w:p>
            <w:pPr>
              <w:pStyle w:val="TableParagraph"/>
              <w:spacing w:before="33"/>
              <w:ind w:right="73"/>
              <w:rPr>
                <w:sz w:val="16"/>
              </w:rPr>
            </w:pPr>
            <w:r>
              <w:rPr>
                <w:w w:val="85"/>
                <w:sz w:val="16"/>
              </w:rPr>
              <w:t>16,359</w:t>
            </w:r>
          </w:p>
        </w:tc>
        <w:tc>
          <w:tcPr>
            <w:tcW w:w="964" w:type="dxa"/>
            <w:shd w:val="clear" w:color="auto" w:fill="E9E9E9"/>
          </w:tcPr>
          <w:p>
            <w:pPr>
              <w:pStyle w:val="TableParagraph"/>
              <w:spacing w:before="33"/>
              <w:ind w:right="72"/>
              <w:rPr>
                <w:sz w:val="16"/>
              </w:rPr>
            </w:pPr>
            <w:r>
              <w:rPr>
                <w:w w:val="75"/>
                <w:sz w:val="16"/>
              </w:rPr>
              <w:t>17,213</w:t>
            </w:r>
          </w:p>
        </w:tc>
        <w:tc>
          <w:tcPr>
            <w:tcW w:w="964" w:type="dxa"/>
            <w:shd w:val="clear" w:color="auto" w:fill="E9E9E9"/>
          </w:tcPr>
          <w:p>
            <w:pPr>
              <w:pStyle w:val="TableParagraph"/>
              <w:spacing w:before="33"/>
              <w:ind w:right="72"/>
              <w:rPr>
                <w:sz w:val="16"/>
              </w:rPr>
            </w:pPr>
            <w:r>
              <w:rPr>
                <w:w w:val="90"/>
                <w:sz w:val="16"/>
              </w:rPr>
              <w:t>18,086</w:t>
            </w:r>
          </w:p>
        </w:tc>
        <w:tc>
          <w:tcPr>
            <w:tcW w:w="964" w:type="dxa"/>
            <w:shd w:val="clear" w:color="auto" w:fill="E9E9E9"/>
          </w:tcPr>
          <w:p>
            <w:pPr>
              <w:pStyle w:val="TableParagraph"/>
              <w:spacing w:before="33"/>
              <w:ind w:right="72"/>
              <w:rPr>
                <w:sz w:val="16"/>
              </w:rPr>
            </w:pPr>
            <w:r>
              <w:rPr>
                <w:w w:val="85"/>
                <w:sz w:val="16"/>
              </w:rPr>
              <w:t>17,396</w:t>
            </w:r>
          </w:p>
        </w:tc>
        <w:tc>
          <w:tcPr>
            <w:tcW w:w="964" w:type="dxa"/>
            <w:shd w:val="clear" w:color="auto" w:fill="E9E9E9"/>
          </w:tcPr>
          <w:p>
            <w:pPr>
              <w:pStyle w:val="TableParagraph"/>
              <w:spacing w:before="33"/>
              <w:ind w:right="72"/>
              <w:rPr>
                <w:sz w:val="16"/>
              </w:rPr>
            </w:pPr>
            <w:r>
              <w:rPr>
                <w:w w:val="85"/>
                <w:sz w:val="16"/>
              </w:rPr>
              <w:t>-3.8%</w:t>
            </w:r>
          </w:p>
        </w:tc>
        <w:tc>
          <w:tcPr>
            <w:tcW w:w="689" w:type="dxa"/>
            <w:shd w:val="clear" w:color="auto" w:fill="E9E9E9"/>
          </w:tcPr>
          <w:p>
            <w:pPr>
              <w:pStyle w:val="TableParagraph"/>
              <w:spacing w:before="44"/>
              <w:jc w:val="center"/>
              <w:rPr>
                <w:rFonts w:ascii="Microsoft Sans Serif"/>
                <w:sz w:val="16"/>
              </w:rPr>
            </w:pPr>
            <w:r>
              <w:rPr>
                <w:rFonts w:ascii="Microsoft Sans Serif"/>
                <w:w w:val="176"/>
                <w:sz w:val="16"/>
              </w:rPr>
              <w:t>q</w:t>
            </w:r>
          </w:p>
        </w:tc>
      </w:tr>
      <w:tr>
        <w:trPr>
          <w:trHeight w:val="264" w:hRule="exact"/>
        </w:trPr>
        <w:tc>
          <w:tcPr>
            <w:tcW w:w="3623" w:type="dxa"/>
            <w:tcBorders>
              <w:bottom w:val="nil"/>
            </w:tcBorders>
            <w:shd w:val="clear" w:color="auto" w:fill="E9E9E9"/>
          </w:tcPr>
          <w:p>
            <w:pPr>
              <w:pStyle w:val="TableParagraph"/>
              <w:spacing w:before="33"/>
              <w:ind w:left="75" w:right="90"/>
              <w:jc w:val="left"/>
              <w:rPr>
                <w:sz w:val="16"/>
              </w:rPr>
            </w:pPr>
            <w:r>
              <w:rPr>
                <w:w w:val="95"/>
                <w:sz w:val="16"/>
              </w:rPr>
              <w:t>Female %</w:t>
            </w:r>
          </w:p>
        </w:tc>
        <w:tc>
          <w:tcPr>
            <w:tcW w:w="964" w:type="dxa"/>
            <w:tcBorders>
              <w:bottom w:val="nil"/>
            </w:tcBorders>
            <w:shd w:val="clear" w:color="auto" w:fill="E9E9E9"/>
          </w:tcPr>
          <w:p>
            <w:pPr>
              <w:pStyle w:val="TableParagraph"/>
              <w:spacing w:before="33"/>
              <w:ind w:right="72"/>
              <w:rPr>
                <w:sz w:val="16"/>
              </w:rPr>
            </w:pPr>
            <w:r>
              <w:rPr>
                <w:w w:val="85"/>
                <w:sz w:val="16"/>
              </w:rPr>
              <w:t>55.4%</w:t>
            </w:r>
          </w:p>
        </w:tc>
        <w:tc>
          <w:tcPr>
            <w:tcW w:w="964" w:type="dxa"/>
            <w:tcBorders>
              <w:bottom w:val="nil"/>
            </w:tcBorders>
            <w:shd w:val="clear" w:color="auto" w:fill="E9E9E9"/>
          </w:tcPr>
          <w:p>
            <w:pPr>
              <w:pStyle w:val="TableParagraph"/>
              <w:spacing w:before="33"/>
              <w:ind w:right="72"/>
              <w:rPr>
                <w:sz w:val="16"/>
              </w:rPr>
            </w:pPr>
            <w:r>
              <w:rPr>
                <w:w w:val="90"/>
                <w:sz w:val="16"/>
              </w:rPr>
              <w:t>55.0%</w:t>
            </w:r>
          </w:p>
        </w:tc>
        <w:tc>
          <w:tcPr>
            <w:tcW w:w="964" w:type="dxa"/>
            <w:tcBorders>
              <w:bottom w:val="nil"/>
            </w:tcBorders>
            <w:shd w:val="clear" w:color="auto" w:fill="E9E9E9"/>
          </w:tcPr>
          <w:p>
            <w:pPr>
              <w:pStyle w:val="TableParagraph"/>
              <w:spacing w:before="33"/>
              <w:ind w:right="71"/>
              <w:rPr>
                <w:sz w:val="16"/>
              </w:rPr>
            </w:pPr>
            <w:r>
              <w:rPr>
                <w:w w:val="85"/>
                <w:sz w:val="16"/>
              </w:rPr>
              <w:t>54.6%</w:t>
            </w:r>
          </w:p>
        </w:tc>
        <w:tc>
          <w:tcPr>
            <w:tcW w:w="964" w:type="dxa"/>
            <w:tcBorders>
              <w:bottom w:val="nil"/>
            </w:tcBorders>
            <w:shd w:val="clear" w:color="auto" w:fill="E9E9E9"/>
          </w:tcPr>
          <w:p>
            <w:pPr>
              <w:pStyle w:val="TableParagraph"/>
              <w:spacing w:before="33"/>
              <w:ind w:right="72"/>
              <w:rPr>
                <w:sz w:val="16"/>
              </w:rPr>
            </w:pPr>
            <w:r>
              <w:rPr>
                <w:w w:val="85"/>
                <w:sz w:val="16"/>
              </w:rPr>
              <w:t>54.2%</w:t>
            </w:r>
          </w:p>
        </w:tc>
        <w:tc>
          <w:tcPr>
            <w:tcW w:w="964" w:type="dxa"/>
            <w:tcBorders>
              <w:bottom w:val="nil"/>
            </w:tcBorders>
            <w:shd w:val="clear" w:color="auto" w:fill="E9E9E9"/>
          </w:tcPr>
          <w:p>
            <w:pPr>
              <w:pStyle w:val="TableParagraph"/>
              <w:spacing w:before="33"/>
              <w:ind w:right="72"/>
              <w:rPr>
                <w:sz w:val="16"/>
              </w:rPr>
            </w:pPr>
            <w:r>
              <w:rPr>
                <w:w w:val="85"/>
                <w:sz w:val="16"/>
              </w:rPr>
              <w:t>55.2%</w:t>
            </w:r>
          </w:p>
        </w:tc>
        <w:tc>
          <w:tcPr>
            <w:tcW w:w="964" w:type="dxa"/>
            <w:tcBorders>
              <w:bottom w:val="nil"/>
            </w:tcBorders>
            <w:shd w:val="clear" w:color="auto" w:fill="E9E9E9"/>
          </w:tcPr>
          <w:p>
            <w:pPr>
              <w:pStyle w:val="TableParagraph"/>
              <w:spacing w:before="33"/>
              <w:ind w:right="72"/>
              <w:rPr>
                <w:sz w:val="16"/>
              </w:rPr>
            </w:pPr>
            <w:r>
              <w:rPr>
                <w:w w:val="80"/>
                <w:sz w:val="16"/>
              </w:rPr>
              <w:t>1.0%</w:t>
            </w:r>
          </w:p>
        </w:tc>
        <w:tc>
          <w:tcPr>
            <w:tcW w:w="689" w:type="dxa"/>
            <w:tcBorders>
              <w:bottom w:val="nil"/>
            </w:tcBorders>
            <w:shd w:val="clear" w:color="auto" w:fill="E9E9E9"/>
          </w:tcPr>
          <w:p>
            <w:pPr>
              <w:pStyle w:val="TableParagraph"/>
              <w:spacing w:before="44"/>
              <w:jc w:val="center"/>
              <w:rPr>
                <w:rFonts w:ascii="Microsoft Sans Serif"/>
                <w:sz w:val="16"/>
              </w:rPr>
            </w:pPr>
            <w:r>
              <w:rPr>
                <w:rFonts w:ascii="Microsoft Sans Serif"/>
                <w:w w:val="176"/>
                <w:sz w:val="16"/>
              </w:rPr>
              <w:t>p</w:t>
            </w:r>
          </w:p>
        </w:tc>
      </w:tr>
      <w:tr>
        <w:trPr>
          <w:trHeight w:val="279" w:hRule="exact"/>
        </w:trPr>
        <w:tc>
          <w:tcPr>
            <w:tcW w:w="10095" w:type="dxa"/>
            <w:gridSpan w:val="8"/>
            <w:tcBorders>
              <w:top w:val="nil"/>
              <w:left w:val="nil"/>
              <w:bottom w:val="nil"/>
              <w:right w:val="nil"/>
            </w:tcBorders>
            <w:shd w:val="clear" w:color="auto" w:fill="949290"/>
          </w:tcPr>
          <w:p>
            <w:pPr>
              <w:pStyle w:val="TableParagraph"/>
              <w:spacing w:before="50"/>
              <w:ind w:left="80"/>
              <w:jc w:val="left"/>
              <w:rPr>
                <w:rFonts w:ascii="Gotham Narrow Bold"/>
                <w:b/>
                <w:sz w:val="16"/>
              </w:rPr>
            </w:pPr>
            <w:r>
              <w:rPr>
                <w:rFonts w:ascii="Gotham Narrow Bold"/>
                <w:b/>
                <w:color w:val="FFFFFF"/>
                <w:w w:val="95"/>
                <w:sz w:val="16"/>
              </w:rPr>
              <w:t>STUDENT LOAD</w:t>
            </w:r>
          </w:p>
        </w:tc>
      </w:tr>
      <w:tr>
        <w:trPr>
          <w:trHeight w:val="264" w:hRule="exact"/>
        </w:trPr>
        <w:tc>
          <w:tcPr>
            <w:tcW w:w="3623" w:type="dxa"/>
            <w:tcBorders>
              <w:top w:val="nil"/>
            </w:tcBorders>
            <w:shd w:val="clear" w:color="auto" w:fill="E9E9E9"/>
          </w:tcPr>
          <w:p>
            <w:pPr>
              <w:pStyle w:val="TableParagraph"/>
              <w:spacing w:before="41"/>
              <w:ind w:left="75" w:right="90"/>
              <w:jc w:val="left"/>
              <w:rPr>
                <w:rFonts w:ascii="Calibri"/>
                <w:sz w:val="16"/>
              </w:rPr>
            </w:pPr>
            <w:r>
              <w:rPr>
                <w:rFonts w:ascii="Calibri"/>
                <w:w w:val="110"/>
                <w:sz w:val="16"/>
              </w:rPr>
              <w:t>Total</w:t>
            </w:r>
          </w:p>
        </w:tc>
        <w:tc>
          <w:tcPr>
            <w:tcW w:w="964" w:type="dxa"/>
            <w:tcBorders>
              <w:top w:val="nil"/>
            </w:tcBorders>
            <w:shd w:val="clear" w:color="auto" w:fill="E9E9E9"/>
          </w:tcPr>
          <w:p>
            <w:pPr>
              <w:pStyle w:val="TableParagraph"/>
              <w:spacing w:before="41"/>
              <w:ind w:right="72"/>
              <w:rPr>
                <w:rFonts w:ascii="Calibri"/>
                <w:sz w:val="16"/>
              </w:rPr>
            </w:pPr>
            <w:r>
              <w:rPr>
                <w:rFonts w:ascii="Calibri"/>
                <w:w w:val="105"/>
                <w:sz w:val="16"/>
              </w:rPr>
              <w:t>30,194</w:t>
            </w:r>
          </w:p>
        </w:tc>
        <w:tc>
          <w:tcPr>
            <w:tcW w:w="964" w:type="dxa"/>
            <w:tcBorders>
              <w:top w:val="nil"/>
            </w:tcBorders>
            <w:shd w:val="clear" w:color="auto" w:fill="E9E9E9"/>
          </w:tcPr>
          <w:p>
            <w:pPr>
              <w:pStyle w:val="TableParagraph"/>
              <w:spacing w:before="41"/>
              <w:ind w:right="72"/>
              <w:rPr>
                <w:rFonts w:ascii="Calibri"/>
                <w:sz w:val="16"/>
              </w:rPr>
            </w:pPr>
            <w:r>
              <w:rPr>
                <w:rFonts w:ascii="Calibri"/>
                <w:sz w:val="16"/>
              </w:rPr>
              <w:t>31,457</w:t>
            </w:r>
          </w:p>
        </w:tc>
        <w:tc>
          <w:tcPr>
            <w:tcW w:w="964" w:type="dxa"/>
            <w:tcBorders>
              <w:top w:val="nil"/>
            </w:tcBorders>
            <w:shd w:val="clear" w:color="auto" w:fill="E9E9E9"/>
          </w:tcPr>
          <w:p>
            <w:pPr>
              <w:pStyle w:val="TableParagraph"/>
              <w:spacing w:before="41"/>
              <w:ind w:right="71"/>
              <w:rPr>
                <w:rFonts w:ascii="Calibri"/>
                <w:sz w:val="16"/>
              </w:rPr>
            </w:pPr>
            <w:r>
              <w:rPr>
                <w:rFonts w:ascii="Calibri"/>
                <w:sz w:val="16"/>
              </w:rPr>
              <w:t>32,912</w:t>
            </w:r>
          </w:p>
        </w:tc>
        <w:tc>
          <w:tcPr>
            <w:tcW w:w="964" w:type="dxa"/>
            <w:tcBorders>
              <w:top w:val="nil"/>
            </w:tcBorders>
            <w:shd w:val="clear" w:color="auto" w:fill="E9E9E9"/>
          </w:tcPr>
          <w:p>
            <w:pPr>
              <w:pStyle w:val="TableParagraph"/>
              <w:spacing w:before="41"/>
              <w:ind w:right="72"/>
              <w:rPr>
                <w:rFonts w:ascii="Calibri"/>
                <w:sz w:val="16"/>
              </w:rPr>
            </w:pPr>
            <w:r>
              <w:rPr>
                <w:rFonts w:ascii="Calibri"/>
                <w:w w:val="105"/>
                <w:sz w:val="16"/>
              </w:rPr>
              <w:t>33,668</w:t>
            </w:r>
          </w:p>
        </w:tc>
        <w:tc>
          <w:tcPr>
            <w:tcW w:w="964" w:type="dxa"/>
            <w:tcBorders>
              <w:top w:val="nil"/>
            </w:tcBorders>
            <w:shd w:val="clear" w:color="auto" w:fill="E9E9E9"/>
          </w:tcPr>
          <w:p>
            <w:pPr>
              <w:pStyle w:val="TableParagraph"/>
              <w:spacing w:before="41"/>
              <w:ind w:right="72"/>
              <w:rPr>
                <w:rFonts w:ascii="Calibri"/>
                <w:sz w:val="16"/>
              </w:rPr>
            </w:pPr>
            <w:r>
              <w:rPr>
                <w:rFonts w:ascii="Calibri"/>
                <w:w w:val="110"/>
                <w:sz w:val="16"/>
              </w:rPr>
              <w:t>33,429</w:t>
            </w:r>
          </w:p>
        </w:tc>
        <w:tc>
          <w:tcPr>
            <w:tcW w:w="964" w:type="dxa"/>
            <w:tcBorders>
              <w:top w:val="nil"/>
            </w:tcBorders>
            <w:shd w:val="clear" w:color="auto" w:fill="E9E9E9"/>
          </w:tcPr>
          <w:p>
            <w:pPr>
              <w:pStyle w:val="TableParagraph"/>
              <w:spacing w:before="41"/>
              <w:ind w:right="72"/>
              <w:rPr>
                <w:rFonts w:ascii="Calibri"/>
                <w:sz w:val="16"/>
              </w:rPr>
            </w:pPr>
            <w:r>
              <w:rPr>
                <w:rFonts w:ascii="Calibri"/>
                <w:w w:val="110"/>
                <w:sz w:val="16"/>
              </w:rPr>
              <w:t>-0.7%</w:t>
            </w:r>
          </w:p>
        </w:tc>
        <w:tc>
          <w:tcPr>
            <w:tcW w:w="689" w:type="dxa"/>
            <w:tcBorders>
              <w:top w:val="nil"/>
            </w:tcBorders>
            <w:shd w:val="clear" w:color="auto" w:fill="E9E9E9"/>
          </w:tcPr>
          <w:p>
            <w:pPr>
              <w:pStyle w:val="TableParagraph"/>
              <w:spacing w:before="44"/>
              <w:jc w:val="center"/>
              <w:rPr>
                <w:rFonts w:ascii="Microsoft Sans Serif"/>
                <w:sz w:val="16"/>
              </w:rPr>
            </w:pPr>
            <w:r>
              <w:rPr>
                <w:rFonts w:ascii="Microsoft Sans Serif"/>
                <w:w w:val="176"/>
                <w:sz w:val="16"/>
              </w:rPr>
              <w:t>q</w:t>
            </w:r>
          </w:p>
        </w:tc>
      </w:tr>
      <w:tr>
        <w:trPr>
          <w:trHeight w:val="269" w:hRule="exact"/>
        </w:trPr>
        <w:tc>
          <w:tcPr>
            <w:tcW w:w="3623" w:type="dxa"/>
            <w:shd w:val="clear" w:color="auto" w:fill="E9E9E9"/>
          </w:tcPr>
          <w:p>
            <w:pPr>
              <w:pStyle w:val="TableParagraph"/>
              <w:spacing w:before="34"/>
              <w:ind w:left="75" w:right="90"/>
              <w:jc w:val="left"/>
              <w:rPr>
                <w:sz w:val="16"/>
              </w:rPr>
            </w:pPr>
            <w:r>
              <w:rPr>
                <w:sz w:val="16"/>
              </w:rPr>
              <w:t>Undergraduate</w:t>
            </w:r>
          </w:p>
        </w:tc>
        <w:tc>
          <w:tcPr>
            <w:tcW w:w="964" w:type="dxa"/>
            <w:shd w:val="clear" w:color="auto" w:fill="E9E9E9"/>
          </w:tcPr>
          <w:p>
            <w:pPr>
              <w:pStyle w:val="TableParagraph"/>
              <w:spacing w:before="34"/>
              <w:ind w:right="72"/>
              <w:rPr>
                <w:sz w:val="16"/>
              </w:rPr>
            </w:pPr>
            <w:r>
              <w:rPr>
                <w:w w:val="85"/>
                <w:sz w:val="16"/>
              </w:rPr>
              <w:t>25,631</w:t>
            </w:r>
          </w:p>
        </w:tc>
        <w:tc>
          <w:tcPr>
            <w:tcW w:w="964" w:type="dxa"/>
            <w:shd w:val="clear" w:color="auto" w:fill="E9E9E9"/>
          </w:tcPr>
          <w:p>
            <w:pPr>
              <w:pStyle w:val="TableParagraph"/>
              <w:spacing w:before="34"/>
              <w:ind w:right="72"/>
              <w:rPr>
                <w:sz w:val="16"/>
              </w:rPr>
            </w:pPr>
            <w:r>
              <w:rPr>
                <w:w w:val="95"/>
                <w:sz w:val="16"/>
              </w:rPr>
              <w:t>26,495</w:t>
            </w:r>
          </w:p>
        </w:tc>
        <w:tc>
          <w:tcPr>
            <w:tcW w:w="964" w:type="dxa"/>
            <w:shd w:val="clear" w:color="auto" w:fill="E9E9E9"/>
          </w:tcPr>
          <w:p>
            <w:pPr>
              <w:pStyle w:val="TableParagraph"/>
              <w:spacing w:before="34"/>
              <w:ind w:right="72"/>
              <w:rPr>
                <w:sz w:val="16"/>
              </w:rPr>
            </w:pPr>
            <w:r>
              <w:rPr>
                <w:w w:val="95"/>
                <w:sz w:val="16"/>
              </w:rPr>
              <w:t>27,364</w:t>
            </w:r>
          </w:p>
        </w:tc>
        <w:tc>
          <w:tcPr>
            <w:tcW w:w="964" w:type="dxa"/>
            <w:shd w:val="clear" w:color="auto" w:fill="E9E9E9"/>
          </w:tcPr>
          <w:p>
            <w:pPr>
              <w:pStyle w:val="TableParagraph"/>
              <w:spacing w:before="34"/>
              <w:ind w:right="72"/>
              <w:rPr>
                <w:sz w:val="16"/>
              </w:rPr>
            </w:pPr>
            <w:r>
              <w:rPr>
                <w:w w:val="90"/>
                <w:sz w:val="16"/>
              </w:rPr>
              <w:t>28,637</w:t>
            </w:r>
          </w:p>
        </w:tc>
        <w:tc>
          <w:tcPr>
            <w:tcW w:w="964" w:type="dxa"/>
            <w:shd w:val="clear" w:color="auto" w:fill="E9E9E9"/>
          </w:tcPr>
          <w:p>
            <w:pPr>
              <w:pStyle w:val="TableParagraph"/>
              <w:spacing w:before="34"/>
              <w:ind w:right="72"/>
              <w:rPr>
                <w:sz w:val="16"/>
              </w:rPr>
            </w:pPr>
            <w:r>
              <w:rPr>
                <w:w w:val="95"/>
                <w:sz w:val="16"/>
              </w:rPr>
              <w:t>28,082</w:t>
            </w:r>
          </w:p>
        </w:tc>
        <w:tc>
          <w:tcPr>
            <w:tcW w:w="964" w:type="dxa"/>
            <w:shd w:val="clear" w:color="auto" w:fill="E9E9E9"/>
          </w:tcPr>
          <w:p>
            <w:pPr>
              <w:pStyle w:val="TableParagraph"/>
              <w:spacing w:before="34"/>
              <w:ind w:right="72"/>
              <w:rPr>
                <w:sz w:val="16"/>
              </w:rPr>
            </w:pPr>
            <w:r>
              <w:rPr>
                <w:w w:val="80"/>
                <w:sz w:val="16"/>
              </w:rPr>
              <w:t>-1.9%</w:t>
            </w:r>
          </w:p>
        </w:tc>
        <w:tc>
          <w:tcPr>
            <w:tcW w:w="689" w:type="dxa"/>
            <w:shd w:val="clear" w:color="auto" w:fill="E9E9E9"/>
          </w:tcPr>
          <w:p>
            <w:pPr>
              <w:pStyle w:val="TableParagraph"/>
              <w:spacing w:before="44"/>
              <w:ind w:left="1"/>
              <w:jc w:val="center"/>
              <w:rPr>
                <w:rFonts w:ascii="Microsoft Sans Serif"/>
                <w:sz w:val="16"/>
              </w:rPr>
            </w:pPr>
            <w:r>
              <w:rPr>
                <w:rFonts w:ascii="Microsoft Sans Serif"/>
                <w:w w:val="176"/>
                <w:sz w:val="16"/>
              </w:rPr>
              <w:t>q</w:t>
            </w:r>
          </w:p>
        </w:tc>
      </w:tr>
      <w:tr>
        <w:trPr>
          <w:trHeight w:val="269" w:hRule="exact"/>
        </w:trPr>
        <w:tc>
          <w:tcPr>
            <w:tcW w:w="3623" w:type="dxa"/>
            <w:shd w:val="clear" w:color="auto" w:fill="E9E9E9"/>
          </w:tcPr>
          <w:p>
            <w:pPr>
              <w:pStyle w:val="TableParagraph"/>
              <w:spacing w:before="34"/>
              <w:ind w:left="75" w:right="90"/>
              <w:jc w:val="left"/>
              <w:rPr>
                <w:sz w:val="16"/>
              </w:rPr>
            </w:pPr>
            <w:r>
              <w:rPr>
                <w:sz w:val="16"/>
              </w:rPr>
              <w:t>Postgraduate</w:t>
            </w:r>
          </w:p>
        </w:tc>
        <w:tc>
          <w:tcPr>
            <w:tcW w:w="964" w:type="dxa"/>
            <w:shd w:val="clear" w:color="auto" w:fill="E9E9E9"/>
          </w:tcPr>
          <w:p>
            <w:pPr>
              <w:pStyle w:val="TableParagraph"/>
              <w:spacing w:before="34"/>
              <w:ind w:right="72"/>
              <w:rPr>
                <w:sz w:val="16"/>
              </w:rPr>
            </w:pPr>
            <w:r>
              <w:rPr>
                <w:sz w:val="16"/>
              </w:rPr>
              <w:t>4,038</w:t>
            </w:r>
          </w:p>
        </w:tc>
        <w:tc>
          <w:tcPr>
            <w:tcW w:w="964" w:type="dxa"/>
            <w:shd w:val="clear" w:color="auto" w:fill="E9E9E9"/>
          </w:tcPr>
          <w:p>
            <w:pPr>
              <w:pStyle w:val="TableParagraph"/>
              <w:spacing w:before="34"/>
              <w:ind w:right="72"/>
              <w:rPr>
                <w:sz w:val="16"/>
              </w:rPr>
            </w:pPr>
            <w:r>
              <w:rPr>
                <w:w w:val="95"/>
                <w:sz w:val="16"/>
              </w:rPr>
              <w:t>4,240</w:t>
            </w:r>
          </w:p>
        </w:tc>
        <w:tc>
          <w:tcPr>
            <w:tcW w:w="964" w:type="dxa"/>
            <w:shd w:val="clear" w:color="auto" w:fill="E9E9E9"/>
          </w:tcPr>
          <w:p>
            <w:pPr>
              <w:pStyle w:val="TableParagraph"/>
              <w:spacing w:before="34"/>
              <w:ind w:right="68"/>
              <w:rPr>
                <w:sz w:val="16"/>
              </w:rPr>
            </w:pPr>
            <w:r>
              <w:rPr>
                <w:w w:val="85"/>
                <w:sz w:val="16"/>
              </w:rPr>
              <w:t>4,381</w:t>
            </w:r>
          </w:p>
        </w:tc>
        <w:tc>
          <w:tcPr>
            <w:tcW w:w="964" w:type="dxa"/>
            <w:shd w:val="clear" w:color="auto" w:fill="E9E9E9"/>
          </w:tcPr>
          <w:p>
            <w:pPr>
              <w:pStyle w:val="TableParagraph"/>
              <w:spacing w:before="34"/>
              <w:ind w:right="69"/>
              <w:rPr>
                <w:sz w:val="16"/>
              </w:rPr>
            </w:pPr>
            <w:r>
              <w:rPr>
                <w:w w:val="65"/>
                <w:sz w:val="16"/>
              </w:rPr>
              <w:t>4,111</w:t>
            </w:r>
          </w:p>
        </w:tc>
        <w:tc>
          <w:tcPr>
            <w:tcW w:w="964" w:type="dxa"/>
            <w:shd w:val="clear" w:color="auto" w:fill="E9E9E9"/>
          </w:tcPr>
          <w:p>
            <w:pPr>
              <w:pStyle w:val="TableParagraph"/>
              <w:spacing w:before="34"/>
              <w:ind w:right="72"/>
              <w:rPr>
                <w:sz w:val="16"/>
              </w:rPr>
            </w:pPr>
            <w:r>
              <w:rPr>
                <w:w w:val="90"/>
                <w:sz w:val="16"/>
              </w:rPr>
              <w:t>4,414</w:t>
            </w:r>
          </w:p>
        </w:tc>
        <w:tc>
          <w:tcPr>
            <w:tcW w:w="964" w:type="dxa"/>
            <w:shd w:val="clear" w:color="auto" w:fill="E9E9E9"/>
          </w:tcPr>
          <w:p>
            <w:pPr>
              <w:pStyle w:val="TableParagraph"/>
              <w:spacing w:before="34"/>
              <w:ind w:right="72"/>
              <w:rPr>
                <w:sz w:val="16"/>
              </w:rPr>
            </w:pPr>
            <w:r>
              <w:rPr>
                <w:w w:val="85"/>
                <w:sz w:val="16"/>
              </w:rPr>
              <w:t>7.4%</w:t>
            </w:r>
          </w:p>
        </w:tc>
        <w:tc>
          <w:tcPr>
            <w:tcW w:w="689" w:type="dxa"/>
            <w:shd w:val="clear" w:color="auto" w:fill="E9E9E9"/>
          </w:tcPr>
          <w:p>
            <w:pPr>
              <w:pStyle w:val="TableParagraph"/>
              <w:spacing w:before="44"/>
              <w:ind w:left="1"/>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75" w:right="90"/>
              <w:jc w:val="left"/>
              <w:rPr>
                <w:sz w:val="16"/>
              </w:rPr>
            </w:pPr>
            <w:r>
              <w:rPr>
                <w:sz w:val="16"/>
              </w:rPr>
              <w:t>Other*</w:t>
            </w:r>
          </w:p>
        </w:tc>
        <w:tc>
          <w:tcPr>
            <w:tcW w:w="964" w:type="dxa"/>
            <w:shd w:val="clear" w:color="auto" w:fill="E9E9E9"/>
          </w:tcPr>
          <w:p>
            <w:pPr>
              <w:pStyle w:val="TableParagraph"/>
              <w:spacing w:before="34"/>
              <w:ind w:right="72"/>
              <w:rPr>
                <w:sz w:val="16"/>
              </w:rPr>
            </w:pPr>
            <w:r>
              <w:rPr>
                <w:w w:val="95"/>
                <w:sz w:val="16"/>
              </w:rPr>
              <w:t>526</w:t>
            </w:r>
          </w:p>
        </w:tc>
        <w:tc>
          <w:tcPr>
            <w:tcW w:w="964" w:type="dxa"/>
            <w:shd w:val="clear" w:color="auto" w:fill="E9E9E9"/>
          </w:tcPr>
          <w:p>
            <w:pPr>
              <w:pStyle w:val="TableParagraph"/>
              <w:spacing w:before="34"/>
              <w:ind w:right="72"/>
              <w:rPr>
                <w:sz w:val="16"/>
              </w:rPr>
            </w:pPr>
            <w:r>
              <w:rPr>
                <w:w w:val="95"/>
                <w:sz w:val="16"/>
              </w:rPr>
              <w:t>723</w:t>
            </w:r>
          </w:p>
        </w:tc>
        <w:tc>
          <w:tcPr>
            <w:tcW w:w="964" w:type="dxa"/>
            <w:shd w:val="clear" w:color="auto" w:fill="E9E9E9"/>
          </w:tcPr>
          <w:p>
            <w:pPr>
              <w:pStyle w:val="TableParagraph"/>
              <w:spacing w:before="34"/>
              <w:ind w:right="72"/>
              <w:rPr>
                <w:sz w:val="16"/>
              </w:rPr>
            </w:pPr>
            <w:r>
              <w:rPr>
                <w:w w:val="75"/>
                <w:sz w:val="16"/>
              </w:rPr>
              <w:t>1,167</w:t>
            </w:r>
          </w:p>
        </w:tc>
        <w:tc>
          <w:tcPr>
            <w:tcW w:w="964" w:type="dxa"/>
            <w:shd w:val="clear" w:color="auto" w:fill="E9E9E9"/>
          </w:tcPr>
          <w:p>
            <w:pPr>
              <w:pStyle w:val="TableParagraph"/>
              <w:spacing w:before="34"/>
              <w:ind w:right="72"/>
              <w:rPr>
                <w:sz w:val="16"/>
              </w:rPr>
            </w:pPr>
            <w:r>
              <w:rPr>
                <w:w w:val="80"/>
                <w:sz w:val="16"/>
              </w:rPr>
              <w:t>921</w:t>
            </w:r>
          </w:p>
        </w:tc>
        <w:tc>
          <w:tcPr>
            <w:tcW w:w="964" w:type="dxa"/>
            <w:shd w:val="clear" w:color="auto" w:fill="E9E9E9"/>
          </w:tcPr>
          <w:p>
            <w:pPr>
              <w:pStyle w:val="TableParagraph"/>
              <w:spacing w:before="34"/>
              <w:ind w:right="72"/>
              <w:rPr>
                <w:sz w:val="16"/>
              </w:rPr>
            </w:pPr>
            <w:r>
              <w:rPr>
                <w:w w:val="95"/>
                <w:sz w:val="16"/>
              </w:rPr>
              <w:t>933</w:t>
            </w:r>
          </w:p>
        </w:tc>
        <w:tc>
          <w:tcPr>
            <w:tcW w:w="964" w:type="dxa"/>
            <w:shd w:val="clear" w:color="auto" w:fill="E9E9E9"/>
          </w:tcPr>
          <w:p>
            <w:pPr>
              <w:pStyle w:val="TableParagraph"/>
              <w:spacing w:before="34"/>
              <w:ind w:right="70"/>
              <w:rPr>
                <w:sz w:val="16"/>
              </w:rPr>
            </w:pPr>
            <w:r>
              <w:rPr>
                <w:w w:val="70"/>
                <w:sz w:val="16"/>
              </w:rPr>
              <w:t>1.3%</w:t>
            </w:r>
          </w:p>
        </w:tc>
        <w:tc>
          <w:tcPr>
            <w:tcW w:w="689" w:type="dxa"/>
            <w:shd w:val="clear" w:color="auto" w:fill="E9E9E9"/>
          </w:tcPr>
          <w:p>
            <w:pPr>
              <w:pStyle w:val="TableParagraph"/>
              <w:spacing w:before="44"/>
              <w:ind w:left="1"/>
              <w:jc w:val="center"/>
              <w:rPr>
                <w:rFonts w:ascii="Microsoft Sans Serif"/>
                <w:sz w:val="16"/>
              </w:rPr>
            </w:pPr>
            <w:r>
              <w:rPr>
                <w:rFonts w:ascii="Microsoft Sans Serif"/>
                <w:w w:val="176"/>
                <w:sz w:val="16"/>
              </w:rPr>
              <w:t>p</w:t>
            </w:r>
          </w:p>
        </w:tc>
      </w:tr>
      <w:tr>
        <w:trPr>
          <w:trHeight w:val="264" w:hRule="exact"/>
        </w:trPr>
        <w:tc>
          <w:tcPr>
            <w:tcW w:w="10095" w:type="dxa"/>
            <w:gridSpan w:val="8"/>
            <w:tcBorders>
              <w:bottom w:val="nil"/>
            </w:tcBorders>
            <w:shd w:val="clear" w:color="auto" w:fill="E9E9E9"/>
          </w:tcPr>
          <w:p>
            <w:pPr>
              <w:pStyle w:val="TableParagraph"/>
              <w:spacing w:before="34"/>
              <w:ind w:left="75"/>
              <w:jc w:val="left"/>
              <w:rPr>
                <w:sz w:val="16"/>
              </w:rPr>
            </w:pPr>
            <w:r>
              <w:rPr>
                <w:sz w:val="16"/>
              </w:rPr>
              <w:t>* Other includes enabling, cross institutional and non award</w:t>
            </w:r>
          </w:p>
        </w:tc>
      </w:tr>
      <w:tr>
        <w:trPr>
          <w:trHeight w:val="279" w:hRule="exact"/>
        </w:trPr>
        <w:tc>
          <w:tcPr>
            <w:tcW w:w="10095" w:type="dxa"/>
            <w:gridSpan w:val="8"/>
            <w:tcBorders>
              <w:top w:val="nil"/>
              <w:left w:val="nil"/>
              <w:bottom w:val="nil"/>
              <w:right w:val="nil"/>
            </w:tcBorders>
            <w:shd w:val="clear" w:color="auto" w:fill="949290"/>
          </w:tcPr>
          <w:p>
            <w:pPr>
              <w:pStyle w:val="TableParagraph"/>
              <w:spacing w:before="50"/>
              <w:ind w:left="80"/>
              <w:jc w:val="left"/>
              <w:rPr>
                <w:rFonts w:ascii="Gotham Narrow Bold"/>
                <w:b/>
                <w:sz w:val="16"/>
              </w:rPr>
            </w:pPr>
            <w:r>
              <w:rPr>
                <w:rFonts w:ascii="Gotham Narrow Bold"/>
                <w:b/>
                <w:color w:val="FFFFFF"/>
                <w:w w:val="95"/>
                <w:sz w:val="16"/>
              </w:rPr>
              <w:t>STUDENT LOAD BY FUNDING SOURCE</w:t>
            </w:r>
          </w:p>
        </w:tc>
      </w:tr>
      <w:tr>
        <w:trPr>
          <w:trHeight w:val="264" w:hRule="exact"/>
        </w:trPr>
        <w:tc>
          <w:tcPr>
            <w:tcW w:w="3623" w:type="dxa"/>
            <w:tcBorders>
              <w:top w:val="nil"/>
            </w:tcBorders>
            <w:shd w:val="clear" w:color="auto" w:fill="E9E9E9"/>
          </w:tcPr>
          <w:p>
            <w:pPr>
              <w:pStyle w:val="TableParagraph"/>
              <w:spacing w:before="34"/>
              <w:ind w:left="75" w:right="90"/>
              <w:jc w:val="left"/>
              <w:rPr>
                <w:sz w:val="16"/>
              </w:rPr>
            </w:pPr>
            <w:r>
              <w:rPr>
                <w:sz w:val="16"/>
              </w:rPr>
              <w:t>Commonwealth Supported Places</w:t>
            </w:r>
          </w:p>
        </w:tc>
        <w:tc>
          <w:tcPr>
            <w:tcW w:w="964" w:type="dxa"/>
            <w:tcBorders>
              <w:top w:val="nil"/>
            </w:tcBorders>
            <w:shd w:val="clear" w:color="auto" w:fill="E9E9E9"/>
          </w:tcPr>
          <w:p>
            <w:pPr>
              <w:pStyle w:val="TableParagraph"/>
              <w:spacing w:before="34"/>
              <w:ind w:right="73"/>
              <w:rPr>
                <w:sz w:val="16"/>
              </w:rPr>
            </w:pPr>
            <w:r>
              <w:rPr>
                <w:w w:val="90"/>
                <w:sz w:val="16"/>
              </w:rPr>
              <w:t>25,748</w:t>
            </w:r>
          </w:p>
        </w:tc>
        <w:tc>
          <w:tcPr>
            <w:tcW w:w="964" w:type="dxa"/>
            <w:tcBorders>
              <w:top w:val="nil"/>
            </w:tcBorders>
            <w:shd w:val="clear" w:color="auto" w:fill="E9E9E9"/>
          </w:tcPr>
          <w:p>
            <w:pPr>
              <w:pStyle w:val="TableParagraph"/>
              <w:spacing w:before="34"/>
              <w:ind w:right="72"/>
              <w:rPr>
                <w:sz w:val="16"/>
              </w:rPr>
            </w:pPr>
            <w:r>
              <w:rPr>
                <w:w w:val="95"/>
                <w:sz w:val="16"/>
              </w:rPr>
              <w:t>27,049</w:t>
            </w:r>
          </w:p>
        </w:tc>
        <w:tc>
          <w:tcPr>
            <w:tcW w:w="964" w:type="dxa"/>
            <w:tcBorders>
              <w:top w:val="nil"/>
            </w:tcBorders>
            <w:shd w:val="clear" w:color="auto" w:fill="E9E9E9"/>
          </w:tcPr>
          <w:p>
            <w:pPr>
              <w:pStyle w:val="TableParagraph"/>
              <w:spacing w:before="34"/>
              <w:ind w:right="71"/>
              <w:rPr>
                <w:sz w:val="16"/>
              </w:rPr>
            </w:pPr>
            <w:r>
              <w:rPr>
                <w:w w:val="90"/>
                <w:sz w:val="16"/>
              </w:rPr>
              <w:t>28,387</w:t>
            </w:r>
          </w:p>
        </w:tc>
        <w:tc>
          <w:tcPr>
            <w:tcW w:w="964" w:type="dxa"/>
            <w:tcBorders>
              <w:top w:val="nil"/>
            </w:tcBorders>
            <w:shd w:val="clear" w:color="auto" w:fill="E9E9E9"/>
          </w:tcPr>
          <w:p>
            <w:pPr>
              <w:pStyle w:val="TableParagraph"/>
              <w:spacing w:before="34"/>
              <w:ind w:right="74"/>
              <w:rPr>
                <w:sz w:val="16"/>
              </w:rPr>
            </w:pPr>
            <w:r>
              <w:rPr>
                <w:w w:val="85"/>
                <w:sz w:val="16"/>
              </w:rPr>
              <w:t>29,147</w:t>
            </w:r>
          </w:p>
        </w:tc>
        <w:tc>
          <w:tcPr>
            <w:tcW w:w="964" w:type="dxa"/>
            <w:tcBorders>
              <w:top w:val="nil"/>
            </w:tcBorders>
            <w:shd w:val="clear" w:color="auto" w:fill="E9E9E9"/>
          </w:tcPr>
          <w:p>
            <w:pPr>
              <w:pStyle w:val="TableParagraph"/>
              <w:spacing w:before="34"/>
              <w:ind w:right="72"/>
              <w:rPr>
                <w:sz w:val="16"/>
              </w:rPr>
            </w:pPr>
            <w:r>
              <w:rPr>
                <w:w w:val="90"/>
                <w:sz w:val="16"/>
              </w:rPr>
              <w:t>28,416</w:t>
            </w:r>
          </w:p>
        </w:tc>
        <w:tc>
          <w:tcPr>
            <w:tcW w:w="964" w:type="dxa"/>
            <w:tcBorders>
              <w:top w:val="nil"/>
            </w:tcBorders>
            <w:shd w:val="clear" w:color="auto" w:fill="E9E9E9"/>
          </w:tcPr>
          <w:p>
            <w:pPr>
              <w:pStyle w:val="TableParagraph"/>
              <w:spacing w:before="34"/>
              <w:ind w:right="72"/>
              <w:rPr>
                <w:sz w:val="16"/>
              </w:rPr>
            </w:pPr>
            <w:r>
              <w:rPr>
                <w:w w:val="85"/>
                <w:sz w:val="16"/>
              </w:rPr>
              <w:t>-2.5%</w:t>
            </w:r>
          </w:p>
        </w:tc>
        <w:tc>
          <w:tcPr>
            <w:tcW w:w="689" w:type="dxa"/>
            <w:tcBorders>
              <w:top w:val="nil"/>
            </w:tcBorders>
            <w:shd w:val="clear" w:color="auto" w:fill="E9E9E9"/>
          </w:tcPr>
          <w:p>
            <w:pPr>
              <w:pStyle w:val="TableParagraph"/>
              <w:spacing w:before="44"/>
              <w:ind w:left="2"/>
              <w:jc w:val="center"/>
              <w:rPr>
                <w:rFonts w:ascii="Microsoft Sans Serif"/>
                <w:sz w:val="16"/>
              </w:rPr>
            </w:pPr>
            <w:r>
              <w:rPr>
                <w:rFonts w:ascii="Microsoft Sans Serif"/>
                <w:w w:val="176"/>
                <w:sz w:val="16"/>
              </w:rPr>
              <w:t>q</w:t>
            </w:r>
          </w:p>
        </w:tc>
      </w:tr>
      <w:tr>
        <w:trPr>
          <w:trHeight w:val="269" w:hRule="exact"/>
        </w:trPr>
        <w:tc>
          <w:tcPr>
            <w:tcW w:w="3623" w:type="dxa"/>
            <w:shd w:val="clear" w:color="auto" w:fill="E9E9E9"/>
          </w:tcPr>
          <w:p>
            <w:pPr>
              <w:pStyle w:val="TableParagraph"/>
              <w:spacing w:before="34"/>
              <w:ind w:left="76" w:right="90"/>
              <w:jc w:val="left"/>
              <w:rPr>
                <w:sz w:val="16"/>
              </w:rPr>
            </w:pPr>
            <w:r>
              <w:rPr>
                <w:sz w:val="16"/>
              </w:rPr>
              <w:t>Commonwealth Research Training Scheme</w:t>
            </w:r>
          </w:p>
        </w:tc>
        <w:tc>
          <w:tcPr>
            <w:tcW w:w="964" w:type="dxa"/>
            <w:shd w:val="clear" w:color="auto" w:fill="E9E9E9"/>
          </w:tcPr>
          <w:p>
            <w:pPr>
              <w:pStyle w:val="TableParagraph"/>
              <w:spacing w:before="34"/>
              <w:ind w:right="71"/>
              <w:rPr>
                <w:sz w:val="16"/>
              </w:rPr>
            </w:pPr>
            <w:r>
              <w:rPr>
                <w:w w:val="95"/>
                <w:sz w:val="16"/>
              </w:rPr>
              <w:t>526</w:t>
            </w:r>
          </w:p>
        </w:tc>
        <w:tc>
          <w:tcPr>
            <w:tcW w:w="964" w:type="dxa"/>
            <w:shd w:val="clear" w:color="auto" w:fill="E9E9E9"/>
          </w:tcPr>
          <w:p>
            <w:pPr>
              <w:pStyle w:val="TableParagraph"/>
              <w:spacing w:before="34"/>
              <w:ind w:right="73"/>
              <w:rPr>
                <w:sz w:val="16"/>
              </w:rPr>
            </w:pPr>
            <w:r>
              <w:rPr>
                <w:w w:val="95"/>
                <w:sz w:val="16"/>
              </w:rPr>
              <w:t>576</w:t>
            </w:r>
          </w:p>
        </w:tc>
        <w:tc>
          <w:tcPr>
            <w:tcW w:w="964" w:type="dxa"/>
            <w:shd w:val="clear" w:color="auto" w:fill="E9E9E9"/>
          </w:tcPr>
          <w:p>
            <w:pPr>
              <w:pStyle w:val="TableParagraph"/>
              <w:spacing w:before="34"/>
              <w:ind w:right="71"/>
              <w:rPr>
                <w:sz w:val="16"/>
              </w:rPr>
            </w:pPr>
            <w:r>
              <w:rPr>
                <w:w w:val="95"/>
                <w:sz w:val="16"/>
              </w:rPr>
              <w:t>493</w:t>
            </w:r>
          </w:p>
        </w:tc>
        <w:tc>
          <w:tcPr>
            <w:tcW w:w="964" w:type="dxa"/>
            <w:shd w:val="clear" w:color="auto" w:fill="E9E9E9"/>
          </w:tcPr>
          <w:p>
            <w:pPr>
              <w:pStyle w:val="TableParagraph"/>
              <w:spacing w:before="34"/>
              <w:ind w:right="71"/>
              <w:rPr>
                <w:sz w:val="16"/>
              </w:rPr>
            </w:pPr>
            <w:r>
              <w:rPr>
                <w:w w:val="105"/>
                <w:sz w:val="16"/>
              </w:rPr>
              <w:t>490</w:t>
            </w:r>
          </w:p>
        </w:tc>
        <w:tc>
          <w:tcPr>
            <w:tcW w:w="964" w:type="dxa"/>
            <w:shd w:val="clear" w:color="auto" w:fill="E9E9E9"/>
          </w:tcPr>
          <w:p>
            <w:pPr>
              <w:pStyle w:val="TableParagraph"/>
              <w:spacing w:before="34"/>
              <w:ind w:right="72"/>
              <w:rPr>
                <w:sz w:val="16"/>
              </w:rPr>
            </w:pPr>
            <w:r>
              <w:rPr>
                <w:w w:val="95"/>
                <w:sz w:val="16"/>
              </w:rPr>
              <w:t>570</w:t>
            </w:r>
          </w:p>
        </w:tc>
        <w:tc>
          <w:tcPr>
            <w:tcW w:w="964" w:type="dxa"/>
            <w:shd w:val="clear" w:color="auto" w:fill="E9E9E9"/>
          </w:tcPr>
          <w:p>
            <w:pPr>
              <w:pStyle w:val="TableParagraph"/>
              <w:spacing w:before="34"/>
              <w:ind w:right="70"/>
              <w:rPr>
                <w:sz w:val="16"/>
              </w:rPr>
            </w:pPr>
            <w:r>
              <w:rPr>
                <w:w w:val="75"/>
                <w:sz w:val="16"/>
              </w:rPr>
              <w:t>16.3%</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76" w:right="90"/>
              <w:jc w:val="left"/>
              <w:rPr>
                <w:sz w:val="16"/>
              </w:rPr>
            </w:pPr>
            <w:r>
              <w:rPr>
                <w:sz w:val="16"/>
              </w:rPr>
              <w:t>Domestic fee-paying (award and non award)</w:t>
            </w:r>
          </w:p>
        </w:tc>
        <w:tc>
          <w:tcPr>
            <w:tcW w:w="964" w:type="dxa"/>
            <w:shd w:val="clear" w:color="auto" w:fill="E9E9E9"/>
          </w:tcPr>
          <w:p>
            <w:pPr>
              <w:pStyle w:val="TableParagraph"/>
              <w:spacing w:before="34"/>
              <w:ind w:right="71"/>
              <w:rPr>
                <w:sz w:val="16"/>
              </w:rPr>
            </w:pPr>
            <w:r>
              <w:rPr>
                <w:w w:val="95"/>
                <w:sz w:val="16"/>
              </w:rPr>
              <w:t>928</w:t>
            </w:r>
          </w:p>
        </w:tc>
        <w:tc>
          <w:tcPr>
            <w:tcW w:w="964" w:type="dxa"/>
            <w:shd w:val="clear" w:color="auto" w:fill="E9E9E9"/>
          </w:tcPr>
          <w:p>
            <w:pPr>
              <w:pStyle w:val="TableParagraph"/>
              <w:spacing w:before="34"/>
              <w:ind w:right="74"/>
              <w:rPr>
                <w:sz w:val="16"/>
              </w:rPr>
            </w:pPr>
            <w:r>
              <w:rPr>
                <w:w w:val="95"/>
                <w:sz w:val="16"/>
              </w:rPr>
              <w:t>847</w:t>
            </w:r>
          </w:p>
        </w:tc>
        <w:tc>
          <w:tcPr>
            <w:tcW w:w="964" w:type="dxa"/>
            <w:shd w:val="clear" w:color="auto" w:fill="E9E9E9"/>
          </w:tcPr>
          <w:p>
            <w:pPr>
              <w:pStyle w:val="TableParagraph"/>
              <w:spacing w:before="34"/>
              <w:ind w:right="70"/>
              <w:rPr>
                <w:sz w:val="16"/>
              </w:rPr>
            </w:pPr>
            <w:r>
              <w:rPr>
                <w:w w:val="90"/>
                <w:sz w:val="16"/>
              </w:rPr>
              <w:t>732</w:t>
            </w:r>
          </w:p>
        </w:tc>
        <w:tc>
          <w:tcPr>
            <w:tcW w:w="964" w:type="dxa"/>
            <w:shd w:val="clear" w:color="auto" w:fill="E9E9E9"/>
          </w:tcPr>
          <w:p>
            <w:pPr>
              <w:pStyle w:val="TableParagraph"/>
              <w:spacing w:before="34"/>
              <w:ind w:right="71"/>
              <w:rPr>
                <w:sz w:val="16"/>
              </w:rPr>
            </w:pPr>
            <w:r>
              <w:rPr>
                <w:sz w:val="16"/>
              </w:rPr>
              <w:t>705</w:t>
            </w:r>
          </w:p>
        </w:tc>
        <w:tc>
          <w:tcPr>
            <w:tcW w:w="964" w:type="dxa"/>
            <w:shd w:val="clear" w:color="auto" w:fill="E9E9E9"/>
          </w:tcPr>
          <w:p>
            <w:pPr>
              <w:pStyle w:val="TableParagraph"/>
              <w:spacing w:before="34"/>
              <w:ind w:right="71"/>
              <w:rPr>
                <w:sz w:val="16"/>
              </w:rPr>
            </w:pPr>
            <w:r>
              <w:rPr>
                <w:w w:val="95"/>
                <w:sz w:val="16"/>
              </w:rPr>
              <w:t>792</w:t>
            </w:r>
          </w:p>
        </w:tc>
        <w:tc>
          <w:tcPr>
            <w:tcW w:w="964" w:type="dxa"/>
            <w:shd w:val="clear" w:color="auto" w:fill="E9E9E9"/>
          </w:tcPr>
          <w:p>
            <w:pPr>
              <w:pStyle w:val="TableParagraph"/>
              <w:spacing w:before="34"/>
              <w:ind w:right="72"/>
              <w:rPr>
                <w:sz w:val="16"/>
              </w:rPr>
            </w:pPr>
            <w:r>
              <w:rPr>
                <w:w w:val="75"/>
                <w:sz w:val="16"/>
              </w:rPr>
              <w:t>12.4%</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4" w:hRule="exact"/>
        </w:trPr>
        <w:tc>
          <w:tcPr>
            <w:tcW w:w="3623" w:type="dxa"/>
            <w:tcBorders>
              <w:bottom w:val="nil"/>
            </w:tcBorders>
            <w:shd w:val="clear" w:color="auto" w:fill="E9E9E9"/>
          </w:tcPr>
          <w:p>
            <w:pPr>
              <w:pStyle w:val="TableParagraph"/>
              <w:spacing w:before="34"/>
              <w:ind w:left="76" w:right="90"/>
              <w:jc w:val="left"/>
              <w:rPr>
                <w:sz w:val="16"/>
              </w:rPr>
            </w:pPr>
            <w:r>
              <w:rPr>
                <w:w w:val="95"/>
                <w:sz w:val="16"/>
              </w:rPr>
              <w:t>International fee-paying</w:t>
            </w:r>
          </w:p>
        </w:tc>
        <w:tc>
          <w:tcPr>
            <w:tcW w:w="964" w:type="dxa"/>
            <w:tcBorders>
              <w:bottom w:val="nil"/>
            </w:tcBorders>
            <w:shd w:val="clear" w:color="auto" w:fill="E9E9E9"/>
          </w:tcPr>
          <w:p>
            <w:pPr>
              <w:pStyle w:val="TableParagraph"/>
              <w:spacing w:before="34"/>
              <w:ind w:right="71"/>
              <w:rPr>
                <w:sz w:val="16"/>
              </w:rPr>
            </w:pPr>
            <w:r>
              <w:rPr>
                <w:w w:val="95"/>
                <w:sz w:val="16"/>
              </w:rPr>
              <w:t>2,992</w:t>
            </w:r>
          </w:p>
        </w:tc>
        <w:tc>
          <w:tcPr>
            <w:tcW w:w="964" w:type="dxa"/>
            <w:tcBorders>
              <w:bottom w:val="nil"/>
            </w:tcBorders>
            <w:shd w:val="clear" w:color="auto" w:fill="E9E9E9"/>
          </w:tcPr>
          <w:p>
            <w:pPr>
              <w:pStyle w:val="TableParagraph"/>
              <w:spacing w:before="34"/>
              <w:ind w:right="71"/>
              <w:rPr>
                <w:sz w:val="16"/>
              </w:rPr>
            </w:pPr>
            <w:r>
              <w:rPr>
                <w:w w:val="90"/>
                <w:sz w:val="16"/>
              </w:rPr>
              <w:t>2,985</w:t>
            </w:r>
          </w:p>
        </w:tc>
        <w:tc>
          <w:tcPr>
            <w:tcW w:w="964" w:type="dxa"/>
            <w:tcBorders>
              <w:bottom w:val="nil"/>
            </w:tcBorders>
            <w:shd w:val="clear" w:color="auto" w:fill="E9E9E9"/>
          </w:tcPr>
          <w:p>
            <w:pPr>
              <w:pStyle w:val="TableParagraph"/>
              <w:spacing w:before="34"/>
              <w:ind w:right="71"/>
              <w:rPr>
                <w:sz w:val="16"/>
              </w:rPr>
            </w:pPr>
            <w:r>
              <w:rPr>
                <w:w w:val="95"/>
                <w:sz w:val="16"/>
              </w:rPr>
              <w:t>3,300</w:t>
            </w:r>
          </w:p>
        </w:tc>
        <w:tc>
          <w:tcPr>
            <w:tcW w:w="964" w:type="dxa"/>
            <w:tcBorders>
              <w:bottom w:val="nil"/>
            </w:tcBorders>
            <w:shd w:val="clear" w:color="auto" w:fill="E9E9E9"/>
          </w:tcPr>
          <w:p>
            <w:pPr>
              <w:pStyle w:val="TableParagraph"/>
              <w:spacing w:before="34"/>
              <w:ind w:right="71"/>
              <w:rPr>
                <w:sz w:val="16"/>
              </w:rPr>
            </w:pPr>
            <w:r>
              <w:rPr>
                <w:w w:val="90"/>
                <w:sz w:val="16"/>
              </w:rPr>
              <w:t>3,326</w:t>
            </w:r>
          </w:p>
        </w:tc>
        <w:tc>
          <w:tcPr>
            <w:tcW w:w="964" w:type="dxa"/>
            <w:tcBorders>
              <w:bottom w:val="nil"/>
            </w:tcBorders>
            <w:shd w:val="clear" w:color="auto" w:fill="E9E9E9"/>
          </w:tcPr>
          <w:p>
            <w:pPr>
              <w:pStyle w:val="TableParagraph"/>
              <w:spacing w:before="34"/>
              <w:ind w:right="71"/>
              <w:rPr>
                <w:sz w:val="16"/>
              </w:rPr>
            </w:pPr>
            <w:r>
              <w:rPr>
                <w:w w:val="95"/>
                <w:sz w:val="16"/>
              </w:rPr>
              <w:t>3,650</w:t>
            </w:r>
          </w:p>
        </w:tc>
        <w:tc>
          <w:tcPr>
            <w:tcW w:w="964" w:type="dxa"/>
            <w:tcBorders>
              <w:bottom w:val="nil"/>
            </w:tcBorders>
            <w:shd w:val="clear" w:color="auto" w:fill="E9E9E9"/>
          </w:tcPr>
          <w:p>
            <w:pPr>
              <w:pStyle w:val="TableParagraph"/>
              <w:spacing w:before="34"/>
              <w:ind w:right="71"/>
              <w:rPr>
                <w:sz w:val="16"/>
              </w:rPr>
            </w:pPr>
            <w:r>
              <w:rPr>
                <w:w w:val="85"/>
                <w:sz w:val="16"/>
              </w:rPr>
              <w:t>9.8%</w:t>
            </w:r>
          </w:p>
        </w:tc>
        <w:tc>
          <w:tcPr>
            <w:tcW w:w="689" w:type="dxa"/>
            <w:tcBorders>
              <w:bottom w:val="nil"/>
            </w:tcBorders>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79" w:hRule="exact"/>
        </w:trPr>
        <w:tc>
          <w:tcPr>
            <w:tcW w:w="10095" w:type="dxa"/>
            <w:gridSpan w:val="8"/>
            <w:tcBorders>
              <w:top w:val="nil"/>
              <w:left w:val="nil"/>
              <w:bottom w:val="nil"/>
              <w:right w:val="nil"/>
            </w:tcBorders>
            <w:shd w:val="clear" w:color="auto" w:fill="949290"/>
          </w:tcPr>
          <w:p>
            <w:pPr>
              <w:pStyle w:val="TableParagraph"/>
              <w:spacing w:before="50"/>
              <w:ind w:left="81"/>
              <w:jc w:val="left"/>
              <w:rPr>
                <w:rFonts w:ascii="Gotham Narrow Bold"/>
                <w:b/>
                <w:sz w:val="16"/>
              </w:rPr>
            </w:pPr>
            <w:r>
              <w:rPr>
                <w:rFonts w:ascii="Gotham Narrow Bold"/>
                <w:b/>
                <w:color w:val="FFFFFF"/>
                <w:w w:val="95"/>
                <w:sz w:val="16"/>
              </w:rPr>
              <w:t>AWARD COMPLETIONS</w:t>
            </w:r>
          </w:p>
        </w:tc>
      </w:tr>
      <w:tr>
        <w:trPr>
          <w:trHeight w:val="264" w:hRule="exact"/>
        </w:trPr>
        <w:tc>
          <w:tcPr>
            <w:tcW w:w="3623" w:type="dxa"/>
            <w:tcBorders>
              <w:top w:val="nil"/>
            </w:tcBorders>
            <w:shd w:val="clear" w:color="auto" w:fill="E9E9E9"/>
          </w:tcPr>
          <w:p>
            <w:pPr>
              <w:pStyle w:val="TableParagraph"/>
              <w:spacing w:before="42"/>
              <w:ind w:left="76" w:right="90"/>
              <w:jc w:val="left"/>
              <w:rPr>
                <w:rFonts w:ascii="Calibri"/>
                <w:sz w:val="16"/>
              </w:rPr>
            </w:pPr>
            <w:r>
              <w:rPr>
                <w:rFonts w:ascii="Calibri"/>
                <w:w w:val="110"/>
                <w:sz w:val="16"/>
              </w:rPr>
              <w:t>Total</w:t>
            </w:r>
          </w:p>
        </w:tc>
        <w:tc>
          <w:tcPr>
            <w:tcW w:w="964" w:type="dxa"/>
            <w:tcBorders>
              <w:top w:val="nil"/>
            </w:tcBorders>
            <w:shd w:val="clear" w:color="auto" w:fill="E9E9E9"/>
          </w:tcPr>
          <w:p>
            <w:pPr>
              <w:pStyle w:val="TableParagraph"/>
              <w:spacing w:before="42"/>
              <w:ind w:right="71"/>
              <w:rPr>
                <w:rFonts w:ascii="Calibri"/>
                <w:sz w:val="16"/>
              </w:rPr>
            </w:pPr>
            <w:r>
              <w:rPr>
                <w:rFonts w:ascii="Calibri"/>
                <w:w w:val="105"/>
                <w:sz w:val="16"/>
              </w:rPr>
              <w:t>8,322</w:t>
            </w:r>
          </w:p>
        </w:tc>
        <w:tc>
          <w:tcPr>
            <w:tcW w:w="964" w:type="dxa"/>
            <w:tcBorders>
              <w:top w:val="nil"/>
            </w:tcBorders>
            <w:shd w:val="clear" w:color="auto" w:fill="E9E9E9"/>
          </w:tcPr>
          <w:p>
            <w:pPr>
              <w:pStyle w:val="TableParagraph"/>
              <w:spacing w:before="42"/>
              <w:ind w:right="71"/>
              <w:rPr>
                <w:rFonts w:ascii="Calibri"/>
                <w:sz w:val="16"/>
              </w:rPr>
            </w:pPr>
            <w:r>
              <w:rPr>
                <w:rFonts w:ascii="Calibri"/>
                <w:w w:val="110"/>
                <w:sz w:val="16"/>
              </w:rPr>
              <w:t>9,202</w:t>
            </w:r>
          </w:p>
        </w:tc>
        <w:tc>
          <w:tcPr>
            <w:tcW w:w="964" w:type="dxa"/>
            <w:tcBorders>
              <w:top w:val="nil"/>
            </w:tcBorders>
            <w:shd w:val="clear" w:color="auto" w:fill="E9E9E9"/>
          </w:tcPr>
          <w:p>
            <w:pPr>
              <w:pStyle w:val="TableParagraph"/>
              <w:spacing w:before="42"/>
              <w:ind w:right="71"/>
              <w:rPr>
                <w:rFonts w:ascii="Calibri"/>
                <w:sz w:val="16"/>
              </w:rPr>
            </w:pPr>
            <w:r>
              <w:rPr>
                <w:rFonts w:ascii="Calibri"/>
                <w:w w:val="110"/>
                <w:sz w:val="16"/>
              </w:rPr>
              <w:t>9,029</w:t>
            </w:r>
          </w:p>
        </w:tc>
        <w:tc>
          <w:tcPr>
            <w:tcW w:w="964" w:type="dxa"/>
            <w:tcBorders>
              <w:top w:val="nil"/>
            </w:tcBorders>
            <w:shd w:val="clear" w:color="auto" w:fill="E9E9E9"/>
          </w:tcPr>
          <w:p>
            <w:pPr>
              <w:pStyle w:val="TableParagraph"/>
              <w:spacing w:before="42"/>
              <w:ind w:right="71"/>
              <w:rPr>
                <w:rFonts w:ascii="Calibri"/>
                <w:sz w:val="16"/>
              </w:rPr>
            </w:pPr>
            <w:r>
              <w:rPr>
                <w:rFonts w:ascii="Calibri"/>
                <w:w w:val="105"/>
                <w:sz w:val="16"/>
              </w:rPr>
              <w:t>8,973</w:t>
            </w:r>
          </w:p>
        </w:tc>
        <w:tc>
          <w:tcPr>
            <w:tcW w:w="964" w:type="dxa"/>
            <w:tcBorders>
              <w:top w:val="nil"/>
            </w:tcBorders>
            <w:shd w:val="clear" w:color="auto" w:fill="E9E9E9"/>
          </w:tcPr>
          <w:p>
            <w:pPr>
              <w:pStyle w:val="TableParagraph"/>
              <w:spacing w:before="42"/>
              <w:ind w:right="71"/>
              <w:rPr>
                <w:rFonts w:ascii="Calibri"/>
                <w:sz w:val="16"/>
              </w:rPr>
            </w:pPr>
            <w:r>
              <w:rPr>
                <w:rFonts w:ascii="Calibri"/>
                <w:sz w:val="16"/>
              </w:rPr>
              <w:t>n.a</w:t>
            </w:r>
          </w:p>
        </w:tc>
        <w:tc>
          <w:tcPr>
            <w:tcW w:w="964" w:type="dxa"/>
            <w:tcBorders>
              <w:top w:val="nil"/>
            </w:tcBorders>
            <w:shd w:val="clear" w:color="auto" w:fill="E9E9E9"/>
          </w:tcPr>
          <w:p>
            <w:pPr>
              <w:pStyle w:val="TableParagraph"/>
              <w:spacing w:before="42"/>
              <w:ind w:right="71"/>
              <w:rPr>
                <w:rFonts w:ascii="Calibri"/>
                <w:sz w:val="16"/>
              </w:rPr>
            </w:pPr>
            <w:r>
              <w:rPr>
                <w:rFonts w:ascii="Calibri"/>
                <w:w w:val="115"/>
                <w:sz w:val="16"/>
              </w:rPr>
              <w:t>-0.6%</w:t>
            </w:r>
          </w:p>
        </w:tc>
        <w:tc>
          <w:tcPr>
            <w:tcW w:w="689" w:type="dxa"/>
            <w:tcBorders>
              <w:top w:val="nil"/>
            </w:tcBorders>
            <w:shd w:val="clear" w:color="auto" w:fill="E9E9E9"/>
          </w:tcPr>
          <w:p>
            <w:pPr>
              <w:pStyle w:val="TableParagraph"/>
              <w:spacing w:before="44"/>
              <w:ind w:left="2"/>
              <w:jc w:val="center"/>
              <w:rPr>
                <w:rFonts w:ascii="Microsoft Sans Serif"/>
                <w:sz w:val="16"/>
              </w:rPr>
            </w:pPr>
            <w:r>
              <w:rPr>
                <w:rFonts w:ascii="Microsoft Sans Serif"/>
                <w:w w:val="176"/>
                <w:sz w:val="16"/>
              </w:rPr>
              <w:t>q</w:t>
            </w:r>
          </w:p>
        </w:tc>
      </w:tr>
      <w:tr>
        <w:trPr>
          <w:trHeight w:val="269" w:hRule="exact"/>
        </w:trPr>
        <w:tc>
          <w:tcPr>
            <w:tcW w:w="3623" w:type="dxa"/>
            <w:shd w:val="clear" w:color="auto" w:fill="E9E9E9"/>
          </w:tcPr>
          <w:p>
            <w:pPr>
              <w:pStyle w:val="TableParagraph"/>
              <w:spacing w:before="34"/>
              <w:ind w:left="76" w:right="90"/>
              <w:jc w:val="left"/>
              <w:rPr>
                <w:sz w:val="16"/>
              </w:rPr>
            </w:pPr>
            <w:r>
              <w:rPr>
                <w:sz w:val="16"/>
              </w:rPr>
              <w:t>Undergraduate</w:t>
            </w:r>
          </w:p>
        </w:tc>
        <w:tc>
          <w:tcPr>
            <w:tcW w:w="964" w:type="dxa"/>
            <w:shd w:val="clear" w:color="auto" w:fill="E9E9E9"/>
          </w:tcPr>
          <w:p>
            <w:pPr>
              <w:pStyle w:val="TableParagraph"/>
              <w:spacing w:before="34"/>
              <w:ind w:right="70"/>
              <w:rPr>
                <w:sz w:val="16"/>
              </w:rPr>
            </w:pPr>
            <w:r>
              <w:rPr>
                <w:w w:val="95"/>
                <w:sz w:val="16"/>
              </w:rPr>
              <w:t>5,652</w:t>
            </w:r>
          </w:p>
        </w:tc>
        <w:tc>
          <w:tcPr>
            <w:tcW w:w="964" w:type="dxa"/>
            <w:shd w:val="clear" w:color="auto" w:fill="E9E9E9"/>
          </w:tcPr>
          <w:p>
            <w:pPr>
              <w:pStyle w:val="TableParagraph"/>
              <w:spacing w:before="34"/>
              <w:ind w:right="71"/>
              <w:rPr>
                <w:sz w:val="16"/>
              </w:rPr>
            </w:pPr>
            <w:r>
              <w:rPr>
                <w:w w:val="95"/>
                <w:sz w:val="16"/>
              </w:rPr>
              <w:t>6,564</w:t>
            </w:r>
          </w:p>
        </w:tc>
        <w:tc>
          <w:tcPr>
            <w:tcW w:w="964" w:type="dxa"/>
            <w:shd w:val="clear" w:color="auto" w:fill="E9E9E9"/>
          </w:tcPr>
          <w:p>
            <w:pPr>
              <w:pStyle w:val="TableParagraph"/>
              <w:spacing w:before="34"/>
              <w:ind w:right="71"/>
              <w:rPr>
                <w:sz w:val="16"/>
              </w:rPr>
            </w:pPr>
            <w:r>
              <w:rPr>
                <w:w w:val="90"/>
                <w:sz w:val="16"/>
              </w:rPr>
              <w:t>6,387</w:t>
            </w:r>
          </w:p>
        </w:tc>
        <w:tc>
          <w:tcPr>
            <w:tcW w:w="964" w:type="dxa"/>
            <w:shd w:val="clear" w:color="auto" w:fill="E9E9E9"/>
          </w:tcPr>
          <w:p>
            <w:pPr>
              <w:pStyle w:val="TableParagraph"/>
              <w:spacing w:before="34"/>
              <w:ind w:right="71"/>
              <w:rPr>
                <w:sz w:val="16"/>
              </w:rPr>
            </w:pPr>
            <w:r>
              <w:rPr>
                <w:w w:val="90"/>
                <w:sz w:val="16"/>
              </w:rPr>
              <w:t>6,687</w:t>
            </w:r>
          </w:p>
        </w:tc>
        <w:tc>
          <w:tcPr>
            <w:tcW w:w="964" w:type="dxa"/>
            <w:shd w:val="clear" w:color="auto" w:fill="E9E9E9"/>
          </w:tcPr>
          <w:p>
            <w:pPr>
              <w:pStyle w:val="TableParagraph"/>
              <w:spacing w:before="34"/>
              <w:ind w:right="71"/>
              <w:rPr>
                <w:sz w:val="16"/>
              </w:rPr>
            </w:pPr>
            <w:r>
              <w:rPr>
                <w:w w:val="90"/>
                <w:sz w:val="16"/>
              </w:rPr>
              <w:t>n.a</w:t>
            </w:r>
          </w:p>
        </w:tc>
        <w:tc>
          <w:tcPr>
            <w:tcW w:w="964" w:type="dxa"/>
            <w:shd w:val="clear" w:color="auto" w:fill="E9E9E9"/>
          </w:tcPr>
          <w:p>
            <w:pPr>
              <w:pStyle w:val="TableParagraph"/>
              <w:spacing w:before="34"/>
              <w:ind w:right="71"/>
              <w:rPr>
                <w:sz w:val="16"/>
              </w:rPr>
            </w:pPr>
            <w:r>
              <w:rPr>
                <w:w w:val="85"/>
                <w:sz w:val="16"/>
              </w:rPr>
              <w:t>4.7%</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76" w:right="90"/>
              <w:jc w:val="left"/>
              <w:rPr>
                <w:sz w:val="16"/>
              </w:rPr>
            </w:pPr>
            <w:r>
              <w:rPr>
                <w:sz w:val="16"/>
              </w:rPr>
              <w:t>Postgraduate</w:t>
            </w:r>
          </w:p>
        </w:tc>
        <w:tc>
          <w:tcPr>
            <w:tcW w:w="964" w:type="dxa"/>
            <w:shd w:val="clear" w:color="auto" w:fill="E9E9E9"/>
          </w:tcPr>
          <w:p>
            <w:pPr>
              <w:pStyle w:val="TableParagraph"/>
              <w:spacing w:before="34"/>
              <w:ind w:right="72"/>
              <w:rPr>
                <w:sz w:val="16"/>
              </w:rPr>
            </w:pPr>
            <w:r>
              <w:rPr>
                <w:w w:val="95"/>
                <w:sz w:val="16"/>
              </w:rPr>
              <w:t>2,670</w:t>
            </w:r>
          </w:p>
        </w:tc>
        <w:tc>
          <w:tcPr>
            <w:tcW w:w="964" w:type="dxa"/>
            <w:shd w:val="clear" w:color="auto" w:fill="E9E9E9"/>
          </w:tcPr>
          <w:p>
            <w:pPr>
              <w:pStyle w:val="TableParagraph"/>
              <w:spacing w:before="34"/>
              <w:ind w:right="71"/>
              <w:rPr>
                <w:sz w:val="16"/>
              </w:rPr>
            </w:pPr>
            <w:r>
              <w:rPr>
                <w:w w:val="90"/>
                <w:sz w:val="16"/>
              </w:rPr>
              <w:t>2,638</w:t>
            </w:r>
          </w:p>
        </w:tc>
        <w:tc>
          <w:tcPr>
            <w:tcW w:w="964" w:type="dxa"/>
            <w:shd w:val="clear" w:color="auto" w:fill="E9E9E9"/>
          </w:tcPr>
          <w:p>
            <w:pPr>
              <w:pStyle w:val="TableParagraph"/>
              <w:spacing w:before="34"/>
              <w:ind w:right="72"/>
              <w:rPr>
                <w:sz w:val="16"/>
              </w:rPr>
            </w:pPr>
            <w:r>
              <w:rPr>
                <w:w w:val="95"/>
                <w:sz w:val="16"/>
              </w:rPr>
              <w:t>2,642</w:t>
            </w:r>
          </w:p>
        </w:tc>
        <w:tc>
          <w:tcPr>
            <w:tcW w:w="964" w:type="dxa"/>
            <w:shd w:val="clear" w:color="auto" w:fill="E9E9E9"/>
          </w:tcPr>
          <w:p>
            <w:pPr>
              <w:pStyle w:val="TableParagraph"/>
              <w:spacing w:before="34"/>
              <w:ind w:right="71"/>
              <w:rPr>
                <w:sz w:val="16"/>
              </w:rPr>
            </w:pPr>
            <w:r>
              <w:rPr>
                <w:w w:val="90"/>
                <w:sz w:val="16"/>
              </w:rPr>
              <w:t>2,286</w:t>
            </w:r>
          </w:p>
        </w:tc>
        <w:tc>
          <w:tcPr>
            <w:tcW w:w="964" w:type="dxa"/>
            <w:shd w:val="clear" w:color="auto" w:fill="E9E9E9"/>
          </w:tcPr>
          <w:p>
            <w:pPr>
              <w:pStyle w:val="TableParagraph"/>
              <w:spacing w:before="34"/>
              <w:ind w:right="71"/>
              <w:rPr>
                <w:sz w:val="16"/>
              </w:rPr>
            </w:pPr>
            <w:r>
              <w:rPr>
                <w:w w:val="90"/>
                <w:sz w:val="16"/>
              </w:rPr>
              <w:t>n.a</w:t>
            </w:r>
          </w:p>
        </w:tc>
        <w:tc>
          <w:tcPr>
            <w:tcW w:w="964" w:type="dxa"/>
            <w:shd w:val="clear" w:color="auto" w:fill="E9E9E9"/>
          </w:tcPr>
          <w:p>
            <w:pPr>
              <w:pStyle w:val="TableParagraph"/>
              <w:spacing w:before="34"/>
              <w:ind w:right="71"/>
              <w:rPr>
                <w:sz w:val="16"/>
              </w:rPr>
            </w:pPr>
            <w:r>
              <w:rPr>
                <w:w w:val="80"/>
                <w:sz w:val="16"/>
              </w:rPr>
              <w:t>-13.5%</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q</w:t>
            </w:r>
          </w:p>
        </w:tc>
      </w:tr>
      <w:tr>
        <w:trPr>
          <w:trHeight w:val="264" w:hRule="exact"/>
        </w:trPr>
        <w:tc>
          <w:tcPr>
            <w:tcW w:w="10095" w:type="dxa"/>
            <w:gridSpan w:val="8"/>
            <w:tcBorders>
              <w:bottom w:val="nil"/>
            </w:tcBorders>
            <w:shd w:val="clear" w:color="auto" w:fill="E9E9E9"/>
          </w:tcPr>
          <w:p>
            <w:pPr>
              <w:pStyle w:val="TableParagraph"/>
              <w:spacing w:before="34"/>
              <w:ind w:left="76"/>
              <w:jc w:val="left"/>
              <w:rPr>
                <w:sz w:val="16"/>
              </w:rPr>
            </w:pPr>
            <w:r>
              <w:rPr>
                <w:w w:val="74"/>
                <w:sz w:val="16"/>
              </w:rPr>
              <w:t>%</w:t>
            </w:r>
            <w:r>
              <w:rPr>
                <w:spacing w:val="-12"/>
                <w:sz w:val="16"/>
              </w:rPr>
              <w:t> </w:t>
            </w:r>
            <w:r>
              <w:rPr>
                <w:spacing w:val="2"/>
                <w:w w:val="102"/>
                <w:sz w:val="16"/>
              </w:rPr>
              <w:t>C</w:t>
            </w:r>
            <w:r>
              <w:rPr>
                <w:spacing w:val="2"/>
                <w:w w:val="95"/>
                <w:sz w:val="16"/>
              </w:rPr>
              <w:t>h</w:t>
            </w:r>
            <w:r>
              <w:rPr>
                <w:spacing w:val="2"/>
                <w:w w:val="94"/>
                <w:sz w:val="16"/>
              </w:rPr>
              <w:t>a</w:t>
            </w:r>
            <w:r>
              <w:rPr>
                <w:spacing w:val="2"/>
                <w:w w:val="95"/>
                <w:sz w:val="16"/>
              </w:rPr>
              <w:t>n</w:t>
            </w:r>
            <w:r>
              <w:rPr>
                <w:spacing w:val="2"/>
                <w:w w:val="102"/>
                <w:sz w:val="16"/>
              </w:rPr>
              <w:t>g</w:t>
            </w:r>
            <w:r>
              <w:rPr>
                <w:w w:val="95"/>
                <w:sz w:val="16"/>
              </w:rPr>
              <w:t>e</w:t>
            </w:r>
            <w:r>
              <w:rPr>
                <w:spacing w:val="-12"/>
                <w:sz w:val="16"/>
              </w:rPr>
              <w:t> </w:t>
            </w:r>
            <w:r>
              <w:rPr>
                <w:spacing w:val="2"/>
                <w:w w:val="102"/>
                <w:sz w:val="16"/>
              </w:rPr>
              <w:t>b</w:t>
            </w:r>
            <w:r>
              <w:rPr>
                <w:spacing w:val="2"/>
                <w:w w:val="94"/>
                <w:sz w:val="16"/>
              </w:rPr>
              <w:t>a</w:t>
            </w:r>
            <w:r>
              <w:rPr>
                <w:spacing w:val="2"/>
                <w:w w:val="95"/>
                <w:sz w:val="16"/>
              </w:rPr>
              <w:t>s</w:t>
            </w:r>
            <w:r>
              <w:rPr>
                <w:spacing w:val="3"/>
                <w:w w:val="95"/>
                <w:sz w:val="16"/>
              </w:rPr>
              <w:t>e</w:t>
            </w:r>
            <w:r>
              <w:rPr>
                <w:w w:val="102"/>
                <w:sz w:val="16"/>
              </w:rPr>
              <w:t>d</w:t>
            </w:r>
            <w:r>
              <w:rPr>
                <w:spacing w:val="-12"/>
                <w:sz w:val="16"/>
              </w:rPr>
              <w:t> </w:t>
            </w:r>
            <w:r>
              <w:rPr>
                <w:spacing w:val="2"/>
                <w:w w:val="100"/>
                <w:sz w:val="16"/>
              </w:rPr>
              <w:t>o</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spacing w:val="4"/>
                <w:w w:val="103"/>
                <w:sz w:val="16"/>
              </w:rPr>
              <w:t>4</w:t>
            </w:r>
            <w:r>
              <w:rPr>
                <w:spacing w:val="-1"/>
                <w:w w:val="100"/>
                <w:sz w:val="16"/>
              </w:rPr>
              <w:t>-</w:t>
            </w:r>
            <w:r>
              <w:rPr>
                <w:spacing w:val="2"/>
                <w:w w:val="54"/>
                <w:sz w:val="16"/>
              </w:rPr>
              <w:t>1</w:t>
            </w:r>
            <w:r>
              <w:rPr>
                <w:w w:val="95"/>
                <w:sz w:val="16"/>
              </w:rPr>
              <w:t>5</w:t>
            </w:r>
          </w:p>
        </w:tc>
      </w:tr>
      <w:tr>
        <w:trPr>
          <w:trHeight w:val="279" w:hRule="exact"/>
        </w:trPr>
        <w:tc>
          <w:tcPr>
            <w:tcW w:w="10095" w:type="dxa"/>
            <w:gridSpan w:val="8"/>
            <w:tcBorders>
              <w:top w:val="nil"/>
              <w:left w:val="nil"/>
              <w:bottom w:val="nil"/>
              <w:right w:val="nil"/>
            </w:tcBorders>
            <w:shd w:val="clear" w:color="auto" w:fill="949290"/>
          </w:tcPr>
          <w:p>
            <w:pPr>
              <w:pStyle w:val="TableParagraph"/>
              <w:spacing w:before="50"/>
              <w:ind w:left="81"/>
              <w:jc w:val="left"/>
              <w:rPr>
                <w:rFonts w:ascii="Gotham Narrow Bold"/>
                <w:b/>
                <w:sz w:val="16"/>
              </w:rPr>
            </w:pPr>
            <w:r>
              <w:rPr>
                <w:rFonts w:ascii="Gotham Narrow Bold"/>
                <w:b/>
                <w:color w:val="FFFFFF"/>
                <w:w w:val="95"/>
                <w:sz w:val="16"/>
              </w:rPr>
              <w:t>STAFF (FULL-TIME EQUIVALENT)</w:t>
            </w:r>
          </w:p>
        </w:tc>
      </w:tr>
      <w:tr>
        <w:trPr>
          <w:trHeight w:val="264" w:hRule="exact"/>
        </w:trPr>
        <w:tc>
          <w:tcPr>
            <w:tcW w:w="3623" w:type="dxa"/>
            <w:tcBorders>
              <w:top w:val="nil"/>
            </w:tcBorders>
            <w:shd w:val="clear" w:color="auto" w:fill="E9E9E9"/>
          </w:tcPr>
          <w:p>
            <w:pPr>
              <w:pStyle w:val="TableParagraph"/>
              <w:spacing w:before="42"/>
              <w:ind w:left="76" w:right="90"/>
              <w:jc w:val="left"/>
              <w:rPr>
                <w:rFonts w:ascii="Calibri"/>
                <w:sz w:val="16"/>
              </w:rPr>
            </w:pPr>
            <w:r>
              <w:rPr>
                <w:rFonts w:ascii="Calibri"/>
                <w:w w:val="110"/>
                <w:sz w:val="16"/>
              </w:rPr>
              <w:t>Total</w:t>
            </w:r>
          </w:p>
        </w:tc>
        <w:tc>
          <w:tcPr>
            <w:tcW w:w="964" w:type="dxa"/>
            <w:tcBorders>
              <w:top w:val="nil"/>
            </w:tcBorders>
            <w:shd w:val="clear" w:color="auto" w:fill="E9E9E9"/>
          </w:tcPr>
          <w:p>
            <w:pPr>
              <w:pStyle w:val="TableParagraph"/>
              <w:spacing w:before="42"/>
              <w:ind w:right="71"/>
              <w:rPr>
                <w:rFonts w:ascii="Calibri"/>
                <w:sz w:val="16"/>
              </w:rPr>
            </w:pPr>
            <w:r>
              <w:rPr>
                <w:rFonts w:ascii="Calibri"/>
                <w:w w:val="105"/>
                <w:sz w:val="16"/>
              </w:rPr>
              <w:t>2,978</w:t>
            </w:r>
          </w:p>
        </w:tc>
        <w:tc>
          <w:tcPr>
            <w:tcW w:w="964" w:type="dxa"/>
            <w:tcBorders>
              <w:top w:val="nil"/>
            </w:tcBorders>
            <w:shd w:val="clear" w:color="auto" w:fill="E9E9E9"/>
          </w:tcPr>
          <w:p>
            <w:pPr>
              <w:pStyle w:val="TableParagraph"/>
              <w:spacing w:before="42"/>
              <w:ind w:right="71"/>
              <w:rPr>
                <w:rFonts w:ascii="Calibri"/>
                <w:sz w:val="16"/>
              </w:rPr>
            </w:pPr>
            <w:r>
              <w:rPr>
                <w:rFonts w:ascii="Calibri"/>
                <w:w w:val="110"/>
                <w:sz w:val="16"/>
              </w:rPr>
              <w:t>3,043</w:t>
            </w:r>
          </w:p>
        </w:tc>
        <w:tc>
          <w:tcPr>
            <w:tcW w:w="964" w:type="dxa"/>
            <w:tcBorders>
              <w:top w:val="nil"/>
            </w:tcBorders>
            <w:shd w:val="clear" w:color="auto" w:fill="E9E9E9"/>
          </w:tcPr>
          <w:p>
            <w:pPr>
              <w:pStyle w:val="TableParagraph"/>
              <w:spacing w:before="42"/>
              <w:ind w:right="71"/>
              <w:rPr>
                <w:rFonts w:ascii="Calibri"/>
                <w:sz w:val="16"/>
              </w:rPr>
            </w:pPr>
            <w:r>
              <w:rPr>
                <w:rFonts w:ascii="Calibri"/>
                <w:w w:val="105"/>
                <w:sz w:val="16"/>
              </w:rPr>
              <w:t>3,350</w:t>
            </w:r>
          </w:p>
        </w:tc>
        <w:tc>
          <w:tcPr>
            <w:tcW w:w="964" w:type="dxa"/>
            <w:tcBorders>
              <w:top w:val="nil"/>
            </w:tcBorders>
            <w:shd w:val="clear" w:color="auto" w:fill="E9E9E9"/>
          </w:tcPr>
          <w:p>
            <w:pPr>
              <w:pStyle w:val="TableParagraph"/>
              <w:spacing w:before="42"/>
              <w:ind w:right="71"/>
              <w:rPr>
                <w:rFonts w:ascii="Calibri"/>
                <w:sz w:val="16"/>
              </w:rPr>
            </w:pPr>
            <w:r>
              <w:rPr>
                <w:rFonts w:ascii="Calibri"/>
                <w:w w:val="110"/>
                <w:sz w:val="16"/>
              </w:rPr>
              <w:t>3,443</w:t>
            </w:r>
          </w:p>
        </w:tc>
        <w:tc>
          <w:tcPr>
            <w:tcW w:w="964" w:type="dxa"/>
            <w:tcBorders>
              <w:top w:val="nil"/>
            </w:tcBorders>
            <w:shd w:val="clear" w:color="auto" w:fill="E9E9E9"/>
          </w:tcPr>
          <w:p>
            <w:pPr>
              <w:pStyle w:val="TableParagraph"/>
              <w:spacing w:before="42"/>
              <w:ind w:right="71"/>
              <w:rPr>
                <w:rFonts w:ascii="Calibri"/>
                <w:sz w:val="16"/>
              </w:rPr>
            </w:pPr>
            <w:r>
              <w:rPr>
                <w:rFonts w:ascii="Calibri"/>
                <w:sz w:val="16"/>
              </w:rPr>
              <w:t>3,510</w:t>
            </w:r>
          </w:p>
        </w:tc>
        <w:tc>
          <w:tcPr>
            <w:tcW w:w="964" w:type="dxa"/>
            <w:tcBorders>
              <w:top w:val="nil"/>
            </w:tcBorders>
            <w:shd w:val="clear" w:color="auto" w:fill="E9E9E9"/>
          </w:tcPr>
          <w:p>
            <w:pPr>
              <w:pStyle w:val="TableParagraph"/>
              <w:spacing w:before="42"/>
              <w:ind w:right="71"/>
              <w:rPr>
                <w:rFonts w:ascii="Calibri"/>
                <w:sz w:val="16"/>
              </w:rPr>
            </w:pPr>
            <w:r>
              <w:rPr>
                <w:rFonts w:ascii="Calibri"/>
                <w:w w:val="110"/>
                <w:sz w:val="16"/>
              </w:rPr>
              <w:t>2.0%</w:t>
            </w:r>
          </w:p>
        </w:tc>
        <w:tc>
          <w:tcPr>
            <w:tcW w:w="689" w:type="dxa"/>
            <w:tcBorders>
              <w:top w:val="nil"/>
            </w:tcBorders>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76" w:right="90"/>
              <w:jc w:val="left"/>
              <w:rPr>
                <w:sz w:val="16"/>
              </w:rPr>
            </w:pPr>
            <w:r>
              <w:rPr>
                <w:sz w:val="16"/>
              </w:rPr>
              <w:t>Academic</w:t>
            </w:r>
          </w:p>
        </w:tc>
        <w:tc>
          <w:tcPr>
            <w:tcW w:w="964" w:type="dxa"/>
            <w:shd w:val="clear" w:color="auto" w:fill="E9E9E9"/>
          </w:tcPr>
          <w:p>
            <w:pPr>
              <w:pStyle w:val="TableParagraph"/>
              <w:spacing w:before="34"/>
              <w:ind w:right="71"/>
              <w:rPr>
                <w:sz w:val="16"/>
              </w:rPr>
            </w:pPr>
            <w:r>
              <w:rPr>
                <w:spacing w:val="4"/>
                <w:w w:val="54"/>
                <w:sz w:val="16"/>
              </w:rPr>
              <w:t>1</w:t>
            </w:r>
            <w:r>
              <w:rPr>
                <w:spacing w:val="2"/>
                <w:w w:val="68"/>
                <w:sz w:val="16"/>
              </w:rPr>
              <w:t>,</w:t>
            </w:r>
            <w:r>
              <w:rPr>
                <w:spacing w:val="1"/>
                <w:w w:val="103"/>
                <w:sz w:val="16"/>
              </w:rPr>
              <w:t>4</w:t>
            </w:r>
            <w:r>
              <w:rPr>
                <w:spacing w:val="3"/>
                <w:w w:val="94"/>
                <w:sz w:val="16"/>
              </w:rPr>
              <w:t>3</w:t>
            </w:r>
            <w:r>
              <w:rPr>
                <w:w w:val="111"/>
                <w:sz w:val="16"/>
              </w:rPr>
              <w:t>0</w:t>
            </w:r>
          </w:p>
        </w:tc>
        <w:tc>
          <w:tcPr>
            <w:tcW w:w="964" w:type="dxa"/>
            <w:shd w:val="clear" w:color="auto" w:fill="E9E9E9"/>
          </w:tcPr>
          <w:p>
            <w:pPr>
              <w:pStyle w:val="TableParagraph"/>
              <w:spacing w:before="34"/>
              <w:ind w:right="71"/>
              <w:rPr>
                <w:sz w:val="16"/>
              </w:rPr>
            </w:pPr>
            <w:r>
              <w:rPr>
                <w:spacing w:val="4"/>
                <w:w w:val="54"/>
                <w:sz w:val="16"/>
              </w:rPr>
              <w:t>1</w:t>
            </w:r>
            <w:r>
              <w:rPr>
                <w:spacing w:val="2"/>
                <w:w w:val="68"/>
                <w:sz w:val="16"/>
              </w:rPr>
              <w:t>,</w:t>
            </w:r>
            <w:r>
              <w:rPr>
                <w:spacing w:val="-2"/>
                <w:w w:val="98"/>
                <w:sz w:val="16"/>
              </w:rPr>
              <w:t>4</w:t>
            </w:r>
            <w:r>
              <w:rPr>
                <w:spacing w:val="2"/>
                <w:w w:val="98"/>
                <w:sz w:val="16"/>
              </w:rPr>
              <w:t>2</w:t>
            </w:r>
            <w:r>
              <w:rPr>
                <w:w w:val="111"/>
                <w:sz w:val="16"/>
              </w:rPr>
              <w:t>0</w:t>
            </w:r>
          </w:p>
        </w:tc>
        <w:tc>
          <w:tcPr>
            <w:tcW w:w="964" w:type="dxa"/>
            <w:shd w:val="clear" w:color="auto" w:fill="E9E9E9"/>
          </w:tcPr>
          <w:p>
            <w:pPr>
              <w:pStyle w:val="TableParagraph"/>
              <w:spacing w:before="34"/>
              <w:ind w:right="70"/>
              <w:rPr>
                <w:sz w:val="16"/>
              </w:rPr>
            </w:pPr>
            <w:r>
              <w:rPr>
                <w:w w:val="80"/>
                <w:sz w:val="16"/>
              </w:rPr>
              <w:t>1,532</w:t>
            </w:r>
          </w:p>
        </w:tc>
        <w:tc>
          <w:tcPr>
            <w:tcW w:w="964" w:type="dxa"/>
            <w:shd w:val="clear" w:color="auto" w:fill="E9E9E9"/>
          </w:tcPr>
          <w:p>
            <w:pPr>
              <w:pStyle w:val="TableParagraph"/>
              <w:spacing w:before="34"/>
              <w:ind w:right="71"/>
              <w:rPr>
                <w:sz w:val="16"/>
              </w:rPr>
            </w:pPr>
            <w:r>
              <w:rPr>
                <w:w w:val="75"/>
                <w:sz w:val="16"/>
              </w:rPr>
              <w:t>1,621</w:t>
            </w:r>
          </w:p>
        </w:tc>
        <w:tc>
          <w:tcPr>
            <w:tcW w:w="964" w:type="dxa"/>
            <w:shd w:val="clear" w:color="auto" w:fill="E9E9E9"/>
          </w:tcPr>
          <w:p>
            <w:pPr>
              <w:pStyle w:val="TableParagraph"/>
              <w:spacing w:before="34"/>
              <w:ind w:right="67"/>
              <w:rPr>
                <w:sz w:val="16"/>
              </w:rPr>
            </w:pPr>
            <w:r>
              <w:rPr>
                <w:w w:val="85"/>
                <w:sz w:val="16"/>
              </w:rPr>
              <w:t>1,666</w:t>
            </w:r>
          </w:p>
        </w:tc>
        <w:tc>
          <w:tcPr>
            <w:tcW w:w="964" w:type="dxa"/>
            <w:shd w:val="clear" w:color="auto" w:fill="E9E9E9"/>
          </w:tcPr>
          <w:p>
            <w:pPr>
              <w:pStyle w:val="TableParagraph"/>
              <w:spacing w:before="34"/>
              <w:ind w:right="71"/>
              <w:rPr>
                <w:sz w:val="16"/>
              </w:rPr>
            </w:pPr>
            <w:r>
              <w:rPr>
                <w:w w:val="85"/>
                <w:sz w:val="16"/>
              </w:rPr>
              <w:t>2.8%</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676" w:right="90"/>
              <w:jc w:val="left"/>
              <w:rPr>
                <w:sz w:val="16"/>
              </w:rPr>
            </w:pPr>
            <w:r>
              <w:rPr>
                <w:sz w:val="16"/>
              </w:rPr>
              <w:t>Teaching Only</w:t>
            </w:r>
          </w:p>
        </w:tc>
        <w:tc>
          <w:tcPr>
            <w:tcW w:w="964" w:type="dxa"/>
            <w:shd w:val="clear" w:color="auto" w:fill="E9E9E9"/>
          </w:tcPr>
          <w:p>
            <w:pPr>
              <w:pStyle w:val="TableParagraph"/>
              <w:spacing w:before="34"/>
              <w:ind w:right="70"/>
              <w:rPr>
                <w:sz w:val="16"/>
              </w:rPr>
            </w:pPr>
            <w:r>
              <w:rPr>
                <w:sz w:val="16"/>
              </w:rPr>
              <w:t>502</w:t>
            </w:r>
          </w:p>
        </w:tc>
        <w:tc>
          <w:tcPr>
            <w:tcW w:w="964" w:type="dxa"/>
            <w:shd w:val="clear" w:color="auto" w:fill="E9E9E9"/>
          </w:tcPr>
          <w:p>
            <w:pPr>
              <w:pStyle w:val="TableParagraph"/>
              <w:spacing w:before="34"/>
              <w:ind w:right="69"/>
              <w:rPr>
                <w:sz w:val="16"/>
              </w:rPr>
            </w:pPr>
            <w:r>
              <w:rPr>
                <w:w w:val="80"/>
                <w:sz w:val="16"/>
              </w:rPr>
              <w:t>513</w:t>
            </w:r>
          </w:p>
        </w:tc>
        <w:tc>
          <w:tcPr>
            <w:tcW w:w="964" w:type="dxa"/>
            <w:shd w:val="clear" w:color="auto" w:fill="E9E9E9"/>
          </w:tcPr>
          <w:p>
            <w:pPr>
              <w:pStyle w:val="TableParagraph"/>
              <w:spacing w:before="34"/>
              <w:ind w:right="68"/>
              <w:rPr>
                <w:sz w:val="16"/>
              </w:rPr>
            </w:pPr>
            <w:r>
              <w:rPr>
                <w:w w:val="95"/>
                <w:sz w:val="16"/>
              </w:rPr>
              <w:t>585</w:t>
            </w:r>
          </w:p>
        </w:tc>
        <w:tc>
          <w:tcPr>
            <w:tcW w:w="964" w:type="dxa"/>
            <w:shd w:val="clear" w:color="auto" w:fill="E9E9E9"/>
          </w:tcPr>
          <w:p>
            <w:pPr>
              <w:pStyle w:val="TableParagraph"/>
              <w:spacing w:before="34"/>
              <w:ind w:right="71"/>
              <w:rPr>
                <w:sz w:val="16"/>
              </w:rPr>
            </w:pPr>
            <w:r>
              <w:rPr>
                <w:sz w:val="16"/>
              </w:rPr>
              <w:t>654</w:t>
            </w:r>
          </w:p>
        </w:tc>
        <w:tc>
          <w:tcPr>
            <w:tcW w:w="964" w:type="dxa"/>
            <w:shd w:val="clear" w:color="auto" w:fill="E9E9E9"/>
          </w:tcPr>
          <w:p>
            <w:pPr>
              <w:pStyle w:val="TableParagraph"/>
              <w:spacing w:before="34"/>
              <w:ind w:right="70"/>
              <w:rPr>
                <w:sz w:val="16"/>
              </w:rPr>
            </w:pPr>
            <w:r>
              <w:rPr>
                <w:w w:val="95"/>
                <w:sz w:val="16"/>
              </w:rPr>
              <w:t>662</w:t>
            </w:r>
          </w:p>
        </w:tc>
        <w:tc>
          <w:tcPr>
            <w:tcW w:w="964" w:type="dxa"/>
            <w:shd w:val="clear" w:color="auto" w:fill="E9E9E9"/>
          </w:tcPr>
          <w:p>
            <w:pPr>
              <w:pStyle w:val="TableParagraph"/>
              <w:spacing w:before="34"/>
              <w:ind w:right="67"/>
              <w:rPr>
                <w:sz w:val="16"/>
              </w:rPr>
            </w:pPr>
            <w:r>
              <w:rPr>
                <w:w w:val="70"/>
                <w:sz w:val="16"/>
              </w:rPr>
              <w:t>1.2%</w:t>
            </w:r>
          </w:p>
        </w:tc>
        <w:tc>
          <w:tcPr>
            <w:tcW w:w="689" w:type="dxa"/>
            <w:shd w:val="clear" w:color="auto" w:fill="E9E9E9"/>
          </w:tcPr>
          <w:p>
            <w:pPr>
              <w:pStyle w:val="TableParagraph"/>
              <w:spacing w:before="44"/>
              <w:ind w:left="3"/>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676" w:right="90"/>
              <w:jc w:val="left"/>
              <w:rPr>
                <w:sz w:val="16"/>
              </w:rPr>
            </w:pPr>
            <w:r>
              <w:rPr>
                <w:sz w:val="16"/>
              </w:rPr>
              <w:t>Teaching and Research</w:t>
            </w:r>
          </w:p>
        </w:tc>
        <w:tc>
          <w:tcPr>
            <w:tcW w:w="964" w:type="dxa"/>
            <w:shd w:val="clear" w:color="auto" w:fill="E9E9E9"/>
          </w:tcPr>
          <w:p>
            <w:pPr>
              <w:pStyle w:val="TableParagraph"/>
              <w:spacing w:before="34"/>
              <w:ind w:right="68"/>
              <w:rPr>
                <w:sz w:val="16"/>
              </w:rPr>
            </w:pPr>
            <w:r>
              <w:rPr>
                <w:w w:val="95"/>
                <w:sz w:val="16"/>
              </w:rPr>
              <w:t>736</w:t>
            </w:r>
          </w:p>
        </w:tc>
        <w:tc>
          <w:tcPr>
            <w:tcW w:w="964" w:type="dxa"/>
            <w:shd w:val="clear" w:color="auto" w:fill="E9E9E9"/>
          </w:tcPr>
          <w:p>
            <w:pPr>
              <w:pStyle w:val="TableParagraph"/>
              <w:spacing w:before="34"/>
              <w:ind w:right="71"/>
              <w:rPr>
                <w:sz w:val="16"/>
              </w:rPr>
            </w:pPr>
            <w:r>
              <w:rPr>
                <w:sz w:val="16"/>
              </w:rPr>
              <w:t>699</w:t>
            </w:r>
          </w:p>
        </w:tc>
        <w:tc>
          <w:tcPr>
            <w:tcW w:w="964" w:type="dxa"/>
            <w:shd w:val="clear" w:color="auto" w:fill="E9E9E9"/>
          </w:tcPr>
          <w:p>
            <w:pPr>
              <w:pStyle w:val="TableParagraph"/>
              <w:spacing w:before="34"/>
              <w:ind w:right="71"/>
              <w:rPr>
                <w:sz w:val="16"/>
              </w:rPr>
            </w:pPr>
            <w:r>
              <w:rPr>
                <w:sz w:val="16"/>
              </w:rPr>
              <w:t>706</w:t>
            </w:r>
          </w:p>
        </w:tc>
        <w:tc>
          <w:tcPr>
            <w:tcW w:w="964" w:type="dxa"/>
            <w:shd w:val="clear" w:color="auto" w:fill="E9E9E9"/>
          </w:tcPr>
          <w:p>
            <w:pPr>
              <w:pStyle w:val="TableParagraph"/>
              <w:spacing w:before="34"/>
              <w:ind w:right="71"/>
              <w:rPr>
                <w:sz w:val="16"/>
              </w:rPr>
            </w:pPr>
            <w:r>
              <w:rPr>
                <w:w w:val="95"/>
                <w:sz w:val="16"/>
              </w:rPr>
              <w:t>843</w:t>
            </w:r>
          </w:p>
        </w:tc>
        <w:tc>
          <w:tcPr>
            <w:tcW w:w="964" w:type="dxa"/>
            <w:shd w:val="clear" w:color="auto" w:fill="E9E9E9"/>
          </w:tcPr>
          <w:p>
            <w:pPr>
              <w:pStyle w:val="TableParagraph"/>
              <w:spacing w:before="34"/>
              <w:ind w:right="71"/>
              <w:rPr>
                <w:sz w:val="16"/>
              </w:rPr>
            </w:pPr>
            <w:r>
              <w:rPr>
                <w:sz w:val="16"/>
              </w:rPr>
              <w:t>850</w:t>
            </w:r>
          </w:p>
        </w:tc>
        <w:tc>
          <w:tcPr>
            <w:tcW w:w="964" w:type="dxa"/>
            <w:shd w:val="clear" w:color="auto" w:fill="E9E9E9"/>
          </w:tcPr>
          <w:p>
            <w:pPr>
              <w:pStyle w:val="TableParagraph"/>
              <w:spacing w:before="34"/>
              <w:ind w:right="71"/>
              <w:rPr>
                <w:sz w:val="16"/>
              </w:rPr>
            </w:pPr>
            <w:r>
              <w:rPr>
                <w:w w:val="85"/>
                <w:sz w:val="16"/>
              </w:rPr>
              <w:t>0.8%</w:t>
            </w:r>
          </w:p>
        </w:tc>
        <w:tc>
          <w:tcPr>
            <w:tcW w:w="689" w:type="dxa"/>
            <w:shd w:val="clear" w:color="auto" w:fill="E9E9E9"/>
          </w:tcPr>
          <w:p>
            <w:pPr>
              <w:pStyle w:val="TableParagraph"/>
              <w:spacing w:before="44"/>
              <w:ind w:left="3"/>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676" w:right="90"/>
              <w:jc w:val="left"/>
              <w:rPr>
                <w:sz w:val="16"/>
              </w:rPr>
            </w:pPr>
            <w:r>
              <w:rPr>
                <w:sz w:val="16"/>
              </w:rPr>
              <w:t>Research only</w:t>
            </w:r>
          </w:p>
        </w:tc>
        <w:tc>
          <w:tcPr>
            <w:tcW w:w="964" w:type="dxa"/>
            <w:shd w:val="clear" w:color="auto" w:fill="E9E9E9"/>
          </w:tcPr>
          <w:p>
            <w:pPr>
              <w:pStyle w:val="TableParagraph"/>
              <w:spacing w:before="34"/>
              <w:ind w:right="70"/>
              <w:rPr>
                <w:sz w:val="16"/>
              </w:rPr>
            </w:pPr>
            <w:r>
              <w:rPr>
                <w:sz w:val="16"/>
              </w:rPr>
              <w:t>45</w:t>
            </w:r>
          </w:p>
        </w:tc>
        <w:tc>
          <w:tcPr>
            <w:tcW w:w="964" w:type="dxa"/>
            <w:shd w:val="clear" w:color="auto" w:fill="E9E9E9"/>
          </w:tcPr>
          <w:p>
            <w:pPr>
              <w:pStyle w:val="TableParagraph"/>
              <w:spacing w:before="34"/>
              <w:ind w:right="67"/>
              <w:rPr>
                <w:sz w:val="16"/>
              </w:rPr>
            </w:pPr>
            <w:r>
              <w:rPr>
                <w:w w:val="75"/>
                <w:sz w:val="16"/>
              </w:rPr>
              <w:t>51</w:t>
            </w:r>
          </w:p>
        </w:tc>
        <w:tc>
          <w:tcPr>
            <w:tcW w:w="964" w:type="dxa"/>
            <w:shd w:val="clear" w:color="auto" w:fill="E9E9E9"/>
          </w:tcPr>
          <w:p>
            <w:pPr>
              <w:pStyle w:val="TableParagraph"/>
              <w:spacing w:before="34"/>
              <w:ind w:right="71"/>
              <w:rPr>
                <w:sz w:val="16"/>
              </w:rPr>
            </w:pPr>
            <w:r>
              <w:rPr>
                <w:w w:val="90"/>
                <w:sz w:val="16"/>
              </w:rPr>
              <w:t>73</w:t>
            </w:r>
          </w:p>
        </w:tc>
        <w:tc>
          <w:tcPr>
            <w:tcW w:w="964" w:type="dxa"/>
            <w:shd w:val="clear" w:color="auto" w:fill="E9E9E9"/>
          </w:tcPr>
          <w:p>
            <w:pPr>
              <w:pStyle w:val="TableParagraph"/>
              <w:spacing w:before="34"/>
              <w:ind w:right="68"/>
              <w:rPr>
                <w:sz w:val="16"/>
              </w:rPr>
            </w:pPr>
            <w:r>
              <w:rPr>
                <w:w w:val="95"/>
                <w:sz w:val="16"/>
              </w:rPr>
              <w:t>95</w:t>
            </w:r>
          </w:p>
        </w:tc>
        <w:tc>
          <w:tcPr>
            <w:tcW w:w="964" w:type="dxa"/>
            <w:shd w:val="clear" w:color="auto" w:fill="E9E9E9"/>
          </w:tcPr>
          <w:p>
            <w:pPr>
              <w:pStyle w:val="TableParagraph"/>
              <w:spacing w:before="34"/>
              <w:ind w:right="69"/>
              <w:rPr>
                <w:sz w:val="16"/>
              </w:rPr>
            </w:pPr>
            <w:r>
              <w:rPr>
                <w:w w:val="65"/>
                <w:sz w:val="16"/>
              </w:rPr>
              <w:t>113</w:t>
            </w:r>
          </w:p>
        </w:tc>
        <w:tc>
          <w:tcPr>
            <w:tcW w:w="964" w:type="dxa"/>
            <w:shd w:val="clear" w:color="auto" w:fill="E9E9E9"/>
          </w:tcPr>
          <w:p>
            <w:pPr>
              <w:pStyle w:val="TableParagraph"/>
              <w:spacing w:before="34"/>
              <w:ind w:right="71"/>
              <w:rPr>
                <w:sz w:val="16"/>
              </w:rPr>
            </w:pPr>
            <w:r>
              <w:rPr>
                <w:spacing w:val="2"/>
                <w:w w:val="54"/>
                <w:sz w:val="16"/>
              </w:rPr>
              <w:t>1</w:t>
            </w:r>
            <w:r>
              <w:rPr>
                <w:spacing w:val="1"/>
                <w:w w:val="89"/>
                <w:sz w:val="16"/>
              </w:rPr>
              <w:t>9</w:t>
            </w:r>
            <w:r>
              <w:rPr>
                <w:spacing w:val="2"/>
                <w:w w:val="89"/>
                <w:sz w:val="16"/>
              </w:rPr>
              <w:t>.</w:t>
            </w:r>
            <w:r>
              <w:rPr>
                <w:spacing w:val="3"/>
                <w:w w:val="111"/>
                <w:sz w:val="16"/>
              </w:rPr>
              <w:t>0</w:t>
            </w:r>
            <w:r>
              <w:rPr>
                <w:w w:val="74"/>
                <w:sz w:val="16"/>
              </w:rPr>
              <w:t>%</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676" w:right="90"/>
              <w:jc w:val="left"/>
              <w:rPr>
                <w:sz w:val="16"/>
              </w:rPr>
            </w:pPr>
            <w:r>
              <w:rPr>
                <w:sz w:val="16"/>
              </w:rPr>
              <w:t>Other</w:t>
            </w:r>
          </w:p>
        </w:tc>
        <w:tc>
          <w:tcPr>
            <w:tcW w:w="964" w:type="dxa"/>
            <w:shd w:val="clear" w:color="auto" w:fill="E9E9E9"/>
          </w:tcPr>
          <w:p>
            <w:pPr>
              <w:pStyle w:val="TableParagraph"/>
              <w:spacing w:before="34"/>
              <w:ind w:right="74"/>
              <w:rPr>
                <w:sz w:val="16"/>
              </w:rPr>
            </w:pPr>
            <w:r>
              <w:rPr>
                <w:w w:val="80"/>
                <w:sz w:val="16"/>
              </w:rPr>
              <w:t>147</w:t>
            </w:r>
          </w:p>
        </w:tc>
        <w:tc>
          <w:tcPr>
            <w:tcW w:w="964" w:type="dxa"/>
            <w:shd w:val="clear" w:color="auto" w:fill="E9E9E9"/>
          </w:tcPr>
          <w:p>
            <w:pPr>
              <w:pStyle w:val="TableParagraph"/>
              <w:spacing w:before="34"/>
              <w:ind w:right="71"/>
              <w:rPr>
                <w:sz w:val="16"/>
              </w:rPr>
            </w:pPr>
            <w:r>
              <w:rPr>
                <w:w w:val="80"/>
                <w:sz w:val="16"/>
              </w:rPr>
              <w:t>158</w:t>
            </w:r>
          </w:p>
        </w:tc>
        <w:tc>
          <w:tcPr>
            <w:tcW w:w="964" w:type="dxa"/>
            <w:shd w:val="clear" w:color="auto" w:fill="E9E9E9"/>
          </w:tcPr>
          <w:p>
            <w:pPr>
              <w:pStyle w:val="TableParagraph"/>
              <w:spacing w:before="34"/>
              <w:ind w:right="69"/>
              <w:rPr>
                <w:sz w:val="16"/>
              </w:rPr>
            </w:pPr>
            <w:r>
              <w:rPr>
                <w:w w:val="80"/>
                <w:sz w:val="16"/>
              </w:rPr>
              <w:t>167</w:t>
            </w:r>
          </w:p>
        </w:tc>
        <w:tc>
          <w:tcPr>
            <w:tcW w:w="964" w:type="dxa"/>
            <w:shd w:val="clear" w:color="auto" w:fill="E9E9E9"/>
          </w:tcPr>
          <w:p>
            <w:pPr>
              <w:pStyle w:val="TableParagraph"/>
              <w:spacing w:before="34"/>
              <w:ind w:right="71"/>
              <w:rPr>
                <w:sz w:val="16"/>
              </w:rPr>
            </w:pPr>
            <w:r>
              <w:rPr>
                <w:w w:val="95"/>
                <w:sz w:val="16"/>
              </w:rPr>
              <w:t>29</w:t>
            </w:r>
          </w:p>
        </w:tc>
        <w:tc>
          <w:tcPr>
            <w:tcW w:w="964" w:type="dxa"/>
            <w:shd w:val="clear" w:color="auto" w:fill="E9E9E9"/>
          </w:tcPr>
          <w:p>
            <w:pPr>
              <w:pStyle w:val="TableParagraph"/>
              <w:spacing w:before="34"/>
              <w:ind w:right="71"/>
              <w:rPr>
                <w:sz w:val="16"/>
              </w:rPr>
            </w:pPr>
            <w:r>
              <w:rPr>
                <w:w w:val="80"/>
                <w:sz w:val="16"/>
              </w:rPr>
              <w:t>41</w:t>
            </w:r>
          </w:p>
        </w:tc>
        <w:tc>
          <w:tcPr>
            <w:tcW w:w="964" w:type="dxa"/>
            <w:shd w:val="clear" w:color="auto" w:fill="E9E9E9"/>
          </w:tcPr>
          <w:p>
            <w:pPr>
              <w:pStyle w:val="TableParagraph"/>
              <w:spacing w:before="34"/>
              <w:ind w:right="71"/>
              <w:rPr>
                <w:sz w:val="16"/>
              </w:rPr>
            </w:pPr>
            <w:r>
              <w:rPr>
                <w:w w:val="90"/>
                <w:sz w:val="16"/>
              </w:rPr>
              <w:t>44.0%</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9" w:hRule="exact"/>
        </w:trPr>
        <w:tc>
          <w:tcPr>
            <w:tcW w:w="3623" w:type="dxa"/>
            <w:shd w:val="clear" w:color="auto" w:fill="E9E9E9"/>
          </w:tcPr>
          <w:p>
            <w:pPr>
              <w:pStyle w:val="TableParagraph"/>
              <w:spacing w:before="34"/>
              <w:ind w:left="76" w:right="90"/>
              <w:jc w:val="left"/>
              <w:rPr>
                <w:sz w:val="16"/>
              </w:rPr>
            </w:pPr>
            <w:r>
              <w:rPr>
                <w:sz w:val="16"/>
              </w:rPr>
              <w:t>Professional</w:t>
            </w:r>
          </w:p>
        </w:tc>
        <w:tc>
          <w:tcPr>
            <w:tcW w:w="964" w:type="dxa"/>
            <w:shd w:val="clear" w:color="auto" w:fill="E9E9E9"/>
          </w:tcPr>
          <w:p>
            <w:pPr>
              <w:pStyle w:val="TableParagraph"/>
              <w:spacing w:before="34"/>
              <w:ind w:right="71"/>
              <w:rPr>
                <w:sz w:val="16"/>
              </w:rPr>
            </w:pPr>
            <w:r>
              <w:rPr>
                <w:w w:val="85"/>
                <w:sz w:val="16"/>
              </w:rPr>
              <w:t>1,549</w:t>
            </w:r>
          </w:p>
        </w:tc>
        <w:tc>
          <w:tcPr>
            <w:tcW w:w="964" w:type="dxa"/>
            <w:shd w:val="clear" w:color="auto" w:fill="E9E9E9"/>
          </w:tcPr>
          <w:p>
            <w:pPr>
              <w:pStyle w:val="TableParagraph"/>
              <w:spacing w:before="34"/>
              <w:ind w:right="71"/>
              <w:rPr>
                <w:sz w:val="16"/>
              </w:rPr>
            </w:pPr>
            <w:r>
              <w:rPr>
                <w:w w:val="85"/>
                <w:sz w:val="16"/>
              </w:rPr>
              <w:t>1,623</w:t>
            </w:r>
          </w:p>
        </w:tc>
        <w:tc>
          <w:tcPr>
            <w:tcW w:w="964" w:type="dxa"/>
            <w:shd w:val="clear" w:color="auto" w:fill="E9E9E9"/>
          </w:tcPr>
          <w:p>
            <w:pPr>
              <w:pStyle w:val="TableParagraph"/>
              <w:spacing w:before="34"/>
              <w:ind w:right="71"/>
              <w:rPr>
                <w:sz w:val="16"/>
              </w:rPr>
            </w:pPr>
            <w:r>
              <w:rPr>
                <w:w w:val="75"/>
                <w:sz w:val="16"/>
              </w:rPr>
              <w:t>1,818</w:t>
            </w:r>
          </w:p>
        </w:tc>
        <w:tc>
          <w:tcPr>
            <w:tcW w:w="964" w:type="dxa"/>
            <w:shd w:val="clear" w:color="auto" w:fill="E9E9E9"/>
          </w:tcPr>
          <w:p>
            <w:pPr>
              <w:pStyle w:val="TableParagraph"/>
              <w:spacing w:before="34"/>
              <w:ind w:right="71"/>
              <w:rPr>
                <w:sz w:val="16"/>
              </w:rPr>
            </w:pPr>
            <w:r>
              <w:rPr>
                <w:w w:val="80"/>
                <w:sz w:val="16"/>
              </w:rPr>
              <w:t>1,822</w:t>
            </w:r>
          </w:p>
        </w:tc>
        <w:tc>
          <w:tcPr>
            <w:tcW w:w="964" w:type="dxa"/>
            <w:shd w:val="clear" w:color="auto" w:fill="E9E9E9"/>
          </w:tcPr>
          <w:p>
            <w:pPr>
              <w:pStyle w:val="TableParagraph"/>
              <w:spacing w:before="34"/>
              <w:ind w:right="65"/>
              <w:rPr>
                <w:sz w:val="16"/>
              </w:rPr>
            </w:pPr>
            <w:r>
              <w:rPr>
                <w:w w:val="85"/>
                <w:sz w:val="16"/>
              </w:rPr>
              <w:t>1,844</w:t>
            </w:r>
          </w:p>
        </w:tc>
        <w:tc>
          <w:tcPr>
            <w:tcW w:w="964" w:type="dxa"/>
            <w:shd w:val="clear" w:color="auto" w:fill="E9E9E9"/>
          </w:tcPr>
          <w:p>
            <w:pPr>
              <w:pStyle w:val="TableParagraph"/>
              <w:spacing w:before="34"/>
              <w:ind w:right="67"/>
              <w:rPr>
                <w:sz w:val="16"/>
              </w:rPr>
            </w:pPr>
            <w:r>
              <w:rPr>
                <w:w w:val="70"/>
                <w:sz w:val="16"/>
              </w:rPr>
              <w:t>1.2%</w:t>
            </w:r>
          </w:p>
        </w:tc>
        <w:tc>
          <w:tcPr>
            <w:tcW w:w="689" w:type="dxa"/>
            <w:shd w:val="clear" w:color="auto" w:fill="E9E9E9"/>
          </w:tcPr>
          <w:p>
            <w:pPr>
              <w:pStyle w:val="TableParagraph"/>
              <w:spacing w:before="44"/>
              <w:ind w:left="2"/>
              <w:jc w:val="center"/>
              <w:rPr>
                <w:rFonts w:ascii="Microsoft Sans Serif"/>
                <w:sz w:val="16"/>
              </w:rPr>
            </w:pPr>
            <w:r>
              <w:rPr>
                <w:rFonts w:ascii="Microsoft Sans Serif"/>
                <w:w w:val="176"/>
                <w:sz w:val="16"/>
              </w:rPr>
              <w:t>p</w:t>
            </w:r>
          </w:p>
        </w:tc>
      </w:tr>
      <w:tr>
        <w:trPr>
          <w:trHeight w:val="264" w:hRule="exact"/>
        </w:trPr>
        <w:tc>
          <w:tcPr>
            <w:tcW w:w="10095" w:type="dxa"/>
            <w:gridSpan w:val="8"/>
            <w:tcBorders>
              <w:bottom w:val="nil"/>
            </w:tcBorders>
            <w:shd w:val="clear" w:color="auto" w:fill="E9E9E9"/>
          </w:tcPr>
          <w:p>
            <w:pPr>
              <w:pStyle w:val="TableParagraph"/>
              <w:spacing w:before="34"/>
              <w:ind w:left="76"/>
              <w:jc w:val="left"/>
              <w:rPr>
                <w:sz w:val="16"/>
              </w:rPr>
            </w:pPr>
            <w:r>
              <w:rPr>
                <w:spacing w:val="2"/>
                <w:w w:val="93"/>
                <w:sz w:val="16"/>
              </w:rPr>
              <w:t>2</w:t>
            </w:r>
            <w:r>
              <w:rPr>
                <w:spacing w:val="1"/>
                <w:w w:val="111"/>
                <w:sz w:val="16"/>
              </w:rPr>
              <w:t>0</w:t>
            </w:r>
            <w:r>
              <w:rPr>
                <w:spacing w:val="4"/>
                <w:w w:val="54"/>
                <w:sz w:val="16"/>
              </w:rPr>
              <w:t>1</w:t>
            </w:r>
            <w:r>
              <w:rPr>
                <w:w w:val="101"/>
                <w:sz w:val="16"/>
              </w:rPr>
              <w:t>6</w:t>
            </w:r>
            <w:r>
              <w:rPr>
                <w:spacing w:val="-12"/>
                <w:sz w:val="16"/>
              </w:rPr>
              <w:t> </w:t>
            </w:r>
            <w:r>
              <w:rPr>
                <w:spacing w:val="1"/>
                <w:w w:val="95"/>
                <w:sz w:val="16"/>
              </w:rPr>
              <w:t>i</w:t>
            </w:r>
            <w:r>
              <w:rPr>
                <w:spacing w:val="2"/>
                <w:w w:val="95"/>
                <w:sz w:val="16"/>
              </w:rPr>
              <w:t>n</w:t>
            </w:r>
            <w:r>
              <w:rPr>
                <w:spacing w:val="1"/>
                <w:w w:val="102"/>
                <w:sz w:val="16"/>
              </w:rPr>
              <w:t>c</w:t>
            </w:r>
            <w:r>
              <w:rPr>
                <w:spacing w:val="1"/>
                <w:w w:val="95"/>
                <w:sz w:val="16"/>
              </w:rPr>
              <w:t>l</w:t>
            </w:r>
            <w:r>
              <w:rPr>
                <w:spacing w:val="2"/>
                <w:w w:val="95"/>
                <w:sz w:val="16"/>
              </w:rPr>
              <w:t>u</w:t>
            </w:r>
            <w:r>
              <w:rPr>
                <w:spacing w:val="2"/>
                <w:w w:val="102"/>
                <w:sz w:val="16"/>
              </w:rPr>
              <w:t>d</w:t>
            </w:r>
            <w:r>
              <w:rPr>
                <w:spacing w:val="3"/>
                <w:w w:val="95"/>
                <w:sz w:val="16"/>
              </w:rPr>
              <w:t>e</w:t>
            </w:r>
            <w:r>
              <w:rPr>
                <w:w w:val="95"/>
                <w:sz w:val="16"/>
              </w:rPr>
              <w:t>s</w:t>
            </w:r>
            <w:r>
              <w:rPr>
                <w:spacing w:val="-12"/>
                <w:sz w:val="16"/>
              </w:rPr>
              <w:t> </w:t>
            </w:r>
            <w:r>
              <w:rPr>
                <w:spacing w:val="3"/>
                <w:w w:val="95"/>
                <w:sz w:val="16"/>
              </w:rPr>
              <w:t>e</w:t>
            </w:r>
            <w:r>
              <w:rPr>
                <w:spacing w:val="3"/>
                <w:w w:val="95"/>
                <w:sz w:val="16"/>
              </w:rPr>
              <w:t>s</w:t>
            </w:r>
            <w:r>
              <w:rPr>
                <w:w w:val="102"/>
                <w:sz w:val="16"/>
              </w:rPr>
              <w:t>t</w:t>
            </w:r>
            <w:r>
              <w:rPr>
                <w:spacing w:val="1"/>
                <w:w w:val="95"/>
                <w:sz w:val="16"/>
              </w:rPr>
              <w:t>i</w:t>
            </w:r>
            <w:r>
              <w:rPr>
                <w:spacing w:val="2"/>
                <w:w w:val="98"/>
                <w:sz w:val="16"/>
              </w:rPr>
              <w:t>m</w:t>
            </w:r>
            <w:r>
              <w:rPr>
                <w:w w:val="94"/>
                <w:sz w:val="16"/>
              </w:rPr>
              <w:t>a</w:t>
            </w:r>
            <w:r>
              <w:rPr>
                <w:spacing w:val="-2"/>
                <w:w w:val="102"/>
                <w:sz w:val="16"/>
              </w:rPr>
              <w:t>t</w:t>
            </w:r>
            <w:r>
              <w:rPr>
                <w:spacing w:val="3"/>
                <w:w w:val="95"/>
                <w:sz w:val="16"/>
              </w:rPr>
              <w:t>e</w:t>
            </w:r>
            <w:r>
              <w:rPr>
                <w:w w:val="102"/>
                <w:sz w:val="16"/>
              </w:rPr>
              <w:t>d</w:t>
            </w:r>
            <w:r>
              <w:rPr>
                <w:spacing w:val="-12"/>
                <w:sz w:val="16"/>
              </w:rPr>
              <w:t> </w:t>
            </w:r>
            <w:r>
              <w:rPr>
                <w:spacing w:val="3"/>
                <w:w w:val="102"/>
                <w:sz w:val="16"/>
              </w:rPr>
              <w:t>c</w:t>
            </w:r>
            <w:r>
              <w:rPr>
                <w:spacing w:val="2"/>
                <w:w w:val="94"/>
                <w:sz w:val="16"/>
              </w:rPr>
              <w:t>a</w:t>
            </w:r>
            <w:r>
              <w:rPr>
                <w:spacing w:val="1"/>
                <w:w w:val="95"/>
                <w:sz w:val="16"/>
              </w:rPr>
              <w:t>s</w:t>
            </w:r>
            <w:r>
              <w:rPr>
                <w:spacing w:val="2"/>
                <w:w w:val="95"/>
                <w:sz w:val="16"/>
              </w:rPr>
              <w:t>u</w:t>
            </w:r>
            <w:r>
              <w:rPr>
                <w:spacing w:val="2"/>
                <w:w w:val="94"/>
                <w:sz w:val="16"/>
              </w:rPr>
              <w:t>a</w:t>
            </w:r>
            <w:r>
              <w:rPr>
                <w:w w:val="95"/>
                <w:sz w:val="16"/>
              </w:rPr>
              <w:t>l</w:t>
            </w:r>
            <w:r>
              <w:rPr>
                <w:spacing w:val="-12"/>
                <w:sz w:val="16"/>
              </w:rPr>
              <w:t> </w:t>
            </w:r>
            <w:r>
              <w:rPr>
                <w:spacing w:val="2"/>
                <w:w w:val="102"/>
                <w:sz w:val="16"/>
              </w:rPr>
              <w:t>b</w:t>
            </w:r>
            <w:r>
              <w:rPr>
                <w:spacing w:val="2"/>
                <w:w w:val="94"/>
                <w:sz w:val="16"/>
              </w:rPr>
              <w:t>a</w:t>
            </w:r>
            <w:r>
              <w:rPr>
                <w:spacing w:val="2"/>
                <w:w w:val="95"/>
                <w:sz w:val="16"/>
              </w:rPr>
              <w:t>s</w:t>
            </w:r>
            <w:r>
              <w:rPr>
                <w:spacing w:val="3"/>
                <w:w w:val="95"/>
                <w:sz w:val="16"/>
              </w:rPr>
              <w:t>e</w:t>
            </w:r>
            <w:r>
              <w:rPr>
                <w:w w:val="102"/>
                <w:sz w:val="16"/>
              </w:rPr>
              <w:t>d</w:t>
            </w:r>
            <w:r>
              <w:rPr>
                <w:spacing w:val="-12"/>
                <w:sz w:val="16"/>
              </w:rPr>
              <w:t> </w:t>
            </w:r>
            <w:r>
              <w:rPr>
                <w:spacing w:val="2"/>
                <w:w w:val="100"/>
                <w:sz w:val="16"/>
              </w:rPr>
              <w:t>o</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w w:val="95"/>
                <w:sz w:val="16"/>
              </w:rPr>
              <w:t>5</w:t>
            </w:r>
          </w:p>
        </w:tc>
      </w:tr>
      <w:tr>
        <w:trPr>
          <w:trHeight w:val="279" w:hRule="exact"/>
        </w:trPr>
        <w:tc>
          <w:tcPr>
            <w:tcW w:w="10095" w:type="dxa"/>
            <w:gridSpan w:val="8"/>
            <w:tcBorders>
              <w:top w:val="nil"/>
              <w:left w:val="nil"/>
              <w:bottom w:val="nil"/>
              <w:right w:val="nil"/>
            </w:tcBorders>
            <w:shd w:val="clear" w:color="auto" w:fill="949290"/>
          </w:tcPr>
          <w:p>
            <w:pPr>
              <w:pStyle w:val="TableParagraph"/>
              <w:spacing w:before="51"/>
              <w:ind w:left="81"/>
              <w:jc w:val="left"/>
              <w:rPr>
                <w:rFonts w:ascii="Gotham Narrow Bold" w:hAnsi="Gotham Narrow Bold"/>
                <w:b/>
                <w:sz w:val="16"/>
              </w:rPr>
            </w:pPr>
            <w:r>
              <w:rPr>
                <w:rFonts w:ascii="Gotham Narrow Bold" w:hAnsi="Gotham Narrow Bold"/>
                <w:b/>
                <w:color w:val="FFFFFF"/>
                <w:w w:val="95"/>
                <w:sz w:val="16"/>
              </w:rPr>
              <w:t>RESEARCH FUNDING ($’000)</w:t>
            </w:r>
          </w:p>
        </w:tc>
      </w:tr>
      <w:tr>
        <w:trPr>
          <w:trHeight w:val="478" w:hRule="exact"/>
        </w:trPr>
        <w:tc>
          <w:tcPr>
            <w:tcW w:w="3623" w:type="dxa"/>
            <w:tcBorders>
              <w:top w:val="nil"/>
            </w:tcBorders>
            <w:shd w:val="clear" w:color="auto" w:fill="E9E9E9"/>
          </w:tcPr>
          <w:p>
            <w:pPr>
              <w:pStyle w:val="TableParagraph"/>
              <w:spacing w:line="249" w:lineRule="auto" w:before="41"/>
              <w:ind w:left="76" w:right="90"/>
              <w:jc w:val="left"/>
              <w:rPr>
                <w:sz w:val="16"/>
              </w:rPr>
            </w:pPr>
            <w:r>
              <w:rPr>
                <w:sz w:val="16"/>
              </w:rPr>
              <w:t>Australian</w:t>
            </w:r>
            <w:r>
              <w:rPr>
                <w:spacing w:val="-23"/>
                <w:sz w:val="16"/>
              </w:rPr>
              <w:t> </w:t>
            </w:r>
            <w:r>
              <w:rPr>
                <w:sz w:val="16"/>
              </w:rPr>
              <w:t>Competitive</w:t>
            </w:r>
            <w:r>
              <w:rPr>
                <w:spacing w:val="-23"/>
                <w:sz w:val="16"/>
              </w:rPr>
              <w:t> </w:t>
            </w:r>
            <w:r>
              <w:rPr>
                <w:sz w:val="16"/>
              </w:rPr>
              <w:t>Grant</w:t>
            </w:r>
            <w:r>
              <w:rPr>
                <w:spacing w:val="-23"/>
                <w:sz w:val="16"/>
              </w:rPr>
              <w:t> </w:t>
            </w:r>
            <w:r>
              <w:rPr>
                <w:sz w:val="16"/>
              </w:rPr>
              <w:t>Income</w:t>
            </w:r>
            <w:r>
              <w:rPr>
                <w:spacing w:val="-23"/>
                <w:sz w:val="16"/>
              </w:rPr>
              <w:t> </w:t>
            </w:r>
            <w:r>
              <w:rPr>
                <w:sz w:val="16"/>
              </w:rPr>
              <w:t>(Category</w:t>
            </w:r>
            <w:r>
              <w:rPr>
                <w:spacing w:val="-23"/>
                <w:sz w:val="16"/>
              </w:rPr>
              <w:t> </w:t>
            </w:r>
            <w:r>
              <w:rPr>
                <w:sz w:val="16"/>
              </w:rPr>
              <w:t>1) includes</w:t>
            </w:r>
            <w:r>
              <w:rPr>
                <w:spacing w:val="-16"/>
                <w:sz w:val="16"/>
              </w:rPr>
              <w:t> </w:t>
            </w:r>
            <w:r>
              <w:rPr>
                <w:spacing w:val="2"/>
                <w:sz w:val="16"/>
              </w:rPr>
              <w:t>ARC,</w:t>
            </w:r>
            <w:r>
              <w:rPr>
                <w:spacing w:val="-16"/>
                <w:sz w:val="16"/>
              </w:rPr>
              <w:t> </w:t>
            </w:r>
            <w:r>
              <w:rPr>
                <w:spacing w:val="2"/>
                <w:sz w:val="16"/>
              </w:rPr>
              <w:t>NHMRC</w:t>
            </w:r>
            <w:r>
              <w:rPr>
                <w:spacing w:val="-16"/>
                <w:sz w:val="16"/>
              </w:rPr>
              <w:t> </w:t>
            </w:r>
            <w:r>
              <w:rPr>
                <w:sz w:val="16"/>
              </w:rPr>
              <w:t>&amp;</w:t>
            </w:r>
            <w:r>
              <w:rPr>
                <w:spacing w:val="-16"/>
                <w:sz w:val="16"/>
              </w:rPr>
              <w:t> </w:t>
            </w:r>
            <w:r>
              <w:rPr>
                <w:sz w:val="16"/>
              </w:rPr>
              <w:t>Other</w:t>
            </w:r>
          </w:p>
        </w:tc>
        <w:tc>
          <w:tcPr>
            <w:tcW w:w="964" w:type="dxa"/>
            <w:tcBorders>
              <w:top w:val="nil"/>
            </w:tcBorders>
            <w:shd w:val="clear" w:color="auto" w:fill="E9E9E9"/>
          </w:tcPr>
          <w:p>
            <w:pPr>
              <w:pStyle w:val="TableParagraph"/>
              <w:spacing w:before="141"/>
              <w:ind w:right="72"/>
              <w:rPr>
                <w:sz w:val="16"/>
              </w:rPr>
            </w:pPr>
            <w:r>
              <w:rPr>
                <w:w w:val="85"/>
                <w:sz w:val="16"/>
              </w:rPr>
              <w:t>12,542</w:t>
            </w:r>
          </w:p>
        </w:tc>
        <w:tc>
          <w:tcPr>
            <w:tcW w:w="964" w:type="dxa"/>
            <w:tcBorders>
              <w:top w:val="nil"/>
            </w:tcBorders>
            <w:shd w:val="clear" w:color="auto" w:fill="E9E9E9"/>
          </w:tcPr>
          <w:p>
            <w:pPr>
              <w:pStyle w:val="TableParagraph"/>
              <w:spacing w:before="141"/>
              <w:ind w:right="71"/>
              <w:rPr>
                <w:sz w:val="16"/>
              </w:rPr>
            </w:pPr>
            <w:r>
              <w:rPr>
                <w:spacing w:val="2"/>
                <w:w w:val="54"/>
                <w:sz w:val="16"/>
              </w:rPr>
              <w:t>1</w:t>
            </w:r>
            <w:r>
              <w:rPr>
                <w:spacing w:val="2"/>
                <w:w w:val="93"/>
                <w:sz w:val="16"/>
              </w:rPr>
              <w:t>2</w:t>
            </w:r>
            <w:r>
              <w:rPr>
                <w:spacing w:val="1"/>
                <w:w w:val="68"/>
                <w:sz w:val="16"/>
              </w:rPr>
              <w:t>,</w:t>
            </w:r>
            <w:r>
              <w:rPr>
                <w:spacing w:val="4"/>
                <w:w w:val="111"/>
                <w:sz w:val="16"/>
              </w:rPr>
              <w:t>0</w:t>
            </w:r>
            <w:r>
              <w:rPr>
                <w:spacing w:val="-1"/>
                <w:w w:val="78"/>
                <w:sz w:val="16"/>
              </w:rPr>
              <w:t>41</w:t>
            </w:r>
          </w:p>
        </w:tc>
        <w:tc>
          <w:tcPr>
            <w:tcW w:w="964" w:type="dxa"/>
            <w:tcBorders>
              <w:top w:val="nil"/>
            </w:tcBorders>
            <w:shd w:val="clear" w:color="auto" w:fill="E9E9E9"/>
          </w:tcPr>
          <w:p>
            <w:pPr>
              <w:pStyle w:val="TableParagraph"/>
              <w:spacing w:before="141"/>
              <w:ind w:right="72"/>
              <w:rPr>
                <w:sz w:val="16"/>
              </w:rPr>
            </w:pPr>
            <w:r>
              <w:rPr>
                <w:w w:val="85"/>
                <w:sz w:val="16"/>
              </w:rPr>
              <w:t>14,997</w:t>
            </w:r>
          </w:p>
        </w:tc>
        <w:tc>
          <w:tcPr>
            <w:tcW w:w="964" w:type="dxa"/>
            <w:tcBorders>
              <w:top w:val="nil"/>
            </w:tcBorders>
            <w:shd w:val="clear" w:color="auto" w:fill="E9E9E9"/>
          </w:tcPr>
          <w:p>
            <w:pPr>
              <w:pStyle w:val="TableParagraph"/>
              <w:spacing w:before="141"/>
              <w:ind w:right="68"/>
              <w:rPr>
                <w:sz w:val="16"/>
              </w:rPr>
            </w:pPr>
            <w:r>
              <w:rPr>
                <w:w w:val="75"/>
                <w:sz w:val="16"/>
              </w:rPr>
              <w:t>11,333</w:t>
            </w:r>
          </w:p>
        </w:tc>
        <w:tc>
          <w:tcPr>
            <w:tcW w:w="964" w:type="dxa"/>
            <w:tcBorders>
              <w:top w:val="nil"/>
            </w:tcBorders>
            <w:shd w:val="clear" w:color="auto" w:fill="E9E9E9"/>
          </w:tcPr>
          <w:p>
            <w:pPr>
              <w:pStyle w:val="TableParagraph"/>
              <w:spacing w:before="141"/>
              <w:ind w:right="75"/>
              <w:rPr>
                <w:sz w:val="16"/>
              </w:rPr>
            </w:pPr>
            <w:r>
              <w:rPr>
                <w:sz w:val="16"/>
              </w:rPr>
              <w:t>n/a</w:t>
            </w:r>
          </w:p>
        </w:tc>
        <w:tc>
          <w:tcPr>
            <w:tcW w:w="964" w:type="dxa"/>
            <w:tcBorders>
              <w:top w:val="nil"/>
            </w:tcBorders>
            <w:shd w:val="clear" w:color="auto" w:fill="E9E9E9"/>
          </w:tcPr>
          <w:p>
            <w:pPr/>
          </w:p>
        </w:tc>
        <w:tc>
          <w:tcPr>
            <w:tcW w:w="689" w:type="dxa"/>
            <w:tcBorders>
              <w:top w:val="nil"/>
            </w:tcBorders>
            <w:shd w:val="clear" w:color="auto" w:fill="E9E9E9"/>
          </w:tcPr>
          <w:p>
            <w:pPr/>
          </w:p>
        </w:tc>
      </w:tr>
      <w:tr>
        <w:trPr>
          <w:trHeight w:val="275" w:hRule="exact"/>
        </w:trPr>
        <w:tc>
          <w:tcPr>
            <w:tcW w:w="3623" w:type="dxa"/>
            <w:shd w:val="clear" w:color="auto" w:fill="E9E9E9"/>
          </w:tcPr>
          <w:p>
            <w:pPr>
              <w:pStyle w:val="TableParagraph"/>
              <w:spacing w:before="37"/>
              <w:ind w:left="76" w:right="90"/>
              <w:jc w:val="left"/>
              <w:rPr>
                <w:sz w:val="16"/>
              </w:rPr>
            </w:pPr>
            <w:r>
              <w:rPr>
                <w:sz w:val="16"/>
              </w:rPr>
              <w:t>Collaborative Income (Category 2, 3 and 4)</w:t>
            </w:r>
          </w:p>
        </w:tc>
        <w:tc>
          <w:tcPr>
            <w:tcW w:w="964" w:type="dxa"/>
            <w:shd w:val="clear" w:color="auto" w:fill="E9E9E9"/>
          </w:tcPr>
          <w:p>
            <w:pPr>
              <w:pStyle w:val="TableParagraph"/>
              <w:spacing w:before="37"/>
              <w:ind w:right="71"/>
              <w:rPr>
                <w:sz w:val="16"/>
              </w:rPr>
            </w:pPr>
            <w:r>
              <w:rPr>
                <w:w w:val="90"/>
                <w:sz w:val="16"/>
              </w:rPr>
              <w:t>8,733</w:t>
            </w:r>
          </w:p>
        </w:tc>
        <w:tc>
          <w:tcPr>
            <w:tcW w:w="964" w:type="dxa"/>
            <w:shd w:val="clear" w:color="auto" w:fill="E9E9E9"/>
          </w:tcPr>
          <w:p>
            <w:pPr>
              <w:pStyle w:val="TableParagraph"/>
              <w:spacing w:before="37"/>
              <w:ind w:right="71"/>
              <w:rPr>
                <w:sz w:val="16"/>
              </w:rPr>
            </w:pPr>
            <w:r>
              <w:rPr>
                <w:w w:val="85"/>
                <w:sz w:val="16"/>
              </w:rPr>
              <w:t>10,258</w:t>
            </w:r>
          </w:p>
        </w:tc>
        <w:tc>
          <w:tcPr>
            <w:tcW w:w="964" w:type="dxa"/>
            <w:shd w:val="clear" w:color="auto" w:fill="E9E9E9"/>
          </w:tcPr>
          <w:p>
            <w:pPr>
              <w:pStyle w:val="TableParagraph"/>
              <w:spacing w:before="37"/>
              <w:ind w:right="71"/>
              <w:rPr>
                <w:sz w:val="16"/>
              </w:rPr>
            </w:pPr>
            <w:r>
              <w:rPr>
                <w:w w:val="75"/>
                <w:sz w:val="16"/>
              </w:rPr>
              <w:t>11,238</w:t>
            </w:r>
          </w:p>
        </w:tc>
        <w:tc>
          <w:tcPr>
            <w:tcW w:w="964" w:type="dxa"/>
            <w:shd w:val="clear" w:color="auto" w:fill="E9E9E9"/>
          </w:tcPr>
          <w:p>
            <w:pPr>
              <w:pStyle w:val="TableParagraph"/>
              <w:spacing w:before="37"/>
              <w:ind w:right="71"/>
              <w:rPr>
                <w:sz w:val="16"/>
              </w:rPr>
            </w:pPr>
            <w:r>
              <w:rPr>
                <w:w w:val="90"/>
                <w:sz w:val="16"/>
              </w:rPr>
              <w:t>14,664</w:t>
            </w:r>
          </w:p>
        </w:tc>
        <w:tc>
          <w:tcPr>
            <w:tcW w:w="964" w:type="dxa"/>
            <w:shd w:val="clear" w:color="auto" w:fill="E9E9E9"/>
          </w:tcPr>
          <w:p>
            <w:pPr>
              <w:pStyle w:val="TableParagraph"/>
              <w:spacing w:before="37"/>
              <w:ind w:right="75"/>
              <w:rPr>
                <w:sz w:val="16"/>
              </w:rPr>
            </w:pPr>
            <w:r>
              <w:rPr>
                <w:sz w:val="16"/>
              </w:rPr>
              <w:t>n/a</w:t>
            </w:r>
          </w:p>
        </w:tc>
        <w:tc>
          <w:tcPr>
            <w:tcW w:w="964" w:type="dxa"/>
            <w:shd w:val="clear" w:color="auto" w:fill="E9E9E9"/>
          </w:tcPr>
          <w:p>
            <w:pPr/>
          </w:p>
        </w:tc>
        <w:tc>
          <w:tcPr>
            <w:tcW w:w="689" w:type="dxa"/>
            <w:shd w:val="clear" w:color="auto" w:fill="E9E9E9"/>
          </w:tcPr>
          <w:p>
            <w:pPr/>
          </w:p>
        </w:tc>
      </w:tr>
      <w:tr>
        <w:trPr>
          <w:trHeight w:val="275" w:hRule="exact"/>
        </w:trPr>
        <w:tc>
          <w:tcPr>
            <w:tcW w:w="3623" w:type="dxa"/>
            <w:shd w:val="clear" w:color="auto" w:fill="E9E9E9"/>
          </w:tcPr>
          <w:p>
            <w:pPr>
              <w:pStyle w:val="TableParagraph"/>
              <w:spacing w:before="45"/>
              <w:ind w:left="76" w:right="90"/>
              <w:jc w:val="left"/>
              <w:rPr>
                <w:rFonts w:ascii="Calibri"/>
                <w:sz w:val="16"/>
              </w:rPr>
            </w:pPr>
            <w:r>
              <w:rPr>
                <w:rFonts w:ascii="Calibri"/>
                <w:w w:val="110"/>
                <w:sz w:val="16"/>
              </w:rPr>
              <w:t>Total HERDC Income</w:t>
            </w:r>
          </w:p>
        </w:tc>
        <w:tc>
          <w:tcPr>
            <w:tcW w:w="964" w:type="dxa"/>
            <w:shd w:val="clear" w:color="auto" w:fill="E9E9E9"/>
          </w:tcPr>
          <w:p>
            <w:pPr>
              <w:pStyle w:val="TableParagraph"/>
              <w:spacing w:before="45"/>
              <w:ind w:right="71"/>
              <w:rPr>
                <w:rFonts w:ascii="Calibri"/>
                <w:sz w:val="16"/>
              </w:rPr>
            </w:pPr>
            <w:r>
              <w:rPr>
                <w:rFonts w:ascii="Calibri"/>
                <w:w w:val="95"/>
                <w:sz w:val="16"/>
              </w:rPr>
              <w:t>21,275</w:t>
            </w:r>
          </w:p>
        </w:tc>
        <w:tc>
          <w:tcPr>
            <w:tcW w:w="964" w:type="dxa"/>
            <w:shd w:val="clear" w:color="auto" w:fill="E9E9E9"/>
          </w:tcPr>
          <w:p>
            <w:pPr>
              <w:pStyle w:val="TableParagraph"/>
              <w:spacing w:before="45"/>
              <w:ind w:right="71"/>
              <w:rPr>
                <w:rFonts w:ascii="Calibri"/>
                <w:sz w:val="16"/>
              </w:rPr>
            </w:pPr>
            <w:r>
              <w:rPr>
                <w:rFonts w:ascii="Calibri"/>
                <w:w w:val="110"/>
                <w:sz w:val="16"/>
              </w:rPr>
              <w:t>22,300</w:t>
            </w:r>
          </w:p>
        </w:tc>
        <w:tc>
          <w:tcPr>
            <w:tcW w:w="964" w:type="dxa"/>
            <w:shd w:val="clear" w:color="auto" w:fill="E9E9E9"/>
          </w:tcPr>
          <w:p>
            <w:pPr>
              <w:pStyle w:val="TableParagraph"/>
              <w:spacing w:before="45"/>
              <w:ind w:right="69"/>
              <w:rPr>
                <w:rFonts w:ascii="Calibri"/>
                <w:sz w:val="16"/>
              </w:rPr>
            </w:pPr>
            <w:r>
              <w:rPr>
                <w:rFonts w:ascii="Calibri"/>
                <w:w w:val="110"/>
                <w:sz w:val="16"/>
              </w:rPr>
              <w:t>26,230</w:t>
            </w:r>
          </w:p>
        </w:tc>
        <w:tc>
          <w:tcPr>
            <w:tcW w:w="964" w:type="dxa"/>
            <w:shd w:val="clear" w:color="auto" w:fill="E9E9E9"/>
          </w:tcPr>
          <w:p>
            <w:pPr>
              <w:pStyle w:val="TableParagraph"/>
              <w:spacing w:before="45"/>
              <w:ind w:right="71"/>
              <w:rPr>
                <w:rFonts w:ascii="Calibri"/>
                <w:sz w:val="16"/>
              </w:rPr>
            </w:pPr>
            <w:r>
              <w:rPr>
                <w:rFonts w:ascii="Calibri"/>
                <w:w w:val="105"/>
                <w:sz w:val="16"/>
              </w:rPr>
              <w:t>25,998</w:t>
            </w:r>
          </w:p>
        </w:tc>
        <w:tc>
          <w:tcPr>
            <w:tcW w:w="964" w:type="dxa"/>
            <w:shd w:val="clear" w:color="auto" w:fill="E9E9E9"/>
          </w:tcPr>
          <w:p>
            <w:pPr>
              <w:pStyle w:val="TableParagraph"/>
              <w:spacing w:before="37"/>
              <w:ind w:right="75"/>
              <w:rPr>
                <w:sz w:val="16"/>
              </w:rPr>
            </w:pPr>
            <w:r>
              <w:rPr>
                <w:sz w:val="16"/>
              </w:rPr>
              <w:t>n/a</w:t>
            </w:r>
          </w:p>
        </w:tc>
        <w:tc>
          <w:tcPr>
            <w:tcW w:w="964" w:type="dxa"/>
            <w:shd w:val="clear" w:color="auto" w:fill="E9E9E9"/>
          </w:tcPr>
          <w:p>
            <w:pPr/>
          </w:p>
        </w:tc>
        <w:tc>
          <w:tcPr>
            <w:tcW w:w="689" w:type="dxa"/>
            <w:shd w:val="clear" w:color="auto" w:fill="E9E9E9"/>
          </w:tcPr>
          <w:p>
            <w:pPr/>
          </w:p>
        </w:tc>
      </w:tr>
      <w:tr>
        <w:trPr>
          <w:trHeight w:val="275" w:hRule="exact"/>
        </w:trPr>
        <w:tc>
          <w:tcPr>
            <w:tcW w:w="10095" w:type="dxa"/>
            <w:gridSpan w:val="8"/>
            <w:tcBorders>
              <w:bottom w:val="nil"/>
            </w:tcBorders>
            <w:shd w:val="clear" w:color="auto" w:fill="E9E9E9"/>
          </w:tcPr>
          <w:p>
            <w:pPr>
              <w:pStyle w:val="TableParagraph"/>
              <w:spacing w:before="37"/>
              <w:ind w:left="76"/>
              <w:jc w:val="left"/>
              <w:rPr>
                <w:sz w:val="16"/>
              </w:rPr>
            </w:pPr>
            <w:r>
              <w:rPr>
                <w:w w:val="74"/>
                <w:sz w:val="16"/>
              </w:rPr>
              <w:t>%</w:t>
            </w:r>
            <w:r>
              <w:rPr>
                <w:spacing w:val="-12"/>
                <w:sz w:val="16"/>
              </w:rPr>
              <w:t> </w:t>
            </w:r>
            <w:r>
              <w:rPr>
                <w:spacing w:val="2"/>
                <w:w w:val="102"/>
                <w:sz w:val="16"/>
              </w:rPr>
              <w:t>C</w:t>
            </w:r>
            <w:r>
              <w:rPr>
                <w:spacing w:val="2"/>
                <w:w w:val="95"/>
                <w:sz w:val="16"/>
              </w:rPr>
              <w:t>h</w:t>
            </w:r>
            <w:r>
              <w:rPr>
                <w:spacing w:val="2"/>
                <w:w w:val="94"/>
                <w:sz w:val="16"/>
              </w:rPr>
              <w:t>a</w:t>
            </w:r>
            <w:r>
              <w:rPr>
                <w:spacing w:val="2"/>
                <w:w w:val="95"/>
                <w:sz w:val="16"/>
              </w:rPr>
              <w:t>n</w:t>
            </w:r>
            <w:r>
              <w:rPr>
                <w:spacing w:val="2"/>
                <w:w w:val="102"/>
                <w:sz w:val="16"/>
              </w:rPr>
              <w:t>g</w:t>
            </w:r>
            <w:r>
              <w:rPr>
                <w:w w:val="95"/>
                <w:sz w:val="16"/>
              </w:rPr>
              <w:t>e</w:t>
            </w:r>
            <w:r>
              <w:rPr>
                <w:spacing w:val="-12"/>
                <w:sz w:val="16"/>
              </w:rPr>
              <w:t> </w:t>
            </w:r>
            <w:r>
              <w:rPr>
                <w:spacing w:val="2"/>
                <w:w w:val="102"/>
                <w:sz w:val="16"/>
              </w:rPr>
              <w:t>b</w:t>
            </w:r>
            <w:r>
              <w:rPr>
                <w:spacing w:val="2"/>
                <w:w w:val="94"/>
                <w:sz w:val="16"/>
              </w:rPr>
              <w:t>a</w:t>
            </w:r>
            <w:r>
              <w:rPr>
                <w:spacing w:val="2"/>
                <w:w w:val="95"/>
                <w:sz w:val="16"/>
              </w:rPr>
              <w:t>s</w:t>
            </w:r>
            <w:r>
              <w:rPr>
                <w:spacing w:val="3"/>
                <w:w w:val="95"/>
                <w:sz w:val="16"/>
              </w:rPr>
              <w:t>e</w:t>
            </w:r>
            <w:r>
              <w:rPr>
                <w:w w:val="102"/>
                <w:sz w:val="16"/>
              </w:rPr>
              <w:t>d</w:t>
            </w:r>
            <w:r>
              <w:rPr>
                <w:spacing w:val="-12"/>
                <w:sz w:val="16"/>
              </w:rPr>
              <w:t> </w:t>
            </w:r>
            <w:r>
              <w:rPr>
                <w:spacing w:val="2"/>
                <w:w w:val="100"/>
                <w:sz w:val="16"/>
              </w:rPr>
              <w:t>o</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spacing w:val="5"/>
                <w:w w:val="95"/>
                <w:sz w:val="16"/>
              </w:rPr>
              <w:t>5</w:t>
            </w:r>
            <w:r>
              <w:rPr>
                <w:spacing w:val="-1"/>
                <w:w w:val="100"/>
                <w:sz w:val="16"/>
              </w:rPr>
              <w:t>-</w:t>
            </w:r>
            <w:r>
              <w:rPr>
                <w:spacing w:val="4"/>
                <w:w w:val="54"/>
                <w:sz w:val="16"/>
              </w:rPr>
              <w:t>1</w:t>
            </w:r>
            <w:r>
              <w:rPr>
                <w:w w:val="101"/>
                <w:sz w:val="16"/>
              </w:rPr>
              <w:t>6</w:t>
            </w:r>
          </w:p>
        </w:tc>
      </w:tr>
      <w:tr>
        <w:trPr>
          <w:trHeight w:val="275" w:hRule="exact"/>
        </w:trPr>
        <w:tc>
          <w:tcPr>
            <w:tcW w:w="3623" w:type="dxa"/>
            <w:tcBorders>
              <w:top w:val="nil"/>
              <w:left w:val="nil"/>
              <w:bottom w:val="single" w:sz="4" w:space="0" w:color="FFFFFF"/>
              <w:right w:val="single" w:sz="4" w:space="0" w:color="FFFFFF"/>
            </w:tcBorders>
            <w:shd w:val="clear" w:color="auto" w:fill="949290"/>
          </w:tcPr>
          <w:p>
            <w:pPr>
              <w:pStyle w:val="TableParagraph"/>
              <w:spacing w:before="49"/>
              <w:ind w:left="81"/>
              <w:jc w:val="left"/>
              <w:rPr>
                <w:rFonts w:ascii="Gotham Narrow Bold" w:hAnsi="Gotham Narrow Bold"/>
                <w:b/>
                <w:sz w:val="16"/>
              </w:rPr>
            </w:pPr>
            <w:r>
              <w:rPr>
                <w:rFonts w:ascii="Gotham Narrow Bold" w:hAnsi="Gotham Narrow Bold"/>
                <w:b/>
                <w:color w:val="FFFFFF"/>
                <w:w w:val="95"/>
                <w:sz w:val="16"/>
              </w:rPr>
              <w:t>TOTAL OPERATING REVENUE ($’000)</w:t>
            </w:r>
          </w:p>
        </w:tc>
        <w:tc>
          <w:tcPr>
            <w:tcW w:w="964" w:type="dxa"/>
            <w:tcBorders>
              <w:top w:val="nil"/>
              <w:left w:val="single" w:sz="4" w:space="0" w:color="FFFFFF"/>
              <w:bottom w:val="single" w:sz="4" w:space="0" w:color="FFFFFF"/>
              <w:right w:val="single" w:sz="4" w:space="0" w:color="FFFFFF"/>
            </w:tcBorders>
            <w:shd w:val="clear" w:color="auto" w:fill="949290"/>
          </w:tcPr>
          <w:p>
            <w:pPr>
              <w:pStyle w:val="TableParagraph"/>
              <w:spacing w:before="49"/>
              <w:ind w:right="71"/>
              <w:rPr>
                <w:rFonts w:ascii="Gotham Narrow Bold"/>
                <w:b/>
                <w:sz w:val="16"/>
              </w:rPr>
            </w:pPr>
            <w:r>
              <w:rPr>
                <w:rFonts w:ascii="Gotham Narrow Bold"/>
                <w:b/>
                <w:color w:val="FFFFFF"/>
                <w:w w:val="95"/>
                <w:sz w:val="16"/>
              </w:rPr>
              <w:t>662,820</w:t>
            </w:r>
          </w:p>
        </w:tc>
        <w:tc>
          <w:tcPr>
            <w:tcW w:w="964" w:type="dxa"/>
            <w:tcBorders>
              <w:top w:val="nil"/>
              <w:left w:val="single" w:sz="4" w:space="0" w:color="FFFFFF"/>
              <w:bottom w:val="single" w:sz="4" w:space="0" w:color="FFFFFF"/>
              <w:right w:val="single" w:sz="4" w:space="0" w:color="FFFFFF"/>
            </w:tcBorders>
            <w:shd w:val="clear" w:color="auto" w:fill="949290"/>
          </w:tcPr>
          <w:p>
            <w:pPr>
              <w:pStyle w:val="TableParagraph"/>
              <w:spacing w:before="65"/>
              <w:ind w:right="71"/>
              <w:rPr>
                <w:rFonts w:ascii="Gotham Narrow Bold"/>
                <w:b/>
                <w:sz w:val="16"/>
              </w:rPr>
            </w:pPr>
            <w:r>
              <w:rPr>
                <w:rFonts w:ascii="Gotham Narrow Bold"/>
                <w:b/>
                <w:color w:val="FFFFFF"/>
                <w:w w:val="95"/>
                <w:sz w:val="16"/>
              </w:rPr>
              <w:t>684,199</w:t>
            </w:r>
          </w:p>
        </w:tc>
        <w:tc>
          <w:tcPr>
            <w:tcW w:w="964" w:type="dxa"/>
            <w:tcBorders>
              <w:top w:val="nil"/>
              <w:left w:val="single" w:sz="4" w:space="0" w:color="FFFFFF"/>
              <w:bottom w:val="single" w:sz="4" w:space="0" w:color="FFFFFF"/>
              <w:right w:val="single" w:sz="4" w:space="0" w:color="FFFFFF"/>
            </w:tcBorders>
            <w:shd w:val="clear" w:color="auto" w:fill="949290"/>
          </w:tcPr>
          <w:p>
            <w:pPr>
              <w:pStyle w:val="TableParagraph"/>
              <w:spacing w:before="49"/>
              <w:ind w:right="71"/>
              <w:rPr>
                <w:rFonts w:ascii="Gotham Narrow Bold"/>
                <w:b/>
                <w:sz w:val="16"/>
              </w:rPr>
            </w:pPr>
            <w:r>
              <w:rPr>
                <w:rFonts w:ascii="Gotham Narrow Bold"/>
                <w:b/>
                <w:color w:val="FFFFFF"/>
                <w:w w:val="95"/>
                <w:sz w:val="16"/>
              </w:rPr>
              <w:t>729,665</w:t>
            </w:r>
          </w:p>
        </w:tc>
        <w:tc>
          <w:tcPr>
            <w:tcW w:w="964" w:type="dxa"/>
            <w:tcBorders>
              <w:top w:val="nil"/>
              <w:left w:val="single" w:sz="4" w:space="0" w:color="FFFFFF"/>
              <w:bottom w:val="single" w:sz="4" w:space="0" w:color="FFFFFF"/>
              <w:right w:val="single" w:sz="4" w:space="0" w:color="FFFFFF"/>
            </w:tcBorders>
            <w:shd w:val="clear" w:color="auto" w:fill="949290"/>
          </w:tcPr>
          <w:p>
            <w:pPr>
              <w:pStyle w:val="TableParagraph"/>
              <w:spacing w:before="49"/>
              <w:ind w:right="71"/>
              <w:rPr>
                <w:rFonts w:ascii="Gotham Narrow Bold"/>
                <w:b/>
                <w:sz w:val="16"/>
              </w:rPr>
            </w:pPr>
            <w:r>
              <w:rPr>
                <w:rFonts w:ascii="Gotham Narrow Bold"/>
                <w:b/>
                <w:color w:val="FFFFFF"/>
                <w:w w:val="95"/>
                <w:sz w:val="16"/>
              </w:rPr>
              <w:t>755,617</w:t>
            </w:r>
          </w:p>
        </w:tc>
        <w:tc>
          <w:tcPr>
            <w:tcW w:w="964" w:type="dxa"/>
            <w:tcBorders>
              <w:top w:val="nil"/>
              <w:left w:val="single" w:sz="4" w:space="0" w:color="FFFFFF"/>
              <w:bottom w:val="single" w:sz="4" w:space="0" w:color="FFFFFF"/>
              <w:right w:val="single" w:sz="4" w:space="0" w:color="FFFFFF"/>
            </w:tcBorders>
            <w:shd w:val="clear" w:color="auto" w:fill="949290"/>
          </w:tcPr>
          <w:p>
            <w:pPr>
              <w:pStyle w:val="TableParagraph"/>
              <w:spacing w:before="49"/>
              <w:ind w:right="71"/>
              <w:rPr>
                <w:rFonts w:ascii="Gotham Narrow Bold"/>
                <w:b/>
                <w:sz w:val="16"/>
              </w:rPr>
            </w:pPr>
            <w:r>
              <w:rPr>
                <w:rFonts w:ascii="Gotham Narrow Bold"/>
                <w:b/>
                <w:color w:val="FFFFFF"/>
                <w:w w:val="95"/>
                <w:sz w:val="16"/>
              </w:rPr>
              <w:t>774,834</w:t>
            </w:r>
          </w:p>
        </w:tc>
        <w:tc>
          <w:tcPr>
            <w:tcW w:w="964" w:type="dxa"/>
            <w:tcBorders>
              <w:top w:val="nil"/>
              <w:left w:val="single" w:sz="4" w:space="0" w:color="FFFFFF"/>
              <w:bottom w:val="single" w:sz="4" w:space="0" w:color="FFFFFF"/>
              <w:right w:val="single" w:sz="4" w:space="0" w:color="FFFFFF"/>
            </w:tcBorders>
            <w:shd w:val="clear" w:color="auto" w:fill="949290"/>
          </w:tcPr>
          <w:p>
            <w:pPr>
              <w:pStyle w:val="TableParagraph"/>
              <w:spacing w:before="49"/>
              <w:ind w:right="71"/>
              <w:rPr>
                <w:rFonts w:ascii="Gotham Narrow Bold"/>
                <w:b/>
                <w:sz w:val="16"/>
              </w:rPr>
            </w:pPr>
            <w:r>
              <w:rPr>
                <w:rFonts w:ascii="Gotham Narrow Bold"/>
                <w:b/>
                <w:color w:val="FFFFFF"/>
                <w:w w:val="95"/>
                <w:sz w:val="16"/>
              </w:rPr>
              <w:t>2.5%</w:t>
            </w:r>
          </w:p>
        </w:tc>
        <w:tc>
          <w:tcPr>
            <w:tcW w:w="689" w:type="dxa"/>
            <w:tcBorders>
              <w:top w:val="nil"/>
              <w:left w:val="single" w:sz="4" w:space="0" w:color="FFFFFF"/>
              <w:bottom w:val="single" w:sz="4" w:space="0" w:color="FFFFFF"/>
              <w:right w:val="nil"/>
            </w:tcBorders>
            <w:shd w:val="clear" w:color="auto" w:fill="949290"/>
          </w:tcPr>
          <w:p>
            <w:pPr/>
          </w:p>
        </w:tc>
      </w:tr>
      <w:tr>
        <w:trPr>
          <w:trHeight w:val="275" w:hRule="exact"/>
        </w:trPr>
        <w:tc>
          <w:tcPr>
            <w:tcW w:w="3623" w:type="dxa"/>
            <w:tcBorders>
              <w:top w:val="single" w:sz="4" w:space="0" w:color="FFFFFF"/>
              <w:left w:val="nil"/>
              <w:bottom w:val="nil"/>
              <w:right w:val="single" w:sz="4" w:space="0" w:color="FFFFFF"/>
            </w:tcBorders>
            <w:shd w:val="clear" w:color="auto" w:fill="949290"/>
          </w:tcPr>
          <w:p>
            <w:pPr>
              <w:pStyle w:val="TableParagraph"/>
              <w:spacing w:before="44"/>
              <w:ind w:left="81"/>
              <w:jc w:val="left"/>
              <w:rPr>
                <w:rFonts w:ascii="Gotham Narrow Bold" w:hAnsi="Gotham Narrow Bold"/>
                <w:b/>
                <w:sz w:val="16"/>
              </w:rPr>
            </w:pPr>
            <w:r>
              <w:rPr>
                <w:rFonts w:ascii="Gotham Narrow Bold" w:hAnsi="Gotham Narrow Bold"/>
                <w:b/>
                <w:color w:val="FFFFFF"/>
                <w:w w:val="95"/>
                <w:sz w:val="16"/>
              </w:rPr>
              <w:t>TOTAL NET ASSETS ($’000)</w:t>
            </w:r>
          </w:p>
        </w:tc>
        <w:tc>
          <w:tcPr>
            <w:tcW w:w="964" w:type="dxa"/>
            <w:tcBorders>
              <w:top w:val="single" w:sz="4" w:space="0" w:color="FFFFFF"/>
              <w:left w:val="single" w:sz="4" w:space="0" w:color="FFFFFF"/>
              <w:bottom w:val="nil"/>
              <w:right w:val="single" w:sz="4" w:space="0" w:color="FFFFFF"/>
            </w:tcBorders>
            <w:shd w:val="clear" w:color="auto" w:fill="949290"/>
          </w:tcPr>
          <w:p>
            <w:pPr>
              <w:pStyle w:val="TableParagraph"/>
              <w:spacing w:before="44"/>
              <w:ind w:right="71"/>
              <w:rPr>
                <w:rFonts w:ascii="Gotham Narrow Bold"/>
                <w:b/>
                <w:sz w:val="16"/>
              </w:rPr>
            </w:pPr>
            <w:r>
              <w:rPr>
                <w:rFonts w:ascii="Gotham Narrow Bold"/>
                <w:b/>
                <w:color w:val="FFFFFF"/>
                <w:w w:val="90"/>
                <w:sz w:val="16"/>
              </w:rPr>
              <w:t>1,321,023</w:t>
            </w:r>
          </w:p>
        </w:tc>
        <w:tc>
          <w:tcPr>
            <w:tcW w:w="964" w:type="dxa"/>
            <w:tcBorders>
              <w:top w:val="single" w:sz="4" w:space="0" w:color="FFFFFF"/>
              <w:left w:val="single" w:sz="4" w:space="0" w:color="FFFFFF"/>
              <w:bottom w:val="nil"/>
              <w:right w:val="single" w:sz="4" w:space="0" w:color="FFFFFF"/>
            </w:tcBorders>
            <w:shd w:val="clear" w:color="auto" w:fill="949290"/>
          </w:tcPr>
          <w:p>
            <w:pPr>
              <w:pStyle w:val="TableParagraph"/>
              <w:spacing w:before="60"/>
              <w:ind w:right="71"/>
              <w:rPr>
                <w:rFonts w:ascii="Gotham Narrow Bold"/>
                <w:b/>
                <w:sz w:val="16"/>
              </w:rPr>
            </w:pPr>
            <w:r>
              <w:rPr>
                <w:rFonts w:ascii="Gotham Narrow Bold"/>
                <w:b/>
                <w:color w:val="FFFFFF"/>
                <w:w w:val="90"/>
                <w:sz w:val="16"/>
              </w:rPr>
              <w:t>1,366,871</w:t>
            </w:r>
          </w:p>
        </w:tc>
        <w:tc>
          <w:tcPr>
            <w:tcW w:w="964" w:type="dxa"/>
            <w:tcBorders>
              <w:top w:val="single" w:sz="4" w:space="0" w:color="FFFFFF"/>
              <w:left w:val="single" w:sz="4" w:space="0" w:color="FFFFFF"/>
              <w:bottom w:val="nil"/>
              <w:right w:val="single" w:sz="4" w:space="0" w:color="FFFFFF"/>
            </w:tcBorders>
            <w:shd w:val="clear" w:color="auto" w:fill="949290"/>
          </w:tcPr>
          <w:p>
            <w:pPr>
              <w:pStyle w:val="TableParagraph"/>
              <w:spacing w:before="44"/>
              <w:ind w:right="71"/>
              <w:rPr>
                <w:rFonts w:ascii="Gotham Narrow Bold"/>
                <w:b/>
                <w:sz w:val="16"/>
              </w:rPr>
            </w:pPr>
            <w:r>
              <w:rPr>
                <w:rFonts w:ascii="Gotham Narrow Bold"/>
                <w:b/>
                <w:color w:val="FFFFFF"/>
                <w:w w:val="95"/>
                <w:sz w:val="16"/>
              </w:rPr>
              <w:t>1,454,991</w:t>
            </w:r>
          </w:p>
        </w:tc>
        <w:tc>
          <w:tcPr>
            <w:tcW w:w="964" w:type="dxa"/>
            <w:tcBorders>
              <w:top w:val="single" w:sz="4" w:space="0" w:color="FFFFFF"/>
              <w:left w:val="single" w:sz="4" w:space="0" w:color="FFFFFF"/>
              <w:bottom w:val="nil"/>
              <w:right w:val="single" w:sz="4" w:space="0" w:color="FFFFFF"/>
            </w:tcBorders>
            <w:shd w:val="clear" w:color="auto" w:fill="949290"/>
          </w:tcPr>
          <w:p>
            <w:pPr>
              <w:pStyle w:val="TableParagraph"/>
              <w:spacing w:before="44"/>
              <w:ind w:right="71"/>
              <w:rPr>
                <w:rFonts w:ascii="Gotham Narrow Bold"/>
                <w:b/>
                <w:sz w:val="16"/>
              </w:rPr>
            </w:pPr>
            <w:r>
              <w:rPr>
                <w:rFonts w:ascii="Gotham Narrow Bold"/>
                <w:b/>
                <w:color w:val="FFFFFF"/>
                <w:w w:val="95"/>
                <w:sz w:val="16"/>
              </w:rPr>
              <w:t>1,607,353</w:t>
            </w:r>
          </w:p>
        </w:tc>
        <w:tc>
          <w:tcPr>
            <w:tcW w:w="964" w:type="dxa"/>
            <w:tcBorders>
              <w:top w:val="single" w:sz="4" w:space="0" w:color="FFFFFF"/>
              <w:left w:val="single" w:sz="4" w:space="0" w:color="FFFFFF"/>
              <w:bottom w:val="nil"/>
              <w:right w:val="single" w:sz="4" w:space="0" w:color="FFFFFF"/>
            </w:tcBorders>
            <w:shd w:val="clear" w:color="auto" w:fill="949290"/>
          </w:tcPr>
          <w:p>
            <w:pPr>
              <w:pStyle w:val="TableParagraph"/>
              <w:spacing w:before="44"/>
              <w:ind w:right="71"/>
              <w:rPr>
                <w:rFonts w:ascii="Gotham Narrow Bold"/>
                <w:b/>
                <w:sz w:val="16"/>
              </w:rPr>
            </w:pPr>
            <w:r>
              <w:rPr>
                <w:rFonts w:ascii="Gotham Narrow Bold"/>
                <w:b/>
                <w:color w:val="FFFFFF"/>
                <w:w w:val="95"/>
                <w:sz w:val="16"/>
              </w:rPr>
              <w:t>1,666,220</w:t>
            </w:r>
          </w:p>
        </w:tc>
        <w:tc>
          <w:tcPr>
            <w:tcW w:w="964" w:type="dxa"/>
            <w:tcBorders>
              <w:top w:val="single" w:sz="4" w:space="0" w:color="FFFFFF"/>
              <w:left w:val="single" w:sz="4" w:space="0" w:color="FFFFFF"/>
              <w:bottom w:val="nil"/>
              <w:right w:val="single" w:sz="4" w:space="0" w:color="FFFFFF"/>
            </w:tcBorders>
            <w:shd w:val="clear" w:color="auto" w:fill="949290"/>
          </w:tcPr>
          <w:p>
            <w:pPr>
              <w:pStyle w:val="TableParagraph"/>
              <w:spacing w:before="44"/>
              <w:ind w:right="71"/>
              <w:rPr>
                <w:rFonts w:ascii="Gotham Narrow Bold"/>
                <w:b/>
                <w:sz w:val="16"/>
              </w:rPr>
            </w:pPr>
            <w:r>
              <w:rPr>
                <w:rFonts w:ascii="Gotham Narrow Bold"/>
                <w:b/>
                <w:color w:val="FFFFFF"/>
                <w:w w:val="95"/>
                <w:sz w:val="16"/>
              </w:rPr>
              <w:t>3.7%</w:t>
            </w:r>
          </w:p>
        </w:tc>
        <w:tc>
          <w:tcPr>
            <w:tcW w:w="689" w:type="dxa"/>
            <w:tcBorders>
              <w:top w:val="single" w:sz="4" w:space="0" w:color="FFFFFF"/>
              <w:left w:val="single" w:sz="4" w:space="0" w:color="FFFFFF"/>
              <w:bottom w:val="nil"/>
              <w:right w:val="nil"/>
            </w:tcBorders>
            <w:shd w:val="clear" w:color="auto" w:fill="949290"/>
          </w:tcPr>
          <w:p>
            <w:pPr/>
          </w:p>
        </w:tc>
      </w:tr>
    </w:tbl>
    <w:p>
      <w:pPr>
        <w:pStyle w:val="BodyText"/>
        <w:spacing w:before="17"/>
        <w:ind w:left="328" w:right="7611"/>
      </w:pPr>
      <w:r>
        <w:rPr/>
        <w:t>(p) – Provisional figures</w:t>
      </w:r>
    </w:p>
    <w:p>
      <w:pPr>
        <w:spacing w:after="0"/>
        <w:sectPr>
          <w:pgSz w:w="11910" w:h="16840"/>
          <w:pgMar w:header="496" w:footer="472" w:top="680" w:bottom="660" w:left="580" w:right="580"/>
        </w:sectPr>
      </w:pPr>
    </w:p>
    <w:p>
      <w:pPr>
        <w:pStyle w:val="BodyText"/>
        <w:spacing w:before="6"/>
        <w:rPr>
          <w:sz w:val="28"/>
        </w:rPr>
      </w:pPr>
    </w:p>
    <w:p>
      <w:pPr>
        <w:pStyle w:val="Heading1"/>
        <w:spacing w:line="420" w:lineRule="exact" w:before="78"/>
        <w:ind w:left="295" w:right="6585"/>
      </w:pPr>
      <w:r>
        <w:rPr>
          <w:w w:val="95"/>
        </w:rPr>
        <w:t>BOARD OF TRUSTEES </w:t>
      </w:r>
      <w:r>
        <w:rPr/>
        <w:t>MEMBERS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8"/>
        <w:rPr>
          <w:rFonts w:ascii="Gotham Narrow Bold"/>
          <w:b/>
          <w:sz w:val="23"/>
        </w:rPr>
      </w:pPr>
    </w:p>
    <w:p>
      <w:pPr>
        <w:pStyle w:val="Heading7"/>
        <w:spacing w:before="72"/>
        <w:ind w:left="327" w:right="7611"/>
      </w:pPr>
      <w:r>
        <w:rPr>
          <w:w w:val="95"/>
        </w:rPr>
        <w:t>OFFICIAL MEMBERS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pgSz w:w="11910" w:h="16840"/>
          <w:pgMar w:header="496" w:footer="472" w:top="680" w:bottom="660" w:left="580" w:right="580"/>
        </w:sectPr>
      </w:pPr>
    </w:p>
    <w:p>
      <w:pPr>
        <w:pStyle w:val="BodyText"/>
        <w:spacing w:before="9"/>
        <w:rPr>
          <w:rFonts w:ascii="Gotham Narrow Bold"/>
          <w:b/>
          <w:sz w:val="19"/>
        </w:rPr>
      </w:pPr>
    </w:p>
    <w:p>
      <w:pPr>
        <w:spacing w:line="166" w:lineRule="exact" w:before="0"/>
        <w:ind w:left="327" w:right="-8" w:firstLine="0"/>
        <w:jc w:val="left"/>
        <w:rPr>
          <w:sz w:val="14"/>
        </w:rPr>
      </w:pPr>
      <w:r>
        <w:rPr>
          <w:sz w:val="14"/>
        </w:rPr>
        <w:t>Professor Peter</w:t>
      </w:r>
      <w:r>
        <w:rPr>
          <w:spacing w:val="-13"/>
          <w:sz w:val="14"/>
        </w:rPr>
        <w:t> </w:t>
      </w:r>
      <w:r>
        <w:rPr>
          <w:sz w:val="14"/>
        </w:rPr>
        <w:t>Shergold AC,</w:t>
      </w:r>
      <w:r>
        <w:rPr>
          <w:spacing w:val="-5"/>
          <w:sz w:val="14"/>
        </w:rPr>
        <w:t> </w:t>
      </w:r>
      <w:r>
        <w:rPr>
          <w:sz w:val="14"/>
        </w:rPr>
        <w:t>Chancellor</w:t>
      </w:r>
    </w:p>
    <w:p>
      <w:pPr>
        <w:pStyle w:val="BodyText"/>
        <w:spacing w:before="8"/>
        <w:rPr>
          <w:sz w:val="19"/>
        </w:rPr>
      </w:pPr>
      <w:r>
        <w:rPr/>
        <w:br w:type="column"/>
      </w:r>
      <w:r>
        <w:rPr>
          <w:sz w:val="19"/>
        </w:rPr>
      </w:r>
    </w:p>
    <w:p>
      <w:pPr>
        <w:spacing w:line="166" w:lineRule="exact" w:before="0"/>
        <w:ind w:left="155" w:right="0" w:firstLine="0"/>
        <w:jc w:val="left"/>
        <w:rPr>
          <w:sz w:val="14"/>
        </w:rPr>
      </w:pPr>
      <w:r>
        <w:rPr>
          <w:sz w:val="14"/>
        </w:rPr>
        <w:t>Professor Barney</w:t>
      </w:r>
      <w:r>
        <w:rPr>
          <w:spacing w:val="-32"/>
          <w:sz w:val="14"/>
        </w:rPr>
        <w:t> </w:t>
      </w:r>
      <w:r>
        <w:rPr>
          <w:sz w:val="14"/>
        </w:rPr>
        <w:t>Glover, </w:t>
      </w:r>
      <w:r>
        <w:rPr>
          <w:spacing w:val="2"/>
          <w:sz w:val="14"/>
        </w:rPr>
        <w:t>Vice-Chancellor</w:t>
      </w:r>
    </w:p>
    <w:p>
      <w:pPr>
        <w:pStyle w:val="BodyText"/>
        <w:spacing w:before="8"/>
        <w:rPr>
          <w:sz w:val="19"/>
        </w:rPr>
      </w:pPr>
      <w:r>
        <w:rPr/>
        <w:br w:type="column"/>
      </w:r>
      <w:r>
        <w:rPr>
          <w:sz w:val="19"/>
        </w:rPr>
      </w:r>
    </w:p>
    <w:p>
      <w:pPr>
        <w:spacing w:line="166" w:lineRule="exact" w:before="0"/>
        <w:ind w:left="176" w:right="5758" w:firstLine="0"/>
        <w:jc w:val="both"/>
        <w:rPr>
          <w:sz w:val="14"/>
        </w:rPr>
      </w:pPr>
      <w:r>
        <w:rPr>
          <w:sz w:val="14"/>
        </w:rPr>
        <w:t>Associate Professor Paul Wormell, Chair of Academic Senate</w:t>
      </w:r>
    </w:p>
    <w:p>
      <w:pPr>
        <w:spacing w:after="0" w:line="166" w:lineRule="exact"/>
        <w:jc w:val="both"/>
        <w:rPr>
          <w:sz w:val="14"/>
        </w:rPr>
        <w:sectPr>
          <w:type w:val="continuous"/>
          <w:pgSz w:w="11910" w:h="16840"/>
          <w:pgMar w:top="1580" w:bottom="280" w:left="580" w:right="580"/>
          <w:cols w:num="3" w:equalWidth="0">
            <w:col w:w="1852" w:space="40"/>
            <w:col w:w="1659" w:space="40"/>
            <w:col w:w="7159"/>
          </w:cols>
        </w:sectPr>
      </w:pPr>
    </w:p>
    <w:p>
      <w:pPr>
        <w:pStyle w:val="BodyText"/>
        <w:rPr>
          <w:sz w:val="20"/>
        </w:rPr>
      </w:pPr>
    </w:p>
    <w:p>
      <w:pPr>
        <w:pStyle w:val="BodyText"/>
        <w:spacing w:before="8"/>
      </w:pPr>
    </w:p>
    <w:p>
      <w:pPr>
        <w:pStyle w:val="Heading7"/>
        <w:ind w:left="327" w:right="7611"/>
      </w:pPr>
      <w:r>
        <w:rPr>
          <w:w w:val="95"/>
        </w:rPr>
        <w:t>APPOINTED MEMBERS (MINISTERIAL)</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type w:val="continuous"/>
          <w:pgSz w:w="11910" w:h="16840"/>
          <w:pgMar w:top="1580" w:bottom="280" w:left="580" w:right="580"/>
        </w:sectPr>
      </w:pPr>
    </w:p>
    <w:p>
      <w:pPr>
        <w:pStyle w:val="BodyText"/>
        <w:spacing w:before="5"/>
        <w:rPr>
          <w:rFonts w:ascii="Gotham Narrow Bold"/>
          <w:b/>
          <w:sz w:val="18"/>
        </w:rPr>
      </w:pPr>
    </w:p>
    <w:p>
      <w:pPr>
        <w:tabs>
          <w:tab w:pos="2046" w:val="left" w:leader="none"/>
        </w:tabs>
        <w:spacing w:line="166" w:lineRule="exact" w:before="0"/>
        <w:ind w:left="2046" w:right="0" w:hanging="1720"/>
        <w:jc w:val="left"/>
        <w:rPr>
          <w:sz w:val="14"/>
        </w:rPr>
      </w:pPr>
      <w:r>
        <w:rPr>
          <w:sz w:val="14"/>
        </w:rPr>
        <w:t>Mr</w:t>
      </w:r>
      <w:r>
        <w:rPr>
          <w:spacing w:val="-12"/>
          <w:sz w:val="14"/>
        </w:rPr>
        <w:t> </w:t>
      </w:r>
      <w:r>
        <w:rPr>
          <w:sz w:val="14"/>
        </w:rPr>
        <w:t>John</w:t>
      </w:r>
      <w:r>
        <w:rPr>
          <w:spacing w:val="-12"/>
          <w:sz w:val="14"/>
        </w:rPr>
        <w:t> </w:t>
      </w:r>
      <w:r>
        <w:rPr>
          <w:spacing w:val="2"/>
          <w:sz w:val="14"/>
        </w:rPr>
        <w:t>Banks</w:t>
        <w:tab/>
      </w:r>
      <w:r>
        <w:rPr>
          <w:sz w:val="14"/>
        </w:rPr>
        <w:t>Ms</w:t>
      </w:r>
      <w:r>
        <w:rPr>
          <w:spacing w:val="-15"/>
          <w:sz w:val="14"/>
        </w:rPr>
        <w:t> </w:t>
      </w:r>
      <w:r>
        <w:rPr>
          <w:sz w:val="14"/>
        </w:rPr>
        <w:t>Elizabeth</w:t>
      </w:r>
      <w:r>
        <w:rPr>
          <w:spacing w:val="-15"/>
          <w:sz w:val="14"/>
        </w:rPr>
        <w:t> </w:t>
      </w:r>
      <w:r>
        <w:rPr>
          <w:sz w:val="14"/>
        </w:rPr>
        <w:t>Dibbs,</w:t>
      </w:r>
      <w:r>
        <w:rPr>
          <w:w w:val="68"/>
          <w:sz w:val="14"/>
        </w:rPr>
        <w:t> </w:t>
      </w:r>
      <w:r>
        <w:rPr>
          <w:spacing w:val="2"/>
          <w:sz w:val="14"/>
        </w:rPr>
        <w:t>Deputy</w:t>
      </w:r>
      <w:r>
        <w:rPr>
          <w:spacing w:val="-13"/>
          <w:sz w:val="14"/>
        </w:rPr>
        <w:t> </w:t>
      </w:r>
      <w:r>
        <w:rPr>
          <w:sz w:val="14"/>
        </w:rPr>
        <w:t>Chancellor</w:t>
      </w:r>
    </w:p>
    <w:p>
      <w:pPr>
        <w:pStyle w:val="BodyText"/>
        <w:spacing w:before="4"/>
        <w:rPr>
          <w:sz w:val="18"/>
        </w:rPr>
      </w:pPr>
      <w:r>
        <w:rPr/>
        <w:br w:type="column"/>
      </w:r>
      <w:r>
        <w:rPr>
          <w:sz w:val="18"/>
        </w:rPr>
      </w:r>
    </w:p>
    <w:p>
      <w:pPr>
        <w:spacing w:line="166" w:lineRule="exact" w:before="0"/>
        <w:ind w:left="327" w:right="-14" w:firstLine="0"/>
        <w:jc w:val="left"/>
        <w:rPr>
          <w:sz w:val="14"/>
        </w:rPr>
      </w:pPr>
      <w:r>
        <w:rPr>
          <w:sz w:val="14"/>
        </w:rPr>
        <w:t>Ms</w:t>
      </w:r>
      <w:r>
        <w:rPr>
          <w:spacing w:val="-21"/>
          <w:sz w:val="14"/>
        </w:rPr>
        <w:t> </w:t>
      </w:r>
      <w:r>
        <w:rPr>
          <w:sz w:val="14"/>
        </w:rPr>
        <w:t>Genevieve</w:t>
      </w:r>
      <w:r>
        <w:rPr>
          <w:spacing w:val="-21"/>
          <w:sz w:val="14"/>
        </w:rPr>
        <w:t> </w:t>
      </w:r>
      <w:r>
        <w:rPr>
          <w:sz w:val="14"/>
        </w:rPr>
        <w:t>Gregor, Pro</w:t>
      </w:r>
      <w:r>
        <w:rPr>
          <w:spacing w:val="-6"/>
          <w:sz w:val="14"/>
        </w:rPr>
        <w:t> </w:t>
      </w:r>
      <w:r>
        <w:rPr>
          <w:sz w:val="14"/>
        </w:rPr>
        <w:t>Chancellor</w:t>
      </w:r>
    </w:p>
    <w:p>
      <w:pPr>
        <w:pStyle w:val="BodyText"/>
        <w:spacing w:before="9"/>
        <w:rPr>
          <w:sz w:val="18"/>
        </w:rPr>
      </w:pPr>
      <w:r>
        <w:rPr/>
        <w:br w:type="column"/>
      </w:r>
      <w:r>
        <w:rPr>
          <w:sz w:val="18"/>
        </w:rPr>
      </w:r>
    </w:p>
    <w:p>
      <w:pPr>
        <w:tabs>
          <w:tab w:pos="2046" w:val="left" w:leader="none"/>
          <w:tab w:pos="3766" w:val="left" w:leader="none"/>
        </w:tabs>
        <w:spacing w:line="160" w:lineRule="exact" w:before="0"/>
        <w:ind w:left="3766" w:right="638" w:hanging="3440"/>
        <w:jc w:val="right"/>
        <w:rPr>
          <w:sz w:val="14"/>
        </w:rPr>
      </w:pPr>
      <w:r>
        <w:rPr>
          <w:sz w:val="14"/>
        </w:rPr>
        <w:t>Ms</w:t>
      </w:r>
      <w:r>
        <w:rPr>
          <w:spacing w:val="-13"/>
          <w:sz w:val="14"/>
        </w:rPr>
        <w:t> </w:t>
      </w:r>
      <w:r>
        <w:rPr>
          <w:sz w:val="14"/>
        </w:rPr>
        <w:t>Vivienne</w:t>
      </w:r>
      <w:r>
        <w:rPr>
          <w:spacing w:val="-13"/>
          <w:sz w:val="14"/>
        </w:rPr>
        <w:t> </w:t>
      </w:r>
      <w:r>
        <w:rPr>
          <w:spacing w:val="2"/>
          <w:sz w:val="14"/>
        </w:rPr>
        <w:t>James</w:t>
        <w:tab/>
      </w:r>
      <w:r>
        <w:rPr>
          <w:sz w:val="14"/>
        </w:rPr>
        <w:t>Mr</w:t>
      </w:r>
      <w:r>
        <w:rPr>
          <w:spacing w:val="-17"/>
          <w:sz w:val="14"/>
        </w:rPr>
        <w:t> </w:t>
      </w:r>
      <w:r>
        <w:rPr>
          <w:sz w:val="14"/>
        </w:rPr>
        <w:t>Ian</w:t>
      </w:r>
      <w:r>
        <w:rPr>
          <w:spacing w:val="-17"/>
          <w:sz w:val="14"/>
        </w:rPr>
        <w:t> </w:t>
      </w:r>
      <w:r>
        <w:rPr>
          <w:sz w:val="14"/>
        </w:rPr>
        <w:t>Stone</w:t>
        <w:tab/>
        <w:t>Emeritus</w:t>
      </w:r>
      <w:r>
        <w:rPr>
          <w:spacing w:val="-26"/>
          <w:sz w:val="14"/>
        </w:rPr>
        <w:t> </w:t>
      </w:r>
      <w:r>
        <w:rPr>
          <w:sz w:val="14"/>
        </w:rPr>
        <w:t>Professor,</w:t>
      </w:r>
      <w:r>
        <w:rPr>
          <w:w w:val="68"/>
          <w:sz w:val="14"/>
        </w:rPr>
        <w:t> </w:t>
      </w:r>
      <w:r>
        <w:rPr>
          <w:sz w:val="14"/>
        </w:rPr>
        <w:t>MaryAnn</w:t>
      </w:r>
      <w:r>
        <w:rPr>
          <w:spacing w:val="1"/>
          <w:sz w:val="14"/>
        </w:rPr>
        <w:t> </w:t>
      </w:r>
      <w:r>
        <w:rPr>
          <w:sz w:val="14"/>
        </w:rPr>
        <w:t>Bin-Sallik</w:t>
      </w:r>
    </w:p>
    <w:p>
      <w:pPr>
        <w:spacing w:after="0" w:line="160" w:lineRule="exact"/>
        <w:jc w:val="right"/>
        <w:rPr>
          <w:sz w:val="14"/>
        </w:rPr>
        <w:sectPr>
          <w:type w:val="continuous"/>
          <w:pgSz w:w="11910" w:h="16840"/>
          <w:pgMar w:top="1580" w:bottom="280" w:left="580" w:right="580"/>
          <w:cols w:num="3" w:equalWidth="0">
            <w:col w:w="3228" w:space="212"/>
            <w:col w:w="1651" w:space="68"/>
            <w:col w:w="5591"/>
          </w:cols>
        </w:sectPr>
      </w:pPr>
    </w:p>
    <w:p>
      <w:pPr>
        <w:pStyle w:val="BodyText"/>
        <w:rPr>
          <w:sz w:val="20"/>
        </w:rPr>
      </w:pPr>
    </w:p>
    <w:p>
      <w:pPr>
        <w:pStyle w:val="BodyText"/>
        <w:spacing w:before="5"/>
        <w:rPr>
          <w:sz w:val="18"/>
        </w:rPr>
      </w:pPr>
    </w:p>
    <w:p>
      <w:pPr>
        <w:pStyle w:val="Heading7"/>
        <w:spacing w:before="1"/>
        <w:ind w:left="327" w:right="7611"/>
      </w:pPr>
      <w:r>
        <w:rPr>
          <w:w w:val="95"/>
        </w:rPr>
        <w:t>APPOINTED MEMBERS (BOARD)</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type w:val="continuous"/>
          <w:pgSz w:w="11910" w:h="16840"/>
          <w:pgMar w:top="1580" w:bottom="280" w:left="580" w:right="580"/>
        </w:sectPr>
      </w:pPr>
    </w:p>
    <w:p>
      <w:pPr>
        <w:pStyle w:val="BodyText"/>
        <w:spacing w:before="5"/>
        <w:rPr>
          <w:rFonts w:ascii="Gotham Narrow Bold"/>
          <w:b/>
          <w:sz w:val="18"/>
        </w:rPr>
      </w:pPr>
    </w:p>
    <w:p>
      <w:pPr>
        <w:spacing w:line="166" w:lineRule="exact" w:before="0"/>
        <w:ind w:left="327" w:right="-11" w:firstLine="0"/>
        <w:jc w:val="left"/>
        <w:rPr>
          <w:sz w:val="14"/>
        </w:rPr>
      </w:pPr>
      <w:r>
        <w:rPr>
          <w:sz w:val="14"/>
        </w:rPr>
        <w:t>Mr Christopher</w:t>
      </w:r>
      <w:r>
        <w:rPr>
          <w:spacing w:val="-24"/>
          <w:sz w:val="14"/>
        </w:rPr>
        <w:t> </w:t>
      </w:r>
      <w:r>
        <w:rPr>
          <w:sz w:val="14"/>
        </w:rPr>
        <w:t>Brown, </w:t>
      </w:r>
      <w:r>
        <w:rPr>
          <w:spacing w:val="3"/>
          <w:sz w:val="14"/>
        </w:rPr>
        <w:t>AM</w:t>
      </w:r>
    </w:p>
    <w:p>
      <w:pPr>
        <w:pStyle w:val="BodyText"/>
        <w:spacing w:before="4"/>
        <w:rPr>
          <w:sz w:val="18"/>
        </w:rPr>
      </w:pPr>
      <w:r>
        <w:rPr/>
        <w:br w:type="column"/>
      </w:r>
      <w:r>
        <w:rPr>
          <w:sz w:val="18"/>
        </w:rPr>
      </w:r>
    </w:p>
    <w:p>
      <w:pPr>
        <w:spacing w:line="166" w:lineRule="exact" w:before="0"/>
        <w:ind w:left="306" w:right="-12" w:firstLine="0"/>
        <w:jc w:val="left"/>
        <w:rPr>
          <w:sz w:val="14"/>
        </w:rPr>
      </w:pPr>
      <w:r>
        <w:rPr>
          <w:sz w:val="14"/>
        </w:rPr>
        <w:t>Mr Michael Pratt, Deputy Chancellor</w:t>
      </w:r>
    </w:p>
    <w:p>
      <w:pPr>
        <w:pStyle w:val="BodyText"/>
        <w:spacing w:before="4"/>
        <w:rPr>
          <w:sz w:val="18"/>
        </w:rPr>
      </w:pPr>
      <w:r>
        <w:rPr/>
        <w:br w:type="column"/>
      </w:r>
      <w:r>
        <w:rPr>
          <w:sz w:val="18"/>
        </w:rPr>
      </w:r>
    </w:p>
    <w:p>
      <w:pPr>
        <w:spacing w:line="166" w:lineRule="exact" w:before="0"/>
        <w:ind w:left="327" w:right="-14" w:firstLine="0"/>
        <w:jc w:val="left"/>
        <w:rPr>
          <w:sz w:val="14"/>
        </w:rPr>
      </w:pPr>
      <w:r>
        <w:rPr>
          <w:sz w:val="14"/>
        </w:rPr>
        <w:t>Ms Gillian</w:t>
      </w:r>
      <w:r>
        <w:rPr>
          <w:spacing w:val="-33"/>
          <w:sz w:val="14"/>
        </w:rPr>
        <w:t> </w:t>
      </w:r>
      <w:r>
        <w:rPr>
          <w:sz w:val="14"/>
        </w:rPr>
        <w:t>Shadwick, </w:t>
      </w:r>
      <w:r>
        <w:rPr>
          <w:spacing w:val="2"/>
          <w:sz w:val="14"/>
        </w:rPr>
        <w:t>Deputy</w:t>
      </w:r>
      <w:r>
        <w:rPr>
          <w:spacing w:val="-13"/>
          <w:sz w:val="14"/>
        </w:rPr>
        <w:t> </w:t>
      </w:r>
      <w:r>
        <w:rPr>
          <w:sz w:val="14"/>
        </w:rPr>
        <w:t>Chancellor</w:t>
      </w:r>
    </w:p>
    <w:p>
      <w:pPr>
        <w:pStyle w:val="BodyText"/>
        <w:spacing w:before="9"/>
        <w:rPr>
          <w:sz w:val="17"/>
        </w:rPr>
      </w:pPr>
      <w:r>
        <w:rPr/>
        <w:br w:type="column"/>
      </w:r>
      <w:r>
        <w:rPr>
          <w:sz w:val="17"/>
        </w:rPr>
      </w:r>
    </w:p>
    <w:p>
      <w:pPr>
        <w:tabs>
          <w:tab w:pos="2046" w:val="left" w:leader="none"/>
        </w:tabs>
        <w:spacing w:before="0"/>
        <w:ind w:left="327" w:right="0" w:firstLine="0"/>
        <w:jc w:val="left"/>
        <w:rPr>
          <w:sz w:val="14"/>
        </w:rPr>
      </w:pPr>
      <w:r>
        <w:rPr>
          <w:sz w:val="14"/>
        </w:rPr>
        <w:t>Ms</w:t>
      </w:r>
      <w:r>
        <w:rPr>
          <w:spacing w:val="-15"/>
          <w:sz w:val="14"/>
        </w:rPr>
        <w:t> </w:t>
      </w:r>
      <w:r>
        <w:rPr>
          <w:sz w:val="14"/>
        </w:rPr>
        <w:t>Gabrielle</w:t>
      </w:r>
      <w:r>
        <w:rPr>
          <w:spacing w:val="-15"/>
          <w:sz w:val="14"/>
        </w:rPr>
        <w:t> </w:t>
      </w:r>
      <w:r>
        <w:rPr>
          <w:sz w:val="14"/>
        </w:rPr>
        <w:t>Trainor</w:t>
        <w:tab/>
        <w:t>Mr Peeyush</w:t>
      </w:r>
      <w:r>
        <w:rPr>
          <w:spacing w:val="-21"/>
          <w:sz w:val="14"/>
        </w:rPr>
        <w:t> </w:t>
      </w:r>
      <w:r>
        <w:rPr>
          <w:sz w:val="14"/>
        </w:rPr>
        <w:t>Gupta</w:t>
      </w:r>
    </w:p>
    <w:p>
      <w:pPr>
        <w:spacing w:after="0"/>
        <w:jc w:val="left"/>
        <w:rPr>
          <w:sz w:val="14"/>
        </w:rPr>
        <w:sectPr>
          <w:type w:val="continuous"/>
          <w:pgSz w:w="11910" w:h="16840"/>
          <w:pgMar w:top="1580" w:bottom="280" w:left="580" w:right="580"/>
          <w:cols w:num="4" w:equalWidth="0">
            <w:col w:w="1701" w:space="40"/>
            <w:col w:w="1441" w:space="257"/>
            <w:col w:w="1551" w:space="168"/>
            <w:col w:w="5592"/>
          </w:cols>
        </w:sectPr>
      </w:pPr>
    </w:p>
    <w:p>
      <w:pPr>
        <w:pStyle w:val="BodyText"/>
        <w:rPr>
          <w:sz w:val="20"/>
        </w:rPr>
      </w:pPr>
    </w:p>
    <w:p>
      <w:pPr>
        <w:pStyle w:val="BodyText"/>
        <w:spacing w:before="11"/>
      </w:pPr>
    </w:p>
    <w:p>
      <w:pPr>
        <w:pStyle w:val="Heading7"/>
        <w:ind w:left="327" w:right="7611"/>
      </w:pPr>
      <w:r>
        <w:rPr>
          <w:w w:val="95"/>
        </w:rPr>
        <w:t>ELECTED MEMBERS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type w:val="continuous"/>
          <w:pgSz w:w="11910" w:h="16840"/>
          <w:pgMar w:top="1580" w:bottom="280" w:left="580" w:right="580"/>
        </w:sectPr>
      </w:pPr>
    </w:p>
    <w:p>
      <w:pPr>
        <w:pStyle w:val="BodyText"/>
        <w:spacing w:before="4"/>
        <w:rPr>
          <w:rFonts w:ascii="Gotham Narrow Bold"/>
          <w:b/>
          <w:sz w:val="20"/>
        </w:rPr>
      </w:pPr>
      <w:r>
        <w:rPr/>
        <w:pict>
          <v:group style="position:absolute;margin-left:34.015999pt;margin-top:45.355015pt;width:527.25pt;height:751.2pt;mso-position-horizontal-relative:page;mso-position-vertical-relative:page;z-index:-336568" coordorigin="680,907" coordsize="10545,15024">
            <v:rect style="position:absolute;left:680;top:907;width:10545;height:15024" filled="true" fillcolor="#e9e9e9" stroked="false">
              <v:fill type="solid"/>
            </v:rect>
            <v:line style="position:absolute" from="907,10355" to="9279,10355" stroked="true" strokeweight="1.5pt" strokecolor="#000000"/>
            <v:shape style="position:absolute;left:907;top:10781;width:1493;height:1644" type="#_x0000_t75" stroked="false">
              <v:imagedata r:id="rId14" o:title=""/>
            </v:shape>
            <v:shape style="position:absolute;left:4346;top:10781;width:1493;height:1644" type="#_x0000_t75" stroked="false">
              <v:imagedata r:id="rId15" o:title=""/>
            </v:shape>
            <v:shape style="position:absolute;left:2627;top:10781;width:1493;height:1644" type="#_x0000_t75" stroked="false">
              <v:imagedata r:id="rId16" o:title=""/>
            </v:shape>
            <v:shape style="position:absolute;left:6066;top:10781;width:1493;height:1644" type="#_x0000_t75" stroked="false">
              <v:imagedata r:id="rId17" o:title=""/>
            </v:shape>
            <v:shape style="position:absolute;left:7786;top:10781;width:1493;height:1644" type="#_x0000_t75" stroked="false">
              <v:imagedata r:id="rId18" o:title=""/>
            </v:shape>
            <v:line style="position:absolute" from="907,7465" to="10998,7465" stroked="true" strokeweight="1.5pt" strokecolor="#000000"/>
            <v:shape style="position:absolute;left:907;top:7891;width:1493;height:1644" type="#_x0000_t75" stroked="false">
              <v:imagedata r:id="rId19" o:title=""/>
            </v:shape>
            <v:shape style="position:absolute;left:2627;top:7891;width:1493;height:1644" type="#_x0000_t75" stroked="false">
              <v:imagedata r:id="rId20" o:title=""/>
            </v:shape>
            <v:shape style="position:absolute;left:4346;top:7891;width:1493;height:1644" type="#_x0000_t75" stroked="false">
              <v:imagedata r:id="rId21" o:title=""/>
            </v:shape>
            <v:shape style="position:absolute;left:6066;top:7891;width:1493;height:1644" type="#_x0000_t75" stroked="false">
              <v:imagedata r:id="rId22" o:title=""/>
            </v:shape>
            <v:shape style="position:absolute;left:7786;top:7891;width:1493;height:1644" type="#_x0000_t75" stroked="false">
              <v:imagedata r:id="rId23" o:title=""/>
            </v:shape>
            <v:shape style="position:absolute;left:9506;top:7891;width:1493;height:1644" type="#_x0000_t75" stroked="false">
              <v:imagedata r:id="rId24" o:title=""/>
            </v:shape>
            <v:line style="position:absolute" from="907,13226" to="9279,13226" stroked="true" strokeweight="1.5pt" strokecolor="#000000"/>
            <v:shape style="position:absolute;left:907;top:13652;width:1493;height:1644" type="#_x0000_t75" stroked="false">
              <v:imagedata r:id="rId25" o:title=""/>
            </v:shape>
            <v:shape style="position:absolute;left:2627;top:13652;width:1493;height:1644" type="#_x0000_t75" stroked="false">
              <v:imagedata r:id="rId26" o:title=""/>
            </v:shape>
            <v:shape style="position:absolute;left:6066;top:13652;width:1493;height:1644" type="#_x0000_t75" stroked="false">
              <v:imagedata r:id="rId27" o:title=""/>
            </v:shape>
            <v:shape style="position:absolute;left:7786;top:13652;width:1493;height:1644" type="#_x0000_t75" stroked="false">
              <v:imagedata r:id="rId28" o:title=""/>
            </v:shape>
            <v:shape style="position:absolute;left:4346;top:13652;width:1493;height:1644" type="#_x0000_t75" stroked="false">
              <v:imagedata r:id="rId29" o:title=""/>
            </v:shape>
            <v:line style="position:absolute" from="907,4415" to="5839,4415" stroked="true" strokeweight="1.5pt" strokecolor="#000000"/>
            <v:shape style="position:absolute;left:4346;top:4840;width:1493;height:1661" type="#_x0000_t75" stroked="false">
              <v:imagedata r:id="rId30" o:title=""/>
            </v:shape>
            <v:shape style="position:absolute;left:907;top:4840;width:1493;height:1661" type="#_x0000_t75" stroked="false">
              <v:imagedata r:id="rId31" o:title=""/>
            </v:shape>
            <v:shape style="position:absolute;left:2627;top:4840;width:1493;height:1661" type="#_x0000_t75" stroked="false">
              <v:imagedata r:id="rId32" o:title=""/>
            </v:shape>
            <w10:wrap type="none"/>
          </v:group>
        </w:pict>
      </w:r>
    </w:p>
    <w:p>
      <w:pPr>
        <w:spacing w:line="166" w:lineRule="exact" w:before="0"/>
        <w:ind w:left="327" w:right="-15" w:firstLine="0"/>
        <w:jc w:val="left"/>
        <w:rPr>
          <w:sz w:val="14"/>
        </w:rPr>
      </w:pPr>
      <w:r>
        <w:rPr>
          <w:sz w:val="14"/>
        </w:rPr>
        <w:t>Mr</w:t>
      </w:r>
      <w:r>
        <w:rPr>
          <w:spacing w:val="-20"/>
          <w:sz w:val="14"/>
        </w:rPr>
        <w:t> </w:t>
      </w:r>
      <w:r>
        <w:rPr>
          <w:sz w:val="14"/>
        </w:rPr>
        <w:t>Tim</w:t>
      </w:r>
      <w:r>
        <w:rPr>
          <w:spacing w:val="-20"/>
          <w:sz w:val="14"/>
        </w:rPr>
        <w:t> </w:t>
      </w:r>
      <w:r>
        <w:rPr>
          <w:sz w:val="14"/>
        </w:rPr>
        <w:t>Ferraro, Graduate</w:t>
      </w:r>
    </w:p>
    <w:p>
      <w:pPr>
        <w:pStyle w:val="BodyText"/>
        <w:spacing w:before="3"/>
        <w:rPr>
          <w:sz w:val="20"/>
        </w:rPr>
      </w:pPr>
      <w:r>
        <w:rPr/>
        <w:br w:type="column"/>
      </w:r>
      <w:r>
        <w:rPr>
          <w:sz w:val="20"/>
        </w:rPr>
      </w:r>
    </w:p>
    <w:p>
      <w:pPr>
        <w:spacing w:line="166" w:lineRule="exact" w:before="0"/>
        <w:ind w:left="327" w:right="-13" w:firstLine="0"/>
        <w:jc w:val="left"/>
        <w:rPr>
          <w:sz w:val="14"/>
        </w:rPr>
      </w:pPr>
      <w:r>
        <w:rPr>
          <w:sz w:val="14"/>
        </w:rPr>
        <w:t>Ms Sophie Kobuch, Postgraduate Student</w:t>
      </w:r>
    </w:p>
    <w:p>
      <w:pPr>
        <w:pStyle w:val="BodyText"/>
        <w:spacing w:before="3"/>
        <w:rPr>
          <w:sz w:val="20"/>
        </w:rPr>
      </w:pPr>
      <w:r>
        <w:rPr/>
        <w:br w:type="column"/>
      </w:r>
      <w:r>
        <w:rPr>
          <w:sz w:val="20"/>
        </w:rPr>
      </w:r>
    </w:p>
    <w:p>
      <w:pPr>
        <w:spacing w:line="166" w:lineRule="exact" w:before="0"/>
        <w:ind w:left="327" w:right="-14" w:firstLine="0"/>
        <w:jc w:val="left"/>
        <w:rPr>
          <w:sz w:val="14"/>
        </w:rPr>
      </w:pPr>
      <w:r>
        <w:rPr>
          <w:sz w:val="14"/>
        </w:rPr>
        <w:t>Ms Jenny</w:t>
      </w:r>
      <w:r>
        <w:rPr>
          <w:spacing w:val="-30"/>
          <w:sz w:val="14"/>
        </w:rPr>
        <w:t> </w:t>
      </w:r>
      <w:r>
        <w:rPr>
          <w:sz w:val="14"/>
        </w:rPr>
        <w:t>Purcell, </w:t>
      </w:r>
      <w:r>
        <w:rPr>
          <w:spacing w:val="2"/>
          <w:sz w:val="14"/>
        </w:rPr>
        <w:t>General</w:t>
      </w:r>
      <w:r>
        <w:rPr>
          <w:spacing w:val="-28"/>
          <w:sz w:val="14"/>
        </w:rPr>
        <w:t> </w:t>
      </w:r>
      <w:r>
        <w:rPr>
          <w:sz w:val="14"/>
        </w:rPr>
        <w:t>Staff</w:t>
      </w:r>
    </w:p>
    <w:p>
      <w:pPr>
        <w:pStyle w:val="BodyText"/>
        <w:spacing w:before="3"/>
        <w:rPr>
          <w:sz w:val="20"/>
        </w:rPr>
      </w:pPr>
      <w:r>
        <w:rPr/>
        <w:br w:type="column"/>
      </w:r>
      <w:r>
        <w:rPr>
          <w:sz w:val="20"/>
        </w:rPr>
      </w:r>
    </w:p>
    <w:p>
      <w:pPr>
        <w:spacing w:line="166" w:lineRule="exact" w:before="0"/>
        <w:ind w:left="327" w:right="-13" w:firstLine="0"/>
        <w:jc w:val="left"/>
        <w:rPr>
          <w:sz w:val="14"/>
        </w:rPr>
      </w:pPr>
      <w:r>
        <w:rPr>
          <w:sz w:val="14"/>
        </w:rPr>
        <w:t>Dr Ben</w:t>
      </w:r>
      <w:r>
        <w:rPr>
          <w:spacing w:val="-26"/>
          <w:sz w:val="14"/>
        </w:rPr>
        <w:t> </w:t>
      </w:r>
      <w:r>
        <w:rPr>
          <w:sz w:val="14"/>
        </w:rPr>
        <w:t>Etherington, Academic</w:t>
      </w:r>
      <w:r>
        <w:rPr>
          <w:spacing w:val="9"/>
          <w:sz w:val="14"/>
        </w:rPr>
        <w:t> </w:t>
      </w:r>
      <w:r>
        <w:rPr>
          <w:sz w:val="14"/>
        </w:rPr>
        <w:t>Staff</w:t>
      </w:r>
    </w:p>
    <w:p>
      <w:pPr>
        <w:pStyle w:val="BodyText"/>
        <w:spacing w:before="3"/>
        <w:rPr>
          <w:sz w:val="20"/>
        </w:rPr>
      </w:pPr>
      <w:r>
        <w:rPr/>
        <w:br w:type="column"/>
      </w:r>
      <w:r>
        <w:rPr>
          <w:sz w:val="20"/>
        </w:rPr>
      </w:r>
    </w:p>
    <w:p>
      <w:pPr>
        <w:spacing w:line="166" w:lineRule="exact" w:before="0"/>
        <w:ind w:left="327" w:right="2078" w:firstLine="0"/>
        <w:jc w:val="left"/>
        <w:rPr>
          <w:sz w:val="14"/>
        </w:rPr>
      </w:pPr>
      <w:r>
        <w:rPr>
          <w:sz w:val="14"/>
        </w:rPr>
        <w:t>Ms Winnie Jobanputra, Undergraduate Student</w:t>
      </w:r>
    </w:p>
    <w:p>
      <w:pPr>
        <w:spacing w:after="0" w:line="166" w:lineRule="exact"/>
        <w:jc w:val="left"/>
        <w:rPr>
          <w:sz w:val="14"/>
        </w:rPr>
        <w:sectPr>
          <w:type w:val="continuous"/>
          <w:pgSz w:w="11910" w:h="16840"/>
          <w:pgMar w:top="1580" w:bottom="280" w:left="580" w:right="580"/>
          <w:cols w:num="5" w:equalWidth="0">
            <w:col w:w="1260" w:space="460"/>
            <w:col w:w="1670" w:space="50"/>
            <w:col w:w="1370" w:space="350"/>
            <w:col w:w="1534" w:space="186"/>
            <w:col w:w="3870"/>
          </w:cols>
        </w:sectPr>
      </w:pPr>
    </w:p>
    <w:p>
      <w:pPr>
        <w:pStyle w:val="BodyText"/>
        <w:spacing w:before="9"/>
        <w:rPr>
          <w:sz w:val="28"/>
        </w:rPr>
      </w:pPr>
    </w:p>
    <w:p>
      <w:pPr>
        <w:pStyle w:val="Heading2"/>
        <w:spacing w:line="240" w:lineRule="auto" w:before="27"/>
        <w:ind w:right="6763"/>
        <w:rPr>
          <w:b w:val="0"/>
        </w:rPr>
      </w:pPr>
      <w:bookmarkStart w:name="_TOC_250053" w:id="1"/>
      <w:bookmarkEnd w:id="1"/>
      <w:r>
        <w:rPr>
          <w:b w:val="0"/>
        </w:rPr>
        <w:t>The Organisation</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5"/>
        </w:rPr>
      </w:pPr>
    </w:p>
    <w:p>
      <w:pPr>
        <w:spacing w:after="0"/>
        <w:rPr>
          <w:rFonts w:ascii="Chronicle Text G1"/>
          <w:sz w:val="25"/>
        </w:rPr>
        <w:sectPr>
          <w:pgSz w:w="11910" w:h="16840"/>
          <w:pgMar w:header="496" w:footer="472" w:top="680" w:bottom="660" w:left="800" w:right="800"/>
        </w:sectPr>
      </w:pPr>
    </w:p>
    <w:p>
      <w:pPr>
        <w:pStyle w:val="Heading5"/>
        <w:spacing w:line="260" w:lineRule="exact" w:before="87"/>
        <w:ind w:right="549"/>
      </w:pPr>
      <w:bookmarkStart w:name="_TOC_250052" w:id="2"/>
      <w:bookmarkEnd w:id="2"/>
      <w:r>
        <w:rPr>
          <w:w w:val="95"/>
        </w:rPr>
        <w:t>CHARTER, PURPOSE AND LEGISLATION</w:t>
      </w:r>
    </w:p>
    <w:p>
      <w:pPr>
        <w:pStyle w:val="BodyText"/>
        <w:spacing w:line="247" w:lineRule="auto" w:before="101"/>
        <w:ind w:left="107" w:right="-8"/>
      </w:pPr>
      <w:r>
        <w:rPr/>
        <w:t>Western Sydney University is established </w:t>
      </w:r>
      <w:r>
        <w:rPr>
          <w:w w:val="95"/>
        </w:rPr>
        <w:t>under</w:t>
      </w:r>
      <w:r>
        <w:rPr>
          <w:spacing w:val="-24"/>
          <w:w w:val="95"/>
        </w:rPr>
        <w:t> </w:t>
      </w:r>
      <w:r>
        <w:rPr>
          <w:w w:val="95"/>
        </w:rPr>
        <w:t>the</w:t>
      </w:r>
      <w:r>
        <w:rPr>
          <w:spacing w:val="-24"/>
          <w:w w:val="95"/>
        </w:rPr>
        <w:t> </w:t>
      </w:r>
      <w:r>
        <w:rPr>
          <w:rFonts w:ascii="Century Gothic"/>
          <w:i/>
          <w:w w:val="95"/>
        </w:rPr>
        <w:t>Western</w:t>
      </w:r>
      <w:r>
        <w:rPr>
          <w:rFonts w:ascii="Century Gothic"/>
          <w:i/>
          <w:spacing w:val="-19"/>
          <w:w w:val="95"/>
        </w:rPr>
        <w:t> </w:t>
      </w:r>
      <w:r>
        <w:rPr>
          <w:rFonts w:ascii="Century Gothic"/>
          <w:i/>
          <w:w w:val="95"/>
        </w:rPr>
        <w:t>Sydney</w:t>
      </w:r>
      <w:r>
        <w:rPr>
          <w:rFonts w:ascii="Century Gothic"/>
          <w:i/>
          <w:spacing w:val="-19"/>
          <w:w w:val="95"/>
        </w:rPr>
        <w:t> </w:t>
      </w:r>
      <w:r>
        <w:rPr>
          <w:rFonts w:ascii="Century Gothic"/>
          <w:i/>
          <w:w w:val="95"/>
        </w:rPr>
        <w:t>University</w:t>
      </w:r>
      <w:r>
        <w:rPr>
          <w:rFonts w:ascii="Century Gothic"/>
          <w:i/>
          <w:spacing w:val="-19"/>
          <w:w w:val="95"/>
        </w:rPr>
        <w:t> </w:t>
      </w:r>
      <w:r>
        <w:rPr>
          <w:rFonts w:ascii="Century Gothic"/>
          <w:i/>
          <w:w w:val="95"/>
        </w:rPr>
        <w:t>Act</w:t>
      </w:r>
      <w:r>
        <w:rPr>
          <w:rFonts w:ascii="Century Gothic"/>
          <w:i/>
          <w:spacing w:val="-19"/>
          <w:w w:val="95"/>
        </w:rPr>
        <w:t> </w:t>
      </w:r>
      <w:r>
        <w:rPr>
          <w:rFonts w:ascii="Century Gothic"/>
          <w:i/>
          <w:spacing w:val="-3"/>
          <w:w w:val="95"/>
        </w:rPr>
        <w:t>1997</w:t>
      </w:r>
      <w:r>
        <w:rPr>
          <w:spacing w:val="-3"/>
          <w:w w:val="95"/>
        </w:rPr>
        <w:t>. </w:t>
      </w:r>
      <w:r>
        <w:rPr/>
        <w:t>The University operates in accordance with this Act and the associated Western Sydney University By-law</w:t>
      </w:r>
      <w:r>
        <w:rPr>
          <w:spacing w:val="-24"/>
        </w:rPr>
        <w:t> </w:t>
      </w:r>
      <w:r>
        <w:rPr>
          <w:spacing w:val="2"/>
        </w:rPr>
        <w:t>2005.</w:t>
      </w:r>
    </w:p>
    <w:p>
      <w:pPr>
        <w:pStyle w:val="BodyText"/>
        <w:spacing w:before="2"/>
        <w:rPr>
          <w:sz w:val="14"/>
        </w:rPr>
      </w:pPr>
    </w:p>
    <w:p>
      <w:pPr>
        <w:pStyle w:val="BodyText"/>
        <w:spacing w:line="249" w:lineRule="auto"/>
        <w:ind w:left="107" w:right="94"/>
      </w:pPr>
      <w:r>
        <w:rPr/>
        <w:t>The Act constitutes the University and prescribes its functions and the authority of its governing body, the Board of Trustees. Section 8(1) of the Act defines the core object of the University as the promotion, within the limits of the University’s resources, of scholarship, research, free inquiry, the interaction of research and teaching, and academic excellence.”</w:t>
      </w:r>
    </w:p>
    <w:p>
      <w:pPr>
        <w:pStyle w:val="BodyText"/>
        <w:rPr>
          <w:sz w:val="14"/>
        </w:rPr>
      </w:pPr>
    </w:p>
    <w:p>
      <w:pPr>
        <w:pStyle w:val="BodyText"/>
        <w:spacing w:line="249" w:lineRule="auto"/>
        <w:ind w:left="107" w:right="-8"/>
      </w:pPr>
      <w:r>
        <w:rPr/>
        <w:t>The</w:t>
      </w:r>
      <w:r>
        <w:rPr>
          <w:spacing w:val="-16"/>
        </w:rPr>
        <w:t> </w:t>
      </w:r>
      <w:r>
        <w:rPr/>
        <w:t>Act</w:t>
      </w:r>
      <w:r>
        <w:rPr>
          <w:spacing w:val="-16"/>
        </w:rPr>
        <w:t> </w:t>
      </w:r>
      <w:r>
        <w:rPr/>
        <w:t>also</w:t>
      </w:r>
      <w:r>
        <w:rPr>
          <w:spacing w:val="-16"/>
        </w:rPr>
        <w:t> </w:t>
      </w:r>
      <w:r>
        <w:rPr/>
        <w:t>requires</w:t>
      </w:r>
      <w:r>
        <w:rPr>
          <w:spacing w:val="-16"/>
        </w:rPr>
        <w:t> </w:t>
      </w:r>
      <w:r>
        <w:rPr/>
        <w:t>the</w:t>
      </w:r>
      <w:r>
        <w:rPr>
          <w:spacing w:val="-16"/>
        </w:rPr>
        <w:t> </w:t>
      </w:r>
      <w:r>
        <w:rPr/>
        <w:t>University</w:t>
      </w:r>
      <w:r>
        <w:rPr>
          <w:spacing w:val="-16"/>
        </w:rPr>
        <w:t> </w:t>
      </w:r>
      <w:r>
        <w:rPr/>
        <w:t>to</w:t>
      </w:r>
      <w:r>
        <w:rPr>
          <w:spacing w:val="-16"/>
        </w:rPr>
        <w:t> </w:t>
      </w:r>
      <w:r>
        <w:rPr/>
        <w:t>have particular regard to the needs of Western Sydney</w:t>
      </w:r>
      <w:r>
        <w:rPr>
          <w:spacing w:val="-21"/>
        </w:rPr>
        <w:t> </w:t>
      </w:r>
      <w:r>
        <w:rPr/>
        <w:t>in</w:t>
      </w:r>
      <w:r>
        <w:rPr>
          <w:spacing w:val="-21"/>
        </w:rPr>
        <w:t> </w:t>
      </w:r>
      <w:r>
        <w:rPr/>
        <w:t>fulfilling</w:t>
      </w:r>
      <w:r>
        <w:rPr>
          <w:spacing w:val="-21"/>
        </w:rPr>
        <w:t> </w:t>
      </w:r>
      <w:r>
        <w:rPr/>
        <w:t>this</w:t>
      </w:r>
      <w:r>
        <w:rPr>
          <w:spacing w:val="-21"/>
        </w:rPr>
        <w:t> </w:t>
      </w:r>
      <w:r>
        <w:rPr/>
        <w:t>object.</w:t>
      </w:r>
    </w:p>
    <w:p>
      <w:pPr>
        <w:pStyle w:val="BodyText"/>
      </w:pPr>
    </w:p>
    <w:p>
      <w:pPr>
        <w:pStyle w:val="Heading5"/>
        <w:spacing w:before="136"/>
        <w:ind w:right="549"/>
      </w:pPr>
      <w:bookmarkStart w:name="_TOC_250051" w:id="3"/>
      <w:bookmarkEnd w:id="3"/>
      <w:r>
        <w:rPr>
          <w:w w:val="95"/>
        </w:rPr>
        <w:t>BOARD OF TRUSTEES</w:t>
      </w:r>
    </w:p>
    <w:p>
      <w:pPr>
        <w:pStyle w:val="Heading7"/>
        <w:spacing w:before="159"/>
        <w:ind w:right="549"/>
      </w:pPr>
      <w:r>
        <w:rPr>
          <w:w w:val="95"/>
        </w:rPr>
        <w:t>BOARD CHARTER</w:t>
      </w:r>
    </w:p>
    <w:p>
      <w:pPr>
        <w:pStyle w:val="BodyText"/>
        <w:spacing w:line="247" w:lineRule="auto" w:before="58"/>
        <w:ind w:left="107" w:right="120"/>
      </w:pPr>
      <w:r>
        <w:rPr/>
        <w:t>The Board of Trustees is the governing body</w:t>
      </w:r>
      <w:r>
        <w:rPr>
          <w:spacing w:val="-13"/>
        </w:rPr>
        <w:t> </w:t>
      </w:r>
      <w:r>
        <w:rPr/>
        <w:t>of</w:t>
      </w:r>
      <w:r>
        <w:rPr>
          <w:spacing w:val="-13"/>
        </w:rPr>
        <w:t> </w:t>
      </w:r>
      <w:r>
        <w:rPr/>
        <w:t>the</w:t>
      </w:r>
      <w:r>
        <w:rPr>
          <w:spacing w:val="-13"/>
        </w:rPr>
        <w:t> </w:t>
      </w:r>
      <w:r>
        <w:rPr/>
        <w:t>University</w:t>
      </w:r>
      <w:r>
        <w:rPr>
          <w:spacing w:val="-13"/>
        </w:rPr>
        <w:t> </w:t>
      </w:r>
      <w:r>
        <w:rPr/>
        <w:t>with</w:t>
      </w:r>
      <w:r>
        <w:rPr>
          <w:spacing w:val="-13"/>
        </w:rPr>
        <w:t> </w:t>
      </w:r>
      <w:r>
        <w:rPr/>
        <w:t>those</w:t>
      </w:r>
      <w:r>
        <w:rPr>
          <w:spacing w:val="-13"/>
        </w:rPr>
        <w:t> </w:t>
      </w:r>
      <w:r>
        <w:rPr/>
        <w:t>functions prescribed under the </w:t>
      </w:r>
      <w:r>
        <w:rPr>
          <w:rFonts w:ascii="Century Gothic"/>
          <w:i/>
        </w:rPr>
        <w:t>Western Sydney </w:t>
      </w:r>
      <w:r>
        <w:rPr>
          <w:rFonts w:ascii="Century Gothic"/>
          <w:i/>
        </w:rPr>
        <w:t>University</w:t>
      </w:r>
      <w:r>
        <w:rPr>
          <w:rFonts w:ascii="Century Gothic"/>
          <w:i/>
          <w:spacing w:val="-23"/>
        </w:rPr>
        <w:t> </w:t>
      </w:r>
      <w:r>
        <w:rPr>
          <w:rFonts w:ascii="Century Gothic"/>
          <w:i/>
        </w:rPr>
        <w:t>Act</w:t>
      </w:r>
      <w:r>
        <w:rPr>
          <w:rFonts w:ascii="Century Gothic"/>
          <w:i/>
          <w:spacing w:val="-23"/>
        </w:rPr>
        <w:t> </w:t>
      </w:r>
      <w:r>
        <w:rPr/>
        <w:t>1997.</w:t>
      </w:r>
      <w:r>
        <w:rPr>
          <w:spacing w:val="-28"/>
        </w:rPr>
        <w:t> </w:t>
      </w:r>
      <w:r>
        <w:rPr/>
        <w:t>The</w:t>
      </w:r>
      <w:r>
        <w:rPr>
          <w:spacing w:val="-28"/>
        </w:rPr>
        <w:t> </w:t>
      </w:r>
      <w:r>
        <w:rPr/>
        <w:t>Board</w:t>
      </w:r>
      <w:r>
        <w:rPr>
          <w:spacing w:val="-28"/>
        </w:rPr>
        <w:t> </w:t>
      </w:r>
      <w:r>
        <w:rPr>
          <w:spacing w:val="2"/>
        </w:rPr>
        <w:t>acts</w:t>
      </w:r>
      <w:r>
        <w:rPr>
          <w:spacing w:val="-28"/>
        </w:rPr>
        <w:t> </w:t>
      </w:r>
      <w:r>
        <w:rPr/>
        <w:t>for</w:t>
      </w:r>
      <w:r>
        <w:rPr>
          <w:spacing w:val="-28"/>
        </w:rPr>
        <w:t> </w:t>
      </w:r>
      <w:r>
        <w:rPr/>
        <w:t>and on</w:t>
      </w:r>
      <w:r>
        <w:rPr>
          <w:spacing w:val="-20"/>
        </w:rPr>
        <w:t> </w:t>
      </w:r>
      <w:r>
        <w:rPr/>
        <w:t>behalf</w:t>
      </w:r>
      <w:r>
        <w:rPr>
          <w:spacing w:val="-20"/>
        </w:rPr>
        <w:t> </w:t>
      </w:r>
      <w:r>
        <w:rPr/>
        <w:t>of</w:t>
      </w:r>
      <w:r>
        <w:rPr>
          <w:spacing w:val="-20"/>
        </w:rPr>
        <w:t> </w:t>
      </w:r>
      <w:r>
        <w:rPr/>
        <w:t>the</w:t>
      </w:r>
      <w:r>
        <w:rPr>
          <w:spacing w:val="-20"/>
        </w:rPr>
        <w:t> </w:t>
      </w:r>
      <w:r>
        <w:rPr/>
        <w:t>University.</w:t>
      </w:r>
      <w:r>
        <w:rPr>
          <w:spacing w:val="-20"/>
        </w:rPr>
        <w:t> </w:t>
      </w:r>
      <w:r>
        <w:rPr/>
        <w:t>Its</w:t>
      </w:r>
      <w:r>
        <w:rPr>
          <w:spacing w:val="-20"/>
        </w:rPr>
        <w:t> </w:t>
      </w:r>
      <w:r>
        <w:rPr/>
        <w:t>key</w:t>
      </w:r>
      <w:r>
        <w:rPr>
          <w:spacing w:val="-20"/>
        </w:rPr>
        <w:t> </w:t>
      </w:r>
      <w:r>
        <w:rPr/>
        <w:t>functions are</w:t>
      </w:r>
      <w:r>
        <w:rPr>
          <w:spacing w:val="-13"/>
        </w:rPr>
        <w:t> </w:t>
      </w:r>
      <w:r>
        <w:rPr/>
        <w:t>to</w:t>
      </w:r>
      <w:r>
        <w:rPr>
          <w:spacing w:val="-13"/>
        </w:rPr>
        <w:t> </w:t>
      </w:r>
      <w:r>
        <w:rPr/>
        <w:t>develop</w:t>
      </w:r>
      <w:r>
        <w:rPr>
          <w:spacing w:val="-13"/>
        </w:rPr>
        <w:t> </w:t>
      </w:r>
      <w:r>
        <w:rPr/>
        <w:t>broad</w:t>
      </w:r>
      <w:r>
        <w:rPr>
          <w:spacing w:val="-13"/>
        </w:rPr>
        <w:t> </w:t>
      </w:r>
      <w:r>
        <w:rPr/>
        <w:t>policies</w:t>
      </w:r>
      <w:r>
        <w:rPr>
          <w:spacing w:val="-13"/>
        </w:rPr>
        <w:t> </w:t>
      </w:r>
      <w:r>
        <w:rPr/>
        <w:t>and</w:t>
      </w:r>
      <w:r>
        <w:rPr>
          <w:spacing w:val="-13"/>
        </w:rPr>
        <w:t> </w:t>
      </w:r>
      <w:r>
        <w:rPr/>
        <w:t>strategic</w:t>
      </w:r>
    </w:p>
    <w:p>
      <w:pPr>
        <w:pStyle w:val="BodyText"/>
        <w:spacing w:line="249" w:lineRule="auto" w:before="1"/>
        <w:ind w:left="107" w:right="120"/>
      </w:pPr>
      <w:r>
        <w:rPr/>
        <w:t>plans</w:t>
      </w:r>
      <w:r>
        <w:rPr>
          <w:spacing w:val="-18"/>
        </w:rPr>
        <w:t> </w:t>
      </w:r>
      <w:r>
        <w:rPr/>
        <w:t>with</w:t>
      </w:r>
      <w:r>
        <w:rPr>
          <w:spacing w:val="-18"/>
        </w:rPr>
        <w:t> </w:t>
      </w:r>
      <w:r>
        <w:rPr/>
        <w:t>respect</w:t>
      </w:r>
      <w:r>
        <w:rPr>
          <w:spacing w:val="-18"/>
        </w:rPr>
        <w:t> </w:t>
      </w:r>
      <w:r>
        <w:rPr/>
        <w:t>to</w:t>
      </w:r>
      <w:r>
        <w:rPr>
          <w:spacing w:val="-18"/>
        </w:rPr>
        <w:t> </w:t>
      </w:r>
      <w:r>
        <w:rPr/>
        <w:t>the</w:t>
      </w:r>
      <w:r>
        <w:rPr>
          <w:spacing w:val="-18"/>
        </w:rPr>
        <w:t> </w:t>
      </w:r>
      <w:r>
        <w:rPr/>
        <w:t>University,</w:t>
      </w:r>
      <w:r>
        <w:rPr>
          <w:spacing w:val="-18"/>
        </w:rPr>
        <w:t> </w:t>
      </w:r>
      <w:r>
        <w:rPr/>
        <w:t>manage the University’s resources and monitor the University’s</w:t>
      </w:r>
      <w:r>
        <w:rPr>
          <w:spacing w:val="-23"/>
        </w:rPr>
        <w:t> </w:t>
      </w:r>
      <w:r>
        <w:rPr/>
        <w:t>performance.</w:t>
      </w:r>
      <w:r>
        <w:rPr>
          <w:spacing w:val="-23"/>
        </w:rPr>
        <w:t> </w:t>
      </w:r>
      <w:r>
        <w:rPr/>
        <w:t>The</w:t>
      </w:r>
      <w:r>
        <w:rPr>
          <w:spacing w:val="-23"/>
        </w:rPr>
        <w:t> </w:t>
      </w:r>
      <w:r>
        <w:rPr/>
        <w:t>members</w:t>
      </w:r>
    </w:p>
    <w:p>
      <w:pPr>
        <w:pStyle w:val="BodyText"/>
        <w:spacing w:line="249" w:lineRule="auto"/>
        <w:ind w:left="107" w:right="-20"/>
      </w:pPr>
      <w:r>
        <w:rPr/>
        <w:t>– official, appointed and elected – meet approximately six times each year in addition to a strategic planning day. The Board</w:t>
      </w:r>
    </w:p>
    <w:p>
      <w:pPr>
        <w:pStyle w:val="BodyText"/>
        <w:spacing w:line="249" w:lineRule="auto"/>
        <w:ind w:left="107" w:right="-8"/>
      </w:pPr>
      <w:r>
        <w:rPr/>
        <w:t>is supported in its work by a number of specialist committees and advisory councils.</w:t>
      </w:r>
    </w:p>
    <w:p>
      <w:pPr>
        <w:pStyle w:val="BodyText"/>
        <w:rPr>
          <w:sz w:val="14"/>
        </w:rPr>
      </w:pPr>
    </w:p>
    <w:p>
      <w:pPr>
        <w:pStyle w:val="BodyText"/>
        <w:spacing w:line="247" w:lineRule="auto"/>
        <w:ind w:left="107" w:right="45"/>
        <w:rPr>
          <w:rFonts w:ascii="Calibri" w:hAnsi="Calibri"/>
        </w:rPr>
      </w:pPr>
      <w:r>
        <w:rPr/>
        <w:t>Details</w:t>
      </w:r>
      <w:r>
        <w:rPr>
          <w:spacing w:val="-18"/>
        </w:rPr>
        <w:t> </w:t>
      </w:r>
      <w:r>
        <w:rPr/>
        <w:t>about</w:t>
      </w:r>
      <w:r>
        <w:rPr>
          <w:spacing w:val="-18"/>
        </w:rPr>
        <w:t> </w:t>
      </w:r>
      <w:r>
        <w:rPr/>
        <w:t>the</w:t>
      </w:r>
      <w:r>
        <w:rPr>
          <w:spacing w:val="-18"/>
        </w:rPr>
        <w:t> </w:t>
      </w:r>
      <w:r>
        <w:rPr/>
        <w:t>Board,</w:t>
      </w:r>
      <w:r>
        <w:rPr>
          <w:spacing w:val="-18"/>
        </w:rPr>
        <w:t> </w:t>
      </w:r>
      <w:r>
        <w:rPr/>
        <w:t>including</w:t>
      </w:r>
      <w:r>
        <w:rPr>
          <w:spacing w:val="-18"/>
        </w:rPr>
        <w:t> </w:t>
      </w:r>
      <w:r>
        <w:rPr/>
        <w:t>summaries and minutes of meetings are published on the University’s web site at: </w:t>
      </w:r>
      <w:r>
        <w:rPr>
          <w:rFonts w:ascii="Calibri" w:hAnsi="Calibri"/>
        </w:rPr>
        <w:t>westernsydney. </w:t>
      </w:r>
      <w:r>
        <w:rPr>
          <w:rFonts w:ascii="Calibri" w:hAnsi="Calibri"/>
          <w:spacing w:val="2"/>
        </w:rPr>
        <w:t>edu.au/about_uws/leadership/board_of_ trustees/board_meetings</w:t>
      </w:r>
    </w:p>
    <w:p>
      <w:pPr>
        <w:pStyle w:val="BodyText"/>
        <w:spacing w:before="2"/>
        <w:rPr>
          <w:rFonts w:ascii="Calibri"/>
          <w:sz w:val="13"/>
        </w:rPr>
      </w:pPr>
    </w:p>
    <w:p>
      <w:pPr>
        <w:pStyle w:val="BodyText"/>
        <w:spacing w:line="249" w:lineRule="auto"/>
        <w:ind w:left="107" w:right="378"/>
      </w:pPr>
      <w:r>
        <w:rPr/>
        <w:t>The compliance statement of the Board of Trustees is contained in Appendix </w:t>
      </w:r>
      <w:r>
        <w:rPr>
          <w:w w:val="95"/>
        </w:rPr>
        <w:t>1 </w:t>
      </w:r>
      <w:r>
        <w:rPr/>
        <w:t>of this report.</w:t>
      </w:r>
    </w:p>
    <w:p>
      <w:pPr>
        <w:pStyle w:val="Heading7"/>
        <w:spacing w:line="249" w:lineRule="auto" w:before="77"/>
        <w:ind w:right="1195"/>
      </w:pPr>
      <w:r>
        <w:rPr>
          <w:b w:val="0"/>
        </w:rPr>
        <w:br w:type="column"/>
      </w:r>
      <w:r>
        <w:rPr/>
        <w:t>SUMMARY OF KEY BOARD </w:t>
      </w:r>
      <w:r>
        <w:rPr>
          <w:w w:val="95"/>
        </w:rPr>
        <w:t>DELIBERATIONS IN 2016</w:t>
      </w:r>
    </w:p>
    <w:p>
      <w:pPr>
        <w:pStyle w:val="BodyText"/>
        <w:spacing w:line="249" w:lineRule="auto" w:before="50"/>
        <w:ind w:left="107" w:right="86"/>
      </w:pPr>
      <w:r>
        <w:rPr>
          <w:w w:val="94"/>
        </w:rPr>
        <w:t>The </w:t>
      </w:r>
      <w:r>
        <w:rPr>
          <w:w w:val="99"/>
        </w:rPr>
        <w:t>Board </w:t>
      </w:r>
      <w:r>
        <w:rPr>
          <w:w w:val="99"/>
        </w:rPr>
        <w:t>of </w:t>
      </w:r>
      <w:r>
        <w:rPr>
          <w:w w:val="95"/>
        </w:rPr>
        <w:t>Trustees </w:t>
      </w:r>
      <w:r>
        <w:rPr>
          <w:w w:val="99"/>
        </w:rPr>
        <w:t>approved </w:t>
      </w:r>
      <w:r>
        <w:rPr>
          <w:w w:val="97"/>
        </w:rPr>
        <w:t>the </w:t>
      </w:r>
      <w:r>
        <w:rPr>
          <w:w w:val="82"/>
        </w:rPr>
        <w:t>10 </w:t>
      </w:r>
      <w:r>
        <w:rPr>
          <w:w w:val="97"/>
        </w:rPr>
        <w:t>Year </w:t>
      </w:r>
      <w:r>
        <w:rPr/>
        <w:t>Commercial and Estate Plan, replacing the </w:t>
      </w:r>
      <w:r>
        <w:rPr>
          <w:w w:val="97"/>
        </w:rPr>
        <w:t>previous </w:t>
      </w:r>
      <w:r>
        <w:rPr>
          <w:w w:val="97"/>
        </w:rPr>
        <w:t>Plan </w:t>
      </w:r>
      <w:r>
        <w:rPr>
          <w:w w:val="99"/>
        </w:rPr>
        <w:t>developed </w:t>
      </w:r>
      <w:r>
        <w:rPr>
          <w:w w:val="95"/>
        </w:rPr>
        <w:t>in </w:t>
      </w:r>
      <w:r>
        <w:rPr>
          <w:w w:val="86"/>
        </w:rPr>
        <w:t>2014. </w:t>
      </w:r>
      <w:r>
        <w:rPr>
          <w:w w:val="80"/>
        </w:rPr>
        <w:t>In </w:t>
      </w:r>
      <w:r>
        <w:rPr>
          <w:w w:val="95"/>
        </w:rPr>
        <w:t>line </w:t>
      </w:r>
      <w:r>
        <w:rPr>
          <w:w w:val="98"/>
        </w:rPr>
        <w:t>with </w:t>
      </w:r>
      <w:r>
        <w:rPr/>
        <w:t>this Plan, the Board approved the lease of the purpose-built Higher Education Centre </w:t>
      </w:r>
      <w:r>
        <w:rPr>
          <w:w w:val="98"/>
        </w:rPr>
        <w:t>at </w:t>
      </w:r>
      <w:r>
        <w:rPr>
          <w:w w:val="92"/>
        </w:rPr>
        <w:t>100 </w:t>
      </w:r>
      <w:r>
        <w:rPr>
          <w:w w:val="97"/>
        </w:rPr>
        <w:t>Macquarie </w:t>
      </w:r>
      <w:r>
        <w:rPr>
          <w:w w:val="94"/>
        </w:rPr>
        <w:t>Street, </w:t>
      </w:r>
      <w:r>
        <w:rPr>
          <w:w w:val="96"/>
        </w:rPr>
        <w:t>Liverpool, </w:t>
      </w:r>
      <w:r>
        <w:rPr>
          <w:w w:val="97"/>
        </w:rPr>
        <w:t>allowing </w:t>
      </w:r>
      <w:r>
        <w:rPr/>
        <w:t>the University to expand higher education</w:t>
      </w:r>
    </w:p>
    <w:p>
      <w:pPr>
        <w:pStyle w:val="BodyText"/>
        <w:spacing w:line="249" w:lineRule="auto"/>
        <w:ind w:left="107" w:right="-6"/>
      </w:pPr>
      <w:r>
        <w:rPr/>
        <w:t>opportunities</w:t>
      </w:r>
      <w:r>
        <w:rPr>
          <w:spacing w:val="-16"/>
        </w:rPr>
        <w:t> </w:t>
      </w:r>
      <w:r>
        <w:rPr/>
        <w:t>for</w:t>
      </w:r>
      <w:r>
        <w:rPr>
          <w:spacing w:val="-16"/>
        </w:rPr>
        <w:t> </w:t>
      </w:r>
      <w:r>
        <w:rPr/>
        <w:t>residents</w:t>
      </w:r>
      <w:r>
        <w:rPr>
          <w:spacing w:val="-16"/>
        </w:rPr>
        <w:t> </w:t>
      </w:r>
      <w:r>
        <w:rPr/>
        <w:t>within</w:t>
      </w:r>
      <w:r>
        <w:rPr>
          <w:spacing w:val="-16"/>
        </w:rPr>
        <w:t> </w:t>
      </w:r>
      <w:r>
        <w:rPr/>
        <w:t>that</w:t>
      </w:r>
      <w:r>
        <w:rPr>
          <w:spacing w:val="-16"/>
        </w:rPr>
        <w:t> </w:t>
      </w:r>
      <w:r>
        <w:rPr/>
        <w:t>region. It also approved the consolidation of the National</w:t>
      </w:r>
      <w:r>
        <w:rPr>
          <w:spacing w:val="-17"/>
        </w:rPr>
        <w:t> </w:t>
      </w:r>
      <w:r>
        <w:rPr/>
        <w:t>Institute</w:t>
      </w:r>
      <w:r>
        <w:rPr>
          <w:spacing w:val="-17"/>
        </w:rPr>
        <w:t> </w:t>
      </w:r>
      <w:r>
        <w:rPr/>
        <w:t>of</w:t>
      </w:r>
      <w:r>
        <w:rPr>
          <w:spacing w:val="-17"/>
        </w:rPr>
        <w:t> </w:t>
      </w:r>
      <w:r>
        <w:rPr/>
        <w:t>Complementary</w:t>
      </w:r>
      <w:r>
        <w:rPr>
          <w:spacing w:val="-17"/>
        </w:rPr>
        <w:t> </w:t>
      </w:r>
      <w:r>
        <w:rPr/>
        <w:t>Medicine into</w:t>
      </w:r>
      <w:r>
        <w:rPr>
          <w:spacing w:val="-14"/>
        </w:rPr>
        <w:t> </w:t>
      </w:r>
      <w:r>
        <w:rPr/>
        <w:t>Westmead</w:t>
      </w:r>
      <w:r>
        <w:rPr>
          <w:spacing w:val="-14"/>
        </w:rPr>
        <w:t> </w:t>
      </w:r>
      <w:r>
        <w:rPr/>
        <w:t>Campus</w:t>
      </w:r>
      <w:r>
        <w:rPr>
          <w:spacing w:val="-14"/>
        </w:rPr>
        <w:t> </w:t>
      </w:r>
      <w:r>
        <w:rPr/>
        <w:t>and</w:t>
      </w:r>
      <w:r>
        <w:rPr>
          <w:spacing w:val="-14"/>
        </w:rPr>
        <w:t> </w:t>
      </w:r>
      <w:r>
        <w:rPr/>
        <w:t>the</w:t>
      </w:r>
      <w:r>
        <w:rPr>
          <w:spacing w:val="-14"/>
        </w:rPr>
        <w:t> </w:t>
      </w:r>
      <w:r>
        <w:rPr/>
        <w:t>relocation</w:t>
      </w:r>
      <w:r>
        <w:rPr>
          <w:spacing w:val="-14"/>
        </w:rPr>
        <w:t> </w:t>
      </w:r>
      <w:r>
        <w:rPr/>
        <w:t>of the</w:t>
      </w:r>
      <w:r>
        <w:rPr>
          <w:spacing w:val="-16"/>
        </w:rPr>
        <w:t> </w:t>
      </w:r>
      <w:r>
        <w:rPr/>
        <w:t>Western</w:t>
      </w:r>
      <w:r>
        <w:rPr>
          <w:spacing w:val="-16"/>
        </w:rPr>
        <w:t> </w:t>
      </w:r>
      <w:r>
        <w:rPr/>
        <w:t>Sydney</w:t>
      </w:r>
      <w:r>
        <w:rPr>
          <w:spacing w:val="-16"/>
        </w:rPr>
        <w:t> </w:t>
      </w:r>
      <w:r>
        <w:rPr/>
        <w:t>University</w:t>
      </w:r>
      <w:r>
        <w:rPr>
          <w:spacing w:val="-16"/>
        </w:rPr>
        <w:t> </w:t>
      </w:r>
      <w:r>
        <w:rPr/>
        <w:t>–</w:t>
      </w:r>
      <w:r>
        <w:rPr>
          <w:spacing w:val="-16"/>
        </w:rPr>
        <w:t> </w:t>
      </w:r>
      <w:r>
        <w:rPr/>
        <w:t>The</w:t>
      </w:r>
      <w:r>
        <w:rPr>
          <w:spacing w:val="-16"/>
        </w:rPr>
        <w:t> </w:t>
      </w:r>
      <w:r>
        <w:rPr/>
        <w:t>College to</w:t>
      </w:r>
      <w:r>
        <w:rPr>
          <w:spacing w:val="-14"/>
        </w:rPr>
        <w:t> </w:t>
      </w:r>
      <w:r>
        <w:rPr/>
        <w:t>Sydney</w:t>
      </w:r>
      <w:r>
        <w:rPr>
          <w:spacing w:val="-14"/>
        </w:rPr>
        <w:t> </w:t>
      </w:r>
      <w:r>
        <w:rPr/>
        <w:t>Olympic</w:t>
      </w:r>
      <w:r>
        <w:rPr>
          <w:spacing w:val="-14"/>
        </w:rPr>
        <w:t> </w:t>
      </w:r>
      <w:r>
        <w:rPr/>
        <w:t>Park</w:t>
      </w:r>
      <w:r>
        <w:rPr>
          <w:spacing w:val="-14"/>
        </w:rPr>
        <w:t> </w:t>
      </w:r>
      <w:r>
        <w:rPr/>
        <w:t>from</w:t>
      </w:r>
      <w:r>
        <w:rPr>
          <w:spacing w:val="-14"/>
        </w:rPr>
        <w:t> </w:t>
      </w:r>
      <w:r>
        <w:rPr/>
        <w:t>Westmead.</w:t>
      </w:r>
    </w:p>
    <w:p>
      <w:pPr>
        <w:pStyle w:val="BodyText"/>
        <w:rPr>
          <w:sz w:val="14"/>
        </w:rPr>
      </w:pPr>
    </w:p>
    <w:p>
      <w:pPr>
        <w:pStyle w:val="BodyText"/>
        <w:spacing w:line="249" w:lineRule="auto"/>
        <w:ind w:left="107" w:right="35"/>
      </w:pPr>
      <w:r>
        <w:rPr/>
        <w:t>The Board endorsed the University’s membership of the proposed Sydney School of Entrepreneurship, a not-for-profit joint venture between NSW universities and NSW TAFE, established by the NSW Government.</w:t>
      </w:r>
    </w:p>
    <w:p>
      <w:pPr>
        <w:pStyle w:val="BodyText"/>
        <w:rPr>
          <w:sz w:val="14"/>
        </w:rPr>
      </w:pPr>
    </w:p>
    <w:p>
      <w:pPr>
        <w:pStyle w:val="BodyText"/>
        <w:spacing w:line="249" w:lineRule="auto"/>
        <w:ind w:left="107" w:right="270"/>
      </w:pPr>
      <w:r>
        <w:rPr/>
        <w:t>In</w:t>
      </w:r>
      <w:r>
        <w:rPr>
          <w:spacing w:val="-21"/>
        </w:rPr>
        <w:t> </w:t>
      </w:r>
      <w:r>
        <w:rPr/>
        <w:t>line</w:t>
      </w:r>
      <w:r>
        <w:rPr>
          <w:spacing w:val="-21"/>
        </w:rPr>
        <w:t> </w:t>
      </w:r>
      <w:r>
        <w:rPr/>
        <w:t>with</w:t>
      </w:r>
      <w:r>
        <w:rPr>
          <w:spacing w:val="-21"/>
        </w:rPr>
        <w:t> </w:t>
      </w:r>
      <w:r>
        <w:rPr/>
        <w:t>modern</w:t>
      </w:r>
      <w:r>
        <w:rPr>
          <w:spacing w:val="-21"/>
        </w:rPr>
        <w:t> </w:t>
      </w:r>
      <w:r>
        <w:rPr/>
        <w:t>governance</w:t>
      </w:r>
      <w:r>
        <w:rPr>
          <w:spacing w:val="-21"/>
        </w:rPr>
        <w:t> </w:t>
      </w:r>
      <w:r>
        <w:rPr/>
        <w:t>protocols, the</w:t>
      </w:r>
      <w:r>
        <w:rPr>
          <w:spacing w:val="-16"/>
        </w:rPr>
        <w:t> </w:t>
      </w:r>
      <w:r>
        <w:rPr/>
        <w:t>Board</w:t>
      </w:r>
      <w:r>
        <w:rPr>
          <w:spacing w:val="-16"/>
        </w:rPr>
        <w:t> </w:t>
      </w:r>
      <w:r>
        <w:rPr/>
        <w:t>adopted</w:t>
      </w:r>
      <w:r>
        <w:rPr>
          <w:spacing w:val="-16"/>
        </w:rPr>
        <w:t> </w:t>
      </w:r>
      <w:r>
        <w:rPr/>
        <w:t>a</w:t>
      </w:r>
      <w:r>
        <w:rPr>
          <w:spacing w:val="-16"/>
        </w:rPr>
        <w:t> </w:t>
      </w:r>
      <w:r>
        <w:rPr/>
        <w:t>Charter,</w:t>
      </w:r>
      <w:r>
        <w:rPr>
          <w:spacing w:val="-16"/>
        </w:rPr>
        <w:t> </w:t>
      </w:r>
      <w:r>
        <w:rPr/>
        <w:t>a</w:t>
      </w:r>
      <w:r>
        <w:rPr>
          <w:spacing w:val="-16"/>
        </w:rPr>
        <w:t> </w:t>
      </w:r>
      <w:r>
        <w:rPr/>
        <w:t>high</w:t>
      </w:r>
      <w:r>
        <w:rPr>
          <w:spacing w:val="-16"/>
        </w:rPr>
        <w:t> </w:t>
      </w:r>
      <w:r>
        <w:rPr/>
        <w:t>level document that outlines the structure of the University and the Board as well as the respective roles of the Board and management. It also approved changes to</w:t>
      </w:r>
      <w:r>
        <w:rPr>
          <w:spacing w:val="-15"/>
        </w:rPr>
        <w:t> </w:t>
      </w:r>
      <w:r>
        <w:rPr/>
        <w:t>the</w:t>
      </w:r>
      <w:r>
        <w:rPr>
          <w:spacing w:val="-15"/>
        </w:rPr>
        <w:t> </w:t>
      </w:r>
      <w:r>
        <w:rPr/>
        <w:t>Western</w:t>
      </w:r>
      <w:r>
        <w:rPr>
          <w:spacing w:val="-15"/>
        </w:rPr>
        <w:t> </w:t>
      </w:r>
      <w:r>
        <w:rPr/>
        <w:t>Sydney</w:t>
      </w:r>
      <w:r>
        <w:rPr>
          <w:spacing w:val="-15"/>
        </w:rPr>
        <w:t> </w:t>
      </w:r>
      <w:r>
        <w:rPr/>
        <w:t>University</w:t>
      </w:r>
      <w:r>
        <w:rPr>
          <w:spacing w:val="-15"/>
        </w:rPr>
        <w:t> </w:t>
      </w:r>
      <w:r>
        <w:rPr/>
        <w:t>Act,</w:t>
      </w:r>
      <w:r>
        <w:rPr>
          <w:spacing w:val="-15"/>
        </w:rPr>
        <w:t> </w:t>
      </w:r>
      <w:r>
        <w:rPr/>
        <w:t>the</w:t>
      </w:r>
    </w:p>
    <w:p>
      <w:pPr>
        <w:pStyle w:val="BodyText"/>
        <w:spacing w:line="249" w:lineRule="auto"/>
        <w:ind w:left="107" w:right="-15"/>
      </w:pPr>
      <w:r>
        <w:rPr/>
        <w:t>Western Sydney By-law and Western Sydney University (Governance) Rule to improve governance and remove some anomalies.</w:t>
      </w:r>
    </w:p>
    <w:p>
      <w:pPr>
        <w:pStyle w:val="BodyText"/>
        <w:rPr>
          <w:sz w:val="14"/>
        </w:rPr>
      </w:pPr>
    </w:p>
    <w:p>
      <w:pPr>
        <w:spacing w:line="247" w:lineRule="auto" w:before="0"/>
        <w:ind w:left="107" w:right="304" w:firstLine="0"/>
        <w:jc w:val="left"/>
        <w:rPr>
          <w:sz w:val="16"/>
        </w:rPr>
      </w:pPr>
      <w:r>
        <w:rPr>
          <w:sz w:val="16"/>
        </w:rPr>
        <w:t>At its annual strategy day, the Board considered and approved the proposed </w:t>
      </w:r>
      <w:r>
        <w:rPr>
          <w:rFonts w:ascii="Century Gothic"/>
          <w:i/>
          <w:w w:val="95"/>
          <w:sz w:val="16"/>
        </w:rPr>
        <w:t>Transforming Western Sydney University </w:t>
      </w:r>
      <w:r>
        <w:rPr>
          <w:rFonts w:ascii="Century Gothic"/>
          <w:i/>
          <w:sz w:val="16"/>
        </w:rPr>
        <w:t>Initiative, </w:t>
      </w:r>
      <w:r>
        <w:rPr>
          <w:sz w:val="16"/>
        </w:rPr>
        <w:t>which consisted of a number of projects based around the themes</w:t>
      </w:r>
    </w:p>
    <w:p>
      <w:pPr>
        <w:pStyle w:val="BodyText"/>
        <w:spacing w:line="249" w:lineRule="auto" w:before="1"/>
        <w:ind w:left="107" w:right="108"/>
      </w:pPr>
      <w:r>
        <w:rPr/>
        <w:t>of people, systems, curriculum reform, environment and research. The purpose of the</w:t>
      </w:r>
      <w:r>
        <w:rPr>
          <w:spacing w:val="-21"/>
        </w:rPr>
        <w:t> </w:t>
      </w:r>
      <w:r>
        <w:rPr/>
        <w:t>Initiative</w:t>
      </w:r>
      <w:r>
        <w:rPr>
          <w:spacing w:val="-21"/>
        </w:rPr>
        <w:t> </w:t>
      </w:r>
      <w:r>
        <w:rPr/>
        <w:t>is</w:t>
      </w:r>
      <w:r>
        <w:rPr>
          <w:spacing w:val="-21"/>
        </w:rPr>
        <w:t> </w:t>
      </w:r>
      <w:r>
        <w:rPr/>
        <w:t>to</w:t>
      </w:r>
      <w:r>
        <w:rPr>
          <w:spacing w:val="-21"/>
        </w:rPr>
        <w:t> </w:t>
      </w:r>
      <w:r>
        <w:rPr/>
        <w:t>strengthen</w:t>
      </w:r>
      <w:r>
        <w:rPr>
          <w:spacing w:val="-21"/>
        </w:rPr>
        <w:t> </w:t>
      </w:r>
      <w:r>
        <w:rPr/>
        <w:t>the</w:t>
      </w:r>
      <w:r>
        <w:rPr>
          <w:spacing w:val="-21"/>
        </w:rPr>
        <w:t> </w:t>
      </w:r>
      <w:r>
        <w:rPr/>
        <w:t>University’s position,</w:t>
      </w:r>
      <w:r>
        <w:rPr>
          <w:spacing w:val="-20"/>
        </w:rPr>
        <w:t> </w:t>
      </w:r>
      <w:r>
        <w:rPr/>
        <w:t>standing</w:t>
      </w:r>
      <w:r>
        <w:rPr>
          <w:spacing w:val="-20"/>
        </w:rPr>
        <w:t> </w:t>
      </w:r>
      <w:r>
        <w:rPr/>
        <w:t>and</w:t>
      </w:r>
      <w:r>
        <w:rPr>
          <w:spacing w:val="-20"/>
        </w:rPr>
        <w:t> </w:t>
      </w:r>
      <w:r>
        <w:rPr/>
        <w:t>reputation,</w:t>
      </w:r>
      <w:r>
        <w:rPr>
          <w:spacing w:val="-20"/>
        </w:rPr>
        <w:t> </w:t>
      </w:r>
      <w:r>
        <w:rPr/>
        <w:t>to</w:t>
      </w:r>
    </w:p>
    <w:p>
      <w:pPr>
        <w:pStyle w:val="BodyText"/>
        <w:spacing w:line="249" w:lineRule="auto"/>
        <w:ind w:left="107" w:right="86"/>
      </w:pPr>
      <w:r>
        <w:rPr/>
        <w:t>grow student load, and to develop the capacity to respond to future challenges.</w:t>
      </w:r>
    </w:p>
    <w:p>
      <w:pPr>
        <w:pStyle w:val="BodyText"/>
        <w:rPr>
          <w:sz w:val="14"/>
        </w:rPr>
      </w:pPr>
    </w:p>
    <w:p>
      <w:pPr>
        <w:pStyle w:val="BodyText"/>
        <w:spacing w:line="249" w:lineRule="auto"/>
        <w:ind w:left="107" w:right="17"/>
      </w:pPr>
      <w:r>
        <w:rPr>
          <w:spacing w:val="1"/>
          <w:w w:val="94"/>
        </w:rPr>
        <w:t>The</w:t>
      </w:r>
      <w:r>
        <w:rPr>
          <w:w w:val="94"/>
        </w:rPr>
        <w:t> </w:t>
      </w:r>
      <w:r>
        <w:rPr>
          <w:spacing w:val="1"/>
          <w:w w:val="99"/>
        </w:rPr>
        <w:t>Board</w:t>
      </w:r>
      <w:r>
        <w:rPr>
          <w:w w:val="99"/>
        </w:rPr>
        <w:t> </w:t>
      </w:r>
      <w:r>
        <w:rPr>
          <w:w w:val="99"/>
        </w:rPr>
        <w:t>approved </w:t>
      </w:r>
      <w:r>
        <w:rPr>
          <w:w w:val="97"/>
        </w:rPr>
        <w:t>the </w:t>
      </w:r>
      <w:r>
        <w:rPr>
          <w:w w:val="87"/>
        </w:rPr>
        <w:t>2017 </w:t>
      </w:r>
      <w:r>
        <w:rPr>
          <w:spacing w:val="1"/>
          <w:w w:val="95"/>
        </w:rPr>
        <w:t>budget,</w:t>
      </w:r>
      <w:r>
        <w:rPr>
          <w:w w:val="95"/>
        </w:rPr>
        <w:t> </w:t>
      </w:r>
      <w:r>
        <w:rPr>
          <w:spacing w:val="1"/>
          <w:w w:val="97"/>
        </w:rPr>
        <w:t>taking</w:t>
      </w:r>
      <w:r>
        <w:rPr>
          <w:w w:val="97"/>
        </w:rPr>
        <w:t> </w:t>
      </w:r>
      <w:r>
        <w:rPr/>
        <w:t>a conservative approach due to the current policy and funding uncertainty facing the Higher</w:t>
      </w:r>
      <w:r>
        <w:rPr>
          <w:spacing w:val="-16"/>
        </w:rPr>
        <w:t> </w:t>
      </w:r>
      <w:r>
        <w:rPr/>
        <w:t>Education</w:t>
      </w:r>
      <w:r>
        <w:rPr>
          <w:spacing w:val="-16"/>
        </w:rPr>
        <w:t> </w:t>
      </w:r>
      <w:r>
        <w:rPr/>
        <w:t>sector.</w:t>
      </w:r>
      <w:r>
        <w:rPr>
          <w:spacing w:val="-16"/>
        </w:rPr>
        <w:t> </w:t>
      </w:r>
      <w:r>
        <w:rPr/>
        <w:t>The</w:t>
      </w:r>
      <w:r>
        <w:rPr>
          <w:spacing w:val="-16"/>
        </w:rPr>
        <w:t> </w:t>
      </w:r>
      <w:r>
        <w:rPr/>
        <w:t>Board</w:t>
      </w:r>
      <w:r>
        <w:rPr>
          <w:spacing w:val="-16"/>
        </w:rPr>
        <w:t> </w:t>
      </w:r>
      <w:r>
        <w:rPr/>
        <w:t>approved a scoping study to undertake a feasibility analysis to reshape the University’s balance sheet, exploring a number of options, including</w:t>
      </w:r>
      <w:r>
        <w:rPr>
          <w:spacing w:val="-15"/>
        </w:rPr>
        <w:t> </w:t>
      </w:r>
      <w:r>
        <w:rPr/>
        <w:t>financial</w:t>
      </w:r>
      <w:r>
        <w:rPr>
          <w:spacing w:val="-15"/>
        </w:rPr>
        <w:t> </w:t>
      </w:r>
      <w:r>
        <w:rPr/>
        <w:t>options</w:t>
      </w:r>
      <w:r>
        <w:rPr>
          <w:spacing w:val="-15"/>
        </w:rPr>
        <w:t> </w:t>
      </w:r>
      <w:r>
        <w:rPr/>
        <w:t>to</w:t>
      </w:r>
      <w:r>
        <w:rPr>
          <w:spacing w:val="-15"/>
        </w:rPr>
        <w:t> </w:t>
      </w:r>
      <w:r>
        <w:rPr/>
        <w:t>create</w:t>
      </w:r>
      <w:r>
        <w:rPr>
          <w:spacing w:val="-15"/>
        </w:rPr>
        <w:t> </w:t>
      </w:r>
      <w:r>
        <w:rPr/>
        <w:t>long</w:t>
      </w:r>
      <w:r>
        <w:rPr>
          <w:spacing w:val="-15"/>
        </w:rPr>
        <w:t> </w:t>
      </w:r>
      <w:r>
        <w:rPr/>
        <w:t>term annuity streams and other opportunities for large</w:t>
      </w:r>
      <w:r>
        <w:rPr>
          <w:spacing w:val="-16"/>
        </w:rPr>
        <w:t> </w:t>
      </w:r>
      <w:r>
        <w:rPr/>
        <w:t>scale</w:t>
      </w:r>
      <w:r>
        <w:rPr>
          <w:spacing w:val="-16"/>
        </w:rPr>
        <w:t> </w:t>
      </w:r>
      <w:r>
        <w:rPr/>
        <w:t>transformation</w:t>
      </w:r>
      <w:r>
        <w:rPr>
          <w:spacing w:val="-16"/>
        </w:rPr>
        <w:t> </w:t>
      </w:r>
      <w:r>
        <w:rPr/>
        <w:t>of</w:t>
      </w:r>
      <w:r>
        <w:rPr>
          <w:spacing w:val="-16"/>
        </w:rPr>
        <w:t> </w:t>
      </w:r>
      <w:r>
        <w:rPr/>
        <w:t>the</w:t>
      </w:r>
      <w:r>
        <w:rPr>
          <w:spacing w:val="-16"/>
        </w:rPr>
        <w:t> </w:t>
      </w:r>
      <w:r>
        <w:rPr/>
        <w:t>campus</w:t>
      </w:r>
    </w:p>
    <w:p>
      <w:pPr>
        <w:pStyle w:val="BodyText"/>
        <w:spacing w:line="249" w:lineRule="auto" w:before="71"/>
        <w:ind w:left="107" w:right="445"/>
        <w:jc w:val="both"/>
      </w:pPr>
      <w:r>
        <w:rPr/>
        <w:br w:type="column"/>
      </w:r>
      <w:r>
        <w:rPr/>
        <w:t>network.</w:t>
      </w:r>
      <w:r>
        <w:rPr>
          <w:spacing w:val="-19"/>
        </w:rPr>
        <w:t> </w:t>
      </w:r>
      <w:r>
        <w:rPr/>
        <w:t>The</w:t>
      </w:r>
      <w:r>
        <w:rPr>
          <w:spacing w:val="-19"/>
        </w:rPr>
        <w:t> </w:t>
      </w:r>
      <w:r>
        <w:rPr/>
        <w:t>Board</w:t>
      </w:r>
      <w:r>
        <w:rPr>
          <w:spacing w:val="-19"/>
        </w:rPr>
        <w:t> </w:t>
      </w:r>
      <w:r>
        <w:rPr/>
        <w:t>of</w:t>
      </w:r>
      <w:r>
        <w:rPr>
          <w:spacing w:val="-19"/>
        </w:rPr>
        <w:t> </w:t>
      </w:r>
      <w:r>
        <w:rPr/>
        <w:t>Trustees</w:t>
      </w:r>
      <w:r>
        <w:rPr>
          <w:spacing w:val="-19"/>
        </w:rPr>
        <w:t> </w:t>
      </w:r>
      <w:r>
        <w:rPr/>
        <w:t>approved the</w:t>
      </w:r>
      <w:r>
        <w:rPr>
          <w:spacing w:val="-16"/>
        </w:rPr>
        <w:t> </w:t>
      </w:r>
      <w:r>
        <w:rPr/>
        <w:t>proposal</w:t>
      </w:r>
      <w:r>
        <w:rPr>
          <w:spacing w:val="-16"/>
        </w:rPr>
        <w:t> </w:t>
      </w:r>
      <w:r>
        <w:rPr/>
        <w:t>to</w:t>
      </w:r>
      <w:r>
        <w:rPr>
          <w:spacing w:val="-16"/>
        </w:rPr>
        <w:t> </w:t>
      </w:r>
      <w:r>
        <w:rPr/>
        <w:t>increase</w:t>
      </w:r>
      <w:r>
        <w:rPr>
          <w:spacing w:val="-16"/>
        </w:rPr>
        <w:t> </w:t>
      </w:r>
      <w:r>
        <w:rPr/>
        <w:t>the</w:t>
      </w:r>
      <w:r>
        <w:rPr>
          <w:spacing w:val="-16"/>
        </w:rPr>
        <w:t> </w:t>
      </w:r>
      <w:r>
        <w:rPr/>
        <w:t>loan</w:t>
      </w:r>
      <w:r>
        <w:rPr>
          <w:spacing w:val="-16"/>
        </w:rPr>
        <w:t> </w:t>
      </w:r>
      <w:r>
        <w:rPr/>
        <w:t>facilities of</w:t>
      </w:r>
      <w:r>
        <w:rPr>
          <w:spacing w:val="-24"/>
        </w:rPr>
        <w:t> </w:t>
      </w:r>
      <w:r>
        <w:rPr/>
        <w:t>the</w:t>
      </w:r>
      <w:r>
        <w:rPr>
          <w:spacing w:val="-24"/>
        </w:rPr>
        <w:t> </w:t>
      </w:r>
      <w:r>
        <w:rPr/>
        <w:t>University</w:t>
      </w:r>
      <w:r>
        <w:rPr>
          <w:spacing w:val="-24"/>
        </w:rPr>
        <w:t> </w:t>
      </w:r>
      <w:r>
        <w:rPr/>
        <w:t>from</w:t>
      </w:r>
      <w:r>
        <w:rPr>
          <w:spacing w:val="-24"/>
        </w:rPr>
        <w:t> </w:t>
      </w:r>
      <w:r>
        <w:rPr>
          <w:spacing w:val="3"/>
        </w:rPr>
        <w:t>$198m</w:t>
      </w:r>
      <w:r>
        <w:rPr>
          <w:spacing w:val="-24"/>
        </w:rPr>
        <w:t> </w:t>
      </w:r>
      <w:r>
        <w:rPr/>
        <w:t>to</w:t>
      </w:r>
      <w:r>
        <w:rPr>
          <w:spacing w:val="-24"/>
        </w:rPr>
        <w:t> </w:t>
      </w:r>
      <w:r>
        <w:rPr>
          <w:spacing w:val="2"/>
        </w:rPr>
        <w:t>$298m.</w:t>
      </w:r>
    </w:p>
    <w:p>
      <w:pPr>
        <w:pStyle w:val="BodyText"/>
        <w:rPr>
          <w:sz w:val="14"/>
        </w:rPr>
      </w:pPr>
    </w:p>
    <w:p>
      <w:pPr>
        <w:pStyle w:val="BodyText"/>
        <w:spacing w:line="249" w:lineRule="auto"/>
        <w:ind w:left="107" w:right="350"/>
      </w:pPr>
      <w:r>
        <w:rPr/>
        <w:t>Throughout the year, the Board noted the University’s deliberations about course and unit review and received reports from Academic Senate about:</w:t>
      </w:r>
    </w:p>
    <w:p>
      <w:pPr>
        <w:pStyle w:val="BodyText"/>
        <w:spacing w:before="55"/>
        <w:ind w:left="107" w:right="460"/>
      </w:pPr>
      <w:r>
        <w:rPr>
          <w:rFonts w:ascii="Century Gothic" w:hAnsi="Century Gothic"/>
          <w:b/>
          <w:w w:val="105"/>
        </w:rPr>
        <w:t>≥ </w:t>
      </w:r>
      <w:r>
        <w:rPr>
          <w:w w:val="105"/>
        </w:rPr>
        <w:t>academic governance matters</w:t>
      </w:r>
    </w:p>
    <w:p>
      <w:pPr>
        <w:pStyle w:val="BodyText"/>
        <w:spacing w:line="244" w:lineRule="auto" w:before="60"/>
        <w:ind w:left="305" w:right="460" w:hanging="199"/>
      </w:pPr>
      <w:r>
        <w:rPr>
          <w:rFonts w:ascii="Century Gothic" w:hAnsi="Century Gothic"/>
          <w:b/>
          <w:w w:val="115"/>
        </w:rPr>
        <w:t>≥</w:t>
      </w:r>
      <w:r>
        <w:rPr>
          <w:rFonts w:ascii="Century Gothic" w:hAnsi="Century Gothic"/>
          <w:b/>
          <w:spacing w:val="-15"/>
          <w:w w:val="115"/>
        </w:rPr>
        <w:t> </w:t>
      </w:r>
      <w:r>
        <w:rPr>
          <w:w w:val="105"/>
        </w:rPr>
        <w:t>reviews</w:t>
      </w:r>
      <w:r>
        <w:rPr>
          <w:spacing w:val="-33"/>
          <w:w w:val="105"/>
        </w:rPr>
        <w:t> </w:t>
      </w:r>
      <w:r>
        <w:rPr>
          <w:w w:val="105"/>
        </w:rPr>
        <w:t>and</w:t>
      </w:r>
      <w:r>
        <w:rPr>
          <w:spacing w:val="-33"/>
          <w:w w:val="105"/>
        </w:rPr>
        <w:t> </w:t>
      </w:r>
      <w:r>
        <w:rPr>
          <w:w w:val="105"/>
        </w:rPr>
        <w:t>amendments</w:t>
      </w:r>
      <w:r>
        <w:rPr>
          <w:spacing w:val="-33"/>
          <w:w w:val="105"/>
        </w:rPr>
        <w:t> </w:t>
      </w:r>
      <w:r>
        <w:rPr>
          <w:w w:val="105"/>
        </w:rPr>
        <w:t>of</w:t>
      </w:r>
      <w:r>
        <w:rPr>
          <w:spacing w:val="-33"/>
          <w:w w:val="105"/>
        </w:rPr>
        <w:t> </w:t>
      </w:r>
      <w:r>
        <w:rPr>
          <w:w w:val="105"/>
        </w:rPr>
        <w:t>academic policies</w:t>
      </w:r>
    </w:p>
    <w:p>
      <w:pPr>
        <w:pStyle w:val="BodyText"/>
        <w:spacing w:line="247" w:lineRule="auto" w:before="58"/>
        <w:ind w:left="305" w:right="446" w:hanging="199"/>
      </w:pPr>
      <w:r>
        <w:rPr>
          <w:rFonts w:ascii="Century Gothic" w:hAnsi="Century Gothic"/>
          <w:b/>
          <w:w w:val="115"/>
        </w:rPr>
        <w:t>≥ </w:t>
      </w:r>
      <w:r>
        <w:rPr/>
        <w:t>monitoring of academic standards and integrity with the implementation of the new Misconduct Rule and revised associated Inappropriate Behaviour Guidelines</w:t>
      </w:r>
    </w:p>
    <w:p>
      <w:pPr>
        <w:pStyle w:val="BodyText"/>
        <w:spacing w:line="247" w:lineRule="auto" w:before="57"/>
        <w:ind w:left="305" w:right="197" w:hanging="199"/>
      </w:pPr>
      <w:r>
        <w:rPr>
          <w:rFonts w:ascii="Century Gothic" w:hAnsi="Century Gothic"/>
          <w:b/>
          <w:w w:val="115"/>
        </w:rPr>
        <w:t>≥ </w:t>
      </w:r>
      <w:r>
        <w:rPr/>
        <w:t>the regular Academic Forums co- sponsored by the Vice-Chancellor and Chair of Academic Senate</w:t>
      </w:r>
    </w:p>
    <w:p>
      <w:pPr>
        <w:pStyle w:val="BodyText"/>
        <w:spacing w:line="247" w:lineRule="auto" w:before="57"/>
        <w:ind w:left="305" w:right="197" w:hanging="199"/>
      </w:pPr>
      <w:r>
        <w:rPr>
          <w:rFonts w:ascii="Century Gothic" w:hAnsi="Century Gothic"/>
          <w:b/>
          <w:w w:val="115"/>
        </w:rPr>
        <w:t>≥ </w:t>
      </w:r>
      <w:r>
        <w:rPr/>
        <w:t>assessment and review of TEQSA’s regulatory requirements for the purposes of re-registration of the University as a </w:t>
      </w:r>
      <w:r>
        <w:rPr>
          <w:w w:val="96"/>
        </w:rPr>
        <w:t>higher </w:t>
      </w:r>
      <w:r>
        <w:rPr>
          <w:w w:val="98"/>
        </w:rPr>
        <w:t>education </w:t>
      </w:r>
      <w:r>
        <w:rPr>
          <w:w w:val="98"/>
        </w:rPr>
        <w:t>provider </w:t>
      </w:r>
      <w:r>
        <w:rPr>
          <w:w w:val="95"/>
        </w:rPr>
        <w:t>in </w:t>
      </w:r>
      <w:r>
        <w:rPr>
          <w:w w:val="85"/>
        </w:rPr>
        <w:t>2018.</w:t>
      </w:r>
    </w:p>
    <w:p>
      <w:pPr>
        <w:pStyle w:val="BodyText"/>
        <w:spacing w:before="4"/>
        <w:rPr>
          <w:sz w:val="19"/>
        </w:rPr>
      </w:pPr>
    </w:p>
    <w:p>
      <w:pPr>
        <w:pStyle w:val="Heading7"/>
        <w:spacing w:before="1"/>
        <w:ind w:right="460"/>
      </w:pPr>
      <w:r>
        <w:rPr>
          <w:w w:val="95"/>
        </w:rPr>
        <w:t>BOARD AND COMMITTEE MEMBERSHIP</w:t>
      </w:r>
    </w:p>
    <w:p>
      <w:pPr>
        <w:pStyle w:val="BodyText"/>
        <w:spacing w:line="249" w:lineRule="auto" w:before="58"/>
        <w:ind w:left="107" w:right="197"/>
      </w:pPr>
      <w:r>
        <w:rPr/>
        <w:t>There</w:t>
      </w:r>
      <w:r>
        <w:rPr>
          <w:spacing w:val="-17"/>
        </w:rPr>
        <w:t> </w:t>
      </w:r>
      <w:r>
        <w:rPr/>
        <w:t>were</w:t>
      </w:r>
      <w:r>
        <w:rPr>
          <w:spacing w:val="-17"/>
        </w:rPr>
        <w:t> </w:t>
      </w:r>
      <w:r>
        <w:rPr/>
        <w:t>a</w:t>
      </w:r>
      <w:r>
        <w:rPr>
          <w:spacing w:val="-17"/>
        </w:rPr>
        <w:t> </w:t>
      </w:r>
      <w:r>
        <w:rPr/>
        <w:t>number</w:t>
      </w:r>
      <w:r>
        <w:rPr>
          <w:spacing w:val="-17"/>
        </w:rPr>
        <w:t> </w:t>
      </w:r>
      <w:r>
        <w:rPr/>
        <w:t>of</w:t>
      </w:r>
      <w:r>
        <w:rPr>
          <w:spacing w:val="-17"/>
        </w:rPr>
        <w:t> </w:t>
      </w:r>
      <w:r>
        <w:rPr/>
        <w:t>key</w:t>
      </w:r>
      <w:r>
        <w:rPr>
          <w:spacing w:val="-17"/>
        </w:rPr>
        <w:t> </w:t>
      </w:r>
      <w:r>
        <w:rPr/>
        <w:t>appointments</w:t>
      </w:r>
      <w:r>
        <w:rPr>
          <w:spacing w:val="-17"/>
        </w:rPr>
        <w:t> </w:t>
      </w:r>
      <w:r>
        <w:rPr/>
        <w:t>to </w:t>
      </w:r>
      <w:r>
        <w:rPr>
          <w:w w:val="97"/>
        </w:rPr>
        <w:t>the </w:t>
      </w:r>
      <w:r>
        <w:rPr>
          <w:spacing w:val="1"/>
          <w:w w:val="99"/>
        </w:rPr>
        <w:t>Board</w:t>
      </w:r>
      <w:r>
        <w:rPr>
          <w:w w:val="99"/>
        </w:rPr>
        <w:t> </w:t>
      </w:r>
      <w:r>
        <w:rPr>
          <w:w w:val="95"/>
        </w:rPr>
        <w:t>in </w:t>
      </w:r>
      <w:r>
        <w:rPr>
          <w:spacing w:val="2"/>
          <w:w w:val="85"/>
        </w:rPr>
        <w:t>2016.</w:t>
      </w:r>
      <w:r>
        <w:rPr>
          <w:w w:val="85"/>
        </w:rPr>
        <w:t> </w:t>
      </w:r>
      <w:r>
        <w:rPr>
          <w:spacing w:val="1"/>
          <w:w w:val="97"/>
        </w:rPr>
        <w:t>Professor</w:t>
      </w:r>
      <w:r>
        <w:rPr>
          <w:w w:val="97"/>
        </w:rPr>
        <w:t> </w:t>
      </w:r>
      <w:r>
        <w:rPr>
          <w:w w:val="98"/>
        </w:rPr>
        <w:t>Peter </w:t>
      </w:r>
      <w:r>
        <w:rPr>
          <w:spacing w:val="1"/>
          <w:w w:val="98"/>
        </w:rPr>
        <w:t>Shergold</w:t>
      </w:r>
      <w:r>
        <w:rPr>
          <w:w w:val="98"/>
        </w:rPr>
        <w:t> </w:t>
      </w:r>
      <w:r>
        <w:rPr/>
        <w:t>AC</w:t>
      </w:r>
      <w:r>
        <w:rPr>
          <w:spacing w:val="-12"/>
        </w:rPr>
        <w:t> </w:t>
      </w:r>
      <w:r>
        <w:rPr/>
        <w:t>was</w:t>
      </w:r>
      <w:r>
        <w:rPr>
          <w:spacing w:val="-12"/>
        </w:rPr>
        <w:t> </w:t>
      </w:r>
      <w:r>
        <w:rPr/>
        <w:t>re-elected</w:t>
      </w:r>
      <w:r>
        <w:rPr>
          <w:spacing w:val="-12"/>
        </w:rPr>
        <w:t> </w:t>
      </w:r>
      <w:r>
        <w:rPr/>
        <w:t>as</w:t>
      </w:r>
      <w:r>
        <w:rPr>
          <w:spacing w:val="-12"/>
        </w:rPr>
        <w:t> </w:t>
      </w:r>
      <w:r>
        <w:rPr/>
        <w:t>Chancellor</w:t>
      </w:r>
      <w:r>
        <w:rPr>
          <w:spacing w:val="-12"/>
        </w:rPr>
        <w:t> </w:t>
      </w:r>
      <w:r>
        <w:rPr/>
        <w:t>for</w:t>
      </w:r>
      <w:r>
        <w:rPr>
          <w:spacing w:val="-12"/>
        </w:rPr>
        <w:t> </w:t>
      </w:r>
      <w:r>
        <w:rPr/>
        <w:t>a</w:t>
      </w:r>
      <w:r>
        <w:rPr>
          <w:spacing w:val="-12"/>
        </w:rPr>
        <w:t> </w:t>
      </w:r>
      <w:r>
        <w:rPr/>
        <w:t>second term of office. Ms Elizabeth Dibbs was elected as Deputy Chancellor to fill a casual vacancy created when Ms Gillian Shadwick retired</w:t>
      </w:r>
      <w:r>
        <w:rPr>
          <w:spacing w:val="-14"/>
        </w:rPr>
        <w:t> </w:t>
      </w:r>
      <w:r>
        <w:rPr/>
        <w:t>in</w:t>
      </w:r>
      <w:r>
        <w:rPr>
          <w:spacing w:val="-14"/>
        </w:rPr>
        <w:t> </w:t>
      </w:r>
      <w:r>
        <w:rPr/>
        <w:t>April.</w:t>
      </w:r>
      <w:r>
        <w:rPr>
          <w:spacing w:val="-14"/>
        </w:rPr>
        <w:t> </w:t>
      </w:r>
      <w:r>
        <w:rPr/>
        <w:t>Mr</w:t>
      </w:r>
      <w:r>
        <w:rPr>
          <w:spacing w:val="-14"/>
        </w:rPr>
        <w:t> </w:t>
      </w:r>
      <w:r>
        <w:rPr/>
        <w:t>Michael</w:t>
      </w:r>
      <w:r>
        <w:rPr>
          <w:spacing w:val="-14"/>
        </w:rPr>
        <w:t> </w:t>
      </w:r>
      <w:r>
        <w:rPr/>
        <w:t>Pratt</w:t>
      </w:r>
      <w:r>
        <w:rPr>
          <w:spacing w:val="-14"/>
        </w:rPr>
        <w:t> </w:t>
      </w:r>
      <w:r>
        <w:rPr/>
        <w:t>AM</w:t>
      </w:r>
      <w:r>
        <w:rPr>
          <w:spacing w:val="-14"/>
        </w:rPr>
        <w:t> </w:t>
      </w:r>
      <w:r>
        <w:rPr/>
        <w:t>was</w:t>
      </w:r>
      <w:r>
        <w:rPr>
          <w:spacing w:val="-14"/>
        </w:rPr>
        <w:t> </w:t>
      </w:r>
      <w:r>
        <w:rPr/>
        <w:t>also reappointed</w:t>
      </w:r>
      <w:r>
        <w:rPr>
          <w:spacing w:val="-13"/>
        </w:rPr>
        <w:t> </w:t>
      </w:r>
      <w:r>
        <w:rPr/>
        <w:t>to</w:t>
      </w:r>
      <w:r>
        <w:rPr>
          <w:spacing w:val="-13"/>
        </w:rPr>
        <w:t> </w:t>
      </w:r>
      <w:r>
        <w:rPr/>
        <w:t>the</w:t>
      </w:r>
      <w:r>
        <w:rPr>
          <w:spacing w:val="-13"/>
        </w:rPr>
        <w:t> </w:t>
      </w:r>
      <w:r>
        <w:rPr/>
        <w:t>Board</w:t>
      </w:r>
      <w:r>
        <w:rPr>
          <w:spacing w:val="-13"/>
        </w:rPr>
        <w:t> </w:t>
      </w:r>
      <w:r>
        <w:rPr/>
        <w:t>and</w:t>
      </w:r>
      <w:r>
        <w:rPr>
          <w:spacing w:val="-13"/>
        </w:rPr>
        <w:t> </w:t>
      </w:r>
      <w:r>
        <w:rPr/>
        <w:t>re-elected</w:t>
      </w:r>
      <w:r>
        <w:rPr>
          <w:spacing w:val="-13"/>
        </w:rPr>
        <w:t> </w:t>
      </w:r>
      <w:r>
        <w:rPr/>
        <w:t>as</w:t>
      </w:r>
    </w:p>
    <w:p>
      <w:pPr>
        <w:pStyle w:val="BodyText"/>
        <w:spacing w:line="192" w:lineRule="exact"/>
        <w:ind w:left="107" w:right="-1"/>
      </w:pPr>
      <w:r>
        <w:rPr/>
        <w:t>Deputy Chancellor for a second term of office.</w:t>
      </w:r>
    </w:p>
    <w:p>
      <w:pPr>
        <w:pStyle w:val="BodyText"/>
        <w:spacing w:before="7"/>
        <w:rPr>
          <w:sz w:val="14"/>
        </w:rPr>
      </w:pPr>
    </w:p>
    <w:p>
      <w:pPr>
        <w:pStyle w:val="BodyText"/>
        <w:spacing w:line="249" w:lineRule="auto" w:before="1"/>
        <w:ind w:left="107" w:right="122"/>
      </w:pPr>
      <w:r>
        <w:rPr/>
        <w:t>Ms Genevieve Gregor was appointed as a Pro Chancellor, and Emeritus Professor Mary Ann Bin-Salik commenced as a new Ministerial appointment; replacing Mr Paul Newman.</w:t>
      </w:r>
    </w:p>
    <w:p>
      <w:pPr>
        <w:pStyle w:val="BodyText"/>
        <w:spacing w:line="249" w:lineRule="auto"/>
        <w:ind w:left="107" w:right="29"/>
      </w:pPr>
      <w:r>
        <w:rPr/>
        <w:t>Ms Gabrielle Trainor was re-appointed to the Board for a second term of office, and Mr Peeyush Gupta was appointed as a new Board </w:t>
      </w:r>
      <w:r>
        <w:rPr>
          <w:w w:val="98"/>
        </w:rPr>
        <w:t>member </w:t>
      </w:r>
      <w:r>
        <w:rPr>
          <w:w w:val="95"/>
        </w:rPr>
        <w:t>in </w:t>
      </w:r>
      <w:r>
        <w:rPr>
          <w:w w:val="98"/>
        </w:rPr>
        <w:t>June </w:t>
      </w:r>
      <w:r>
        <w:rPr>
          <w:w w:val="85"/>
        </w:rPr>
        <w:t>2016.</w:t>
      </w:r>
    </w:p>
    <w:p>
      <w:pPr>
        <w:pStyle w:val="BodyText"/>
        <w:rPr>
          <w:sz w:val="14"/>
        </w:rPr>
      </w:pPr>
    </w:p>
    <w:p>
      <w:pPr>
        <w:pStyle w:val="BodyText"/>
        <w:spacing w:line="249" w:lineRule="auto"/>
        <w:ind w:left="107" w:right="43"/>
      </w:pPr>
      <w:r>
        <w:rPr/>
        <w:t>Ms Winnie Jobanputra replaced Ms Taylor Macdonald as the elected undergraduate student member. Dr Ben Etherington replaced Dr George Morgan as the Academic Staff elected member.</w:t>
      </w:r>
    </w:p>
    <w:p>
      <w:pPr>
        <w:pStyle w:val="BodyText"/>
        <w:rPr>
          <w:sz w:val="14"/>
        </w:rPr>
      </w:pPr>
    </w:p>
    <w:p>
      <w:pPr>
        <w:pStyle w:val="BodyText"/>
        <w:spacing w:line="249" w:lineRule="auto"/>
        <w:ind w:left="107" w:right="482"/>
      </w:pPr>
      <w:r>
        <w:rPr/>
        <w:t>The Board also appointed new external members to its University Infrastructure Committee, Audit and Risk Committee</w:t>
      </w:r>
    </w:p>
    <w:p>
      <w:pPr>
        <w:spacing w:after="0" w:line="249" w:lineRule="auto"/>
        <w:sectPr>
          <w:type w:val="continuous"/>
          <w:pgSz w:w="11910" w:h="16840"/>
          <w:pgMar w:top="1580" w:bottom="280" w:left="800" w:right="800"/>
          <w:cols w:num="3" w:equalWidth="0">
            <w:col w:w="3294" w:space="146"/>
            <w:col w:w="3285" w:space="154"/>
            <w:col w:w="3431"/>
          </w:cols>
        </w:sectPr>
      </w:pPr>
    </w:p>
    <w:p>
      <w:pPr>
        <w:pStyle w:val="BodyText"/>
        <w:spacing w:before="9"/>
        <w:rPr>
          <w:sz w:val="28"/>
        </w:rPr>
      </w:pPr>
    </w:p>
    <w:p>
      <w:pPr>
        <w:pStyle w:val="Heading2"/>
        <w:spacing w:line="240" w:lineRule="auto" w:before="27"/>
        <w:ind w:right="6763"/>
        <w:rPr>
          <w:b w:val="0"/>
        </w:rPr>
      </w:pPr>
      <w:r>
        <w:rPr>
          <w:b w:val="0"/>
        </w:rPr>
        <w:t>The Organisation</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24"/>
        </w:rPr>
      </w:pPr>
    </w:p>
    <w:p>
      <w:pPr>
        <w:spacing w:after="0"/>
        <w:rPr>
          <w:rFonts w:ascii="Chronicle Text G1"/>
          <w:sz w:val="24"/>
        </w:rPr>
        <w:sectPr>
          <w:pgSz w:w="11910" w:h="16840"/>
          <w:pgMar w:header="496" w:footer="472" w:top="680" w:bottom="660" w:left="800" w:right="800"/>
        </w:sectPr>
      </w:pPr>
    </w:p>
    <w:p>
      <w:pPr>
        <w:pStyle w:val="BodyText"/>
        <w:spacing w:line="249" w:lineRule="auto" w:before="72"/>
        <w:ind w:left="107" w:right="-11"/>
      </w:pPr>
      <w:r>
        <w:rPr/>
        <w:t>(previously</w:t>
      </w:r>
      <w:r>
        <w:rPr>
          <w:spacing w:val="-14"/>
        </w:rPr>
        <w:t> </w:t>
      </w:r>
      <w:r>
        <w:rPr/>
        <w:t>called</w:t>
      </w:r>
      <w:r>
        <w:rPr>
          <w:spacing w:val="-14"/>
        </w:rPr>
        <w:t> </w:t>
      </w:r>
      <w:r>
        <w:rPr/>
        <w:t>Audit</w:t>
      </w:r>
      <w:r>
        <w:rPr>
          <w:spacing w:val="-14"/>
        </w:rPr>
        <w:t> </w:t>
      </w:r>
      <w:r>
        <w:rPr/>
        <w:t>and</w:t>
      </w:r>
      <w:r>
        <w:rPr>
          <w:spacing w:val="-14"/>
        </w:rPr>
        <w:t> </w:t>
      </w:r>
      <w:r>
        <w:rPr/>
        <w:t>Risk</w:t>
      </w:r>
      <w:r>
        <w:rPr>
          <w:spacing w:val="-14"/>
        </w:rPr>
        <w:t> </w:t>
      </w:r>
      <w:r>
        <w:rPr/>
        <w:t>Management Committee) and Finance and Investment Committee.</w:t>
      </w:r>
    </w:p>
    <w:p>
      <w:pPr>
        <w:pStyle w:val="BodyText"/>
        <w:spacing w:before="3"/>
        <w:rPr>
          <w:sz w:val="19"/>
        </w:rPr>
      </w:pPr>
    </w:p>
    <w:p>
      <w:pPr>
        <w:pStyle w:val="Heading7"/>
        <w:ind w:right="-11"/>
      </w:pPr>
      <w:r>
        <w:rPr>
          <w:w w:val="95"/>
        </w:rPr>
        <w:t>HONORARY AWARDS AND TITLES</w:t>
      </w:r>
    </w:p>
    <w:p>
      <w:pPr>
        <w:pStyle w:val="BodyText"/>
        <w:spacing w:line="249" w:lineRule="auto" w:before="58"/>
        <w:ind w:left="107" w:right="-11"/>
      </w:pPr>
      <w:r>
        <w:rPr>
          <w:w w:val="80"/>
        </w:rPr>
        <w:t>In </w:t>
      </w:r>
      <w:r>
        <w:rPr>
          <w:w w:val="85"/>
        </w:rPr>
        <w:t>2016, </w:t>
      </w:r>
      <w:r>
        <w:rPr>
          <w:w w:val="97"/>
        </w:rPr>
        <w:t>the </w:t>
      </w:r>
      <w:r>
        <w:rPr>
          <w:w w:val="99"/>
        </w:rPr>
        <w:t>Board </w:t>
      </w:r>
      <w:r>
        <w:rPr>
          <w:w w:val="98"/>
        </w:rPr>
        <w:t>conferred </w:t>
      </w:r>
      <w:r>
        <w:rPr>
          <w:w w:val="97"/>
        </w:rPr>
        <w:t>honorary </w:t>
      </w:r>
      <w:r>
        <w:rPr>
          <w:w w:val="97"/>
        </w:rPr>
        <w:t>awards </w:t>
      </w:r>
      <w:r>
        <w:rPr/>
        <w:t>of the University on:</w:t>
      </w:r>
    </w:p>
    <w:p>
      <w:pPr>
        <w:pStyle w:val="BodyText"/>
        <w:spacing w:line="244" w:lineRule="auto" w:before="55"/>
        <w:ind w:left="305" w:right="193" w:hanging="199"/>
      </w:pPr>
      <w:r>
        <w:rPr>
          <w:rFonts w:ascii="Century Gothic" w:hAnsi="Century Gothic"/>
          <w:b/>
          <w:w w:val="115"/>
        </w:rPr>
        <w:t>≥</w:t>
      </w:r>
      <w:r>
        <w:rPr>
          <w:rFonts w:ascii="Century Gothic" w:hAnsi="Century Gothic"/>
          <w:b/>
          <w:spacing w:val="-14"/>
          <w:w w:val="115"/>
        </w:rPr>
        <w:t> </w:t>
      </w:r>
      <w:r>
        <w:rPr>
          <w:w w:val="105"/>
        </w:rPr>
        <w:t>Mr</w:t>
      </w:r>
      <w:r>
        <w:rPr>
          <w:spacing w:val="-33"/>
          <w:w w:val="105"/>
        </w:rPr>
        <w:t> </w:t>
      </w:r>
      <w:r>
        <w:rPr>
          <w:w w:val="105"/>
        </w:rPr>
        <w:t>Nicholas</w:t>
      </w:r>
      <w:r>
        <w:rPr>
          <w:spacing w:val="-33"/>
          <w:w w:val="105"/>
        </w:rPr>
        <w:t> </w:t>
      </w:r>
      <w:r>
        <w:rPr>
          <w:w w:val="105"/>
        </w:rPr>
        <w:t>Richard</w:t>
      </w:r>
      <w:r>
        <w:rPr>
          <w:spacing w:val="-33"/>
          <w:w w:val="105"/>
        </w:rPr>
        <w:t> </w:t>
      </w:r>
      <w:r>
        <w:rPr>
          <w:w w:val="105"/>
        </w:rPr>
        <w:t>Whitlam</w:t>
      </w:r>
      <w:r>
        <w:rPr>
          <w:spacing w:val="-33"/>
          <w:w w:val="105"/>
        </w:rPr>
        <w:t> </w:t>
      </w:r>
      <w:r>
        <w:rPr>
          <w:w w:val="105"/>
        </w:rPr>
        <w:t>–</w:t>
      </w:r>
      <w:r>
        <w:rPr>
          <w:spacing w:val="-33"/>
          <w:w w:val="105"/>
        </w:rPr>
        <w:t> </w:t>
      </w:r>
      <w:r>
        <w:rPr>
          <w:spacing w:val="2"/>
          <w:w w:val="105"/>
        </w:rPr>
        <w:t>Honorary </w:t>
      </w:r>
      <w:r>
        <w:rPr>
          <w:w w:val="105"/>
        </w:rPr>
        <w:t>Doctor</w:t>
      </w:r>
      <w:r>
        <w:rPr>
          <w:spacing w:val="-39"/>
          <w:w w:val="105"/>
        </w:rPr>
        <w:t> </w:t>
      </w:r>
      <w:r>
        <w:rPr>
          <w:w w:val="105"/>
        </w:rPr>
        <w:t>of</w:t>
      </w:r>
      <w:r>
        <w:rPr>
          <w:spacing w:val="-39"/>
          <w:w w:val="105"/>
        </w:rPr>
        <w:t> </w:t>
      </w:r>
      <w:r>
        <w:rPr>
          <w:w w:val="105"/>
        </w:rPr>
        <w:t>Letters</w:t>
      </w:r>
    </w:p>
    <w:p>
      <w:pPr>
        <w:pStyle w:val="BodyText"/>
        <w:spacing w:line="244" w:lineRule="auto" w:before="58"/>
        <w:ind w:left="305" w:right="133" w:hanging="199"/>
      </w:pPr>
      <w:r>
        <w:rPr>
          <w:rFonts w:ascii="Century Gothic" w:hAnsi="Century Gothic"/>
          <w:b/>
          <w:w w:val="115"/>
        </w:rPr>
        <w:t>≥</w:t>
      </w:r>
      <w:r>
        <w:rPr>
          <w:rFonts w:ascii="Century Gothic" w:hAnsi="Century Gothic"/>
          <w:b/>
          <w:spacing w:val="-9"/>
          <w:w w:val="115"/>
        </w:rPr>
        <w:t> </w:t>
      </w:r>
      <w:r>
        <w:rPr>
          <w:w w:val="105"/>
        </w:rPr>
        <w:t>Ms</w:t>
      </w:r>
      <w:r>
        <w:rPr>
          <w:spacing w:val="-30"/>
          <w:w w:val="105"/>
        </w:rPr>
        <w:t> </w:t>
      </w:r>
      <w:r>
        <w:rPr>
          <w:w w:val="105"/>
        </w:rPr>
        <w:t>Elizabeth</w:t>
      </w:r>
      <w:r>
        <w:rPr>
          <w:spacing w:val="-30"/>
          <w:w w:val="105"/>
        </w:rPr>
        <w:t> </w:t>
      </w:r>
      <w:r>
        <w:rPr>
          <w:w w:val="105"/>
        </w:rPr>
        <w:t>Ellis</w:t>
      </w:r>
      <w:r>
        <w:rPr>
          <w:spacing w:val="-30"/>
          <w:w w:val="105"/>
        </w:rPr>
        <w:t> </w:t>
      </w:r>
      <w:r>
        <w:rPr>
          <w:spacing w:val="2"/>
          <w:w w:val="105"/>
        </w:rPr>
        <w:t>AM,</w:t>
      </w:r>
      <w:r>
        <w:rPr>
          <w:spacing w:val="-30"/>
          <w:w w:val="105"/>
        </w:rPr>
        <w:t> </w:t>
      </w:r>
      <w:r>
        <w:rPr>
          <w:spacing w:val="2"/>
          <w:w w:val="105"/>
        </w:rPr>
        <w:t>Honorary</w:t>
      </w:r>
      <w:r>
        <w:rPr>
          <w:spacing w:val="-30"/>
          <w:w w:val="105"/>
        </w:rPr>
        <w:t> </w:t>
      </w:r>
      <w:r>
        <w:rPr>
          <w:w w:val="105"/>
        </w:rPr>
        <w:t>Doctor</w:t>
      </w:r>
      <w:r>
        <w:rPr>
          <w:spacing w:val="-30"/>
          <w:w w:val="105"/>
        </w:rPr>
        <w:t> </w:t>
      </w:r>
      <w:r>
        <w:rPr>
          <w:w w:val="105"/>
        </w:rPr>
        <w:t>of Letters</w:t>
      </w:r>
    </w:p>
    <w:p>
      <w:pPr>
        <w:pStyle w:val="BodyText"/>
        <w:spacing w:line="244" w:lineRule="auto" w:before="58"/>
        <w:ind w:left="305" w:right="405" w:hanging="199"/>
      </w:pPr>
      <w:r>
        <w:rPr>
          <w:rFonts w:ascii="Century Gothic" w:hAnsi="Century Gothic"/>
          <w:b/>
          <w:w w:val="115"/>
        </w:rPr>
        <w:t>≥</w:t>
      </w:r>
      <w:r>
        <w:rPr>
          <w:rFonts w:ascii="Century Gothic" w:hAnsi="Century Gothic"/>
          <w:b/>
          <w:spacing w:val="-11"/>
          <w:w w:val="115"/>
        </w:rPr>
        <w:t> </w:t>
      </w:r>
      <w:r>
        <w:rPr>
          <w:w w:val="105"/>
        </w:rPr>
        <w:t>The</w:t>
      </w:r>
      <w:r>
        <w:rPr>
          <w:spacing w:val="-31"/>
          <w:w w:val="105"/>
        </w:rPr>
        <w:t> </w:t>
      </w:r>
      <w:r>
        <w:rPr>
          <w:spacing w:val="2"/>
          <w:w w:val="105"/>
        </w:rPr>
        <w:t>Hon.</w:t>
      </w:r>
      <w:r>
        <w:rPr>
          <w:spacing w:val="-31"/>
          <w:w w:val="105"/>
        </w:rPr>
        <w:t> </w:t>
      </w:r>
      <w:r>
        <w:rPr>
          <w:w w:val="105"/>
        </w:rPr>
        <w:t>Elizabeth</w:t>
      </w:r>
      <w:r>
        <w:rPr>
          <w:spacing w:val="-31"/>
          <w:w w:val="105"/>
        </w:rPr>
        <w:t> </w:t>
      </w:r>
      <w:r>
        <w:rPr>
          <w:w w:val="105"/>
        </w:rPr>
        <w:t>Andreas</w:t>
      </w:r>
      <w:r>
        <w:rPr>
          <w:spacing w:val="-31"/>
          <w:w w:val="105"/>
        </w:rPr>
        <w:t> </w:t>
      </w:r>
      <w:r>
        <w:rPr>
          <w:w w:val="105"/>
        </w:rPr>
        <w:t>Evatt</w:t>
      </w:r>
      <w:r>
        <w:rPr>
          <w:spacing w:val="-31"/>
          <w:w w:val="105"/>
        </w:rPr>
        <w:t> </w:t>
      </w:r>
      <w:r>
        <w:rPr>
          <w:w w:val="105"/>
        </w:rPr>
        <w:t>AC, </w:t>
      </w:r>
      <w:r>
        <w:rPr>
          <w:spacing w:val="2"/>
        </w:rPr>
        <w:t>Honorary</w:t>
      </w:r>
      <w:r>
        <w:rPr>
          <w:spacing w:val="-14"/>
        </w:rPr>
        <w:t> </w:t>
      </w:r>
      <w:r>
        <w:rPr/>
        <w:t>Doctor</w:t>
      </w:r>
      <w:r>
        <w:rPr>
          <w:spacing w:val="-14"/>
        </w:rPr>
        <w:t> </w:t>
      </w:r>
      <w:r>
        <w:rPr/>
        <w:t>of</w:t>
      </w:r>
      <w:r>
        <w:rPr>
          <w:spacing w:val="-14"/>
        </w:rPr>
        <w:t> </w:t>
      </w:r>
      <w:r>
        <w:rPr/>
        <w:t>Laws</w:t>
      </w:r>
    </w:p>
    <w:p>
      <w:pPr>
        <w:pStyle w:val="BodyText"/>
        <w:spacing w:before="58"/>
        <w:ind w:left="107" w:right="-11"/>
      </w:pPr>
      <w:r>
        <w:rPr>
          <w:rFonts w:ascii="Century Gothic" w:hAnsi="Century Gothic"/>
          <w:b/>
          <w:w w:val="115"/>
        </w:rPr>
        <w:t>≥ </w:t>
      </w:r>
      <w:r>
        <w:rPr>
          <w:w w:val="105"/>
        </w:rPr>
        <w:t>Mr Alan Zammit AM – Honorary Fellow</w:t>
      </w:r>
    </w:p>
    <w:p>
      <w:pPr>
        <w:pStyle w:val="BodyText"/>
        <w:spacing w:before="60"/>
        <w:ind w:left="107" w:right="-11"/>
      </w:pPr>
      <w:r>
        <w:rPr>
          <w:rFonts w:ascii="Century Gothic" w:hAnsi="Century Gothic"/>
          <w:b/>
          <w:w w:val="115"/>
        </w:rPr>
        <w:t>≥ </w:t>
      </w:r>
      <w:r>
        <w:rPr>
          <w:w w:val="105"/>
        </w:rPr>
        <w:t>Ms Judy Jacka – Honorary Fellow</w:t>
      </w:r>
    </w:p>
    <w:p>
      <w:pPr>
        <w:pStyle w:val="BodyText"/>
        <w:spacing w:before="60"/>
        <w:ind w:left="107" w:right="-11"/>
      </w:pPr>
      <w:r>
        <w:rPr>
          <w:rFonts w:ascii="Century Gothic" w:hAnsi="Century Gothic"/>
          <w:b/>
          <w:w w:val="115"/>
        </w:rPr>
        <w:t>≥ </w:t>
      </w:r>
      <w:r>
        <w:rPr>
          <w:w w:val="105"/>
        </w:rPr>
        <w:t>Mr Roy Medich – Honorary Fellow</w:t>
      </w:r>
    </w:p>
    <w:p>
      <w:pPr>
        <w:pStyle w:val="BodyText"/>
        <w:spacing w:line="244" w:lineRule="auto" w:before="60"/>
        <w:ind w:left="305" w:right="382" w:hanging="199"/>
      </w:pPr>
      <w:r>
        <w:rPr>
          <w:rFonts w:ascii="Century Gothic" w:hAnsi="Century Gothic"/>
          <w:b/>
          <w:w w:val="115"/>
        </w:rPr>
        <w:t>≥</w:t>
      </w:r>
      <w:r>
        <w:rPr>
          <w:rFonts w:ascii="Century Gothic" w:hAnsi="Century Gothic"/>
          <w:b/>
          <w:spacing w:val="-10"/>
          <w:w w:val="115"/>
        </w:rPr>
        <w:t> </w:t>
      </w:r>
      <w:r>
        <w:rPr>
          <w:w w:val="105"/>
        </w:rPr>
        <w:t>Mr</w:t>
      </w:r>
      <w:r>
        <w:rPr>
          <w:spacing w:val="-30"/>
          <w:w w:val="105"/>
        </w:rPr>
        <w:t> </w:t>
      </w:r>
      <w:r>
        <w:rPr>
          <w:w w:val="105"/>
        </w:rPr>
        <w:t>Jack</w:t>
      </w:r>
      <w:r>
        <w:rPr>
          <w:spacing w:val="-30"/>
          <w:w w:val="105"/>
        </w:rPr>
        <w:t> </w:t>
      </w:r>
      <w:r>
        <w:rPr>
          <w:w w:val="105"/>
        </w:rPr>
        <w:t>Manning</w:t>
      </w:r>
      <w:r>
        <w:rPr>
          <w:spacing w:val="-30"/>
          <w:w w:val="105"/>
        </w:rPr>
        <w:t> </w:t>
      </w:r>
      <w:r>
        <w:rPr>
          <w:w w:val="105"/>
        </w:rPr>
        <w:t>Bancroft</w:t>
      </w:r>
      <w:r>
        <w:rPr>
          <w:spacing w:val="-30"/>
          <w:w w:val="105"/>
        </w:rPr>
        <w:t> </w:t>
      </w:r>
      <w:r>
        <w:rPr>
          <w:w w:val="105"/>
        </w:rPr>
        <w:t>–</w:t>
      </w:r>
      <w:r>
        <w:rPr>
          <w:spacing w:val="-30"/>
          <w:w w:val="105"/>
        </w:rPr>
        <w:t> </w:t>
      </w:r>
      <w:r>
        <w:rPr>
          <w:spacing w:val="2"/>
          <w:w w:val="105"/>
        </w:rPr>
        <w:t>Honorary </w:t>
      </w:r>
      <w:r>
        <w:rPr>
          <w:w w:val="105"/>
        </w:rPr>
        <w:t>Fellow</w:t>
      </w:r>
    </w:p>
    <w:p>
      <w:pPr>
        <w:pStyle w:val="BodyText"/>
        <w:spacing w:before="58"/>
        <w:ind w:left="107" w:right="-11"/>
      </w:pPr>
      <w:r>
        <w:rPr>
          <w:rFonts w:ascii="Century Gothic" w:hAnsi="Century Gothic"/>
          <w:b/>
          <w:w w:val="115"/>
        </w:rPr>
        <w:t>≥ </w:t>
      </w:r>
      <w:r>
        <w:rPr>
          <w:w w:val="105"/>
        </w:rPr>
        <w:t>Ms Polly Grundy – Community Fellow</w:t>
      </w:r>
    </w:p>
    <w:p>
      <w:pPr>
        <w:pStyle w:val="BodyText"/>
        <w:spacing w:before="60"/>
        <w:ind w:left="107" w:right="-11"/>
      </w:pPr>
      <w:r>
        <w:rPr>
          <w:rFonts w:ascii="Century Gothic" w:hAnsi="Century Gothic"/>
          <w:b/>
          <w:w w:val="115"/>
        </w:rPr>
        <w:t>≥ </w:t>
      </w:r>
      <w:r>
        <w:rPr>
          <w:w w:val="105"/>
        </w:rPr>
        <w:t>Mr Paul Tosi – Community Fellow</w:t>
      </w:r>
    </w:p>
    <w:p>
      <w:pPr>
        <w:pStyle w:val="BodyText"/>
        <w:spacing w:before="60"/>
        <w:ind w:left="107" w:right="-11"/>
      </w:pPr>
      <w:r>
        <w:rPr>
          <w:rFonts w:ascii="Century Gothic" w:hAnsi="Century Gothic"/>
          <w:b/>
          <w:w w:val="115"/>
        </w:rPr>
        <w:t>≥</w:t>
      </w:r>
      <w:r>
        <w:rPr>
          <w:rFonts w:ascii="Century Gothic" w:hAnsi="Century Gothic"/>
          <w:b/>
          <w:spacing w:val="-7"/>
          <w:w w:val="115"/>
        </w:rPr>
        <w:t> </w:t>
      </w:r>
      <w:r>
        <w:rPr>
          <w:w w:val="105"/>
        </w:rPr>
        <w:t>Ms</w:t>
      </w:r>
      <w:r>
        <w:rPr>
          <w:spacing w:val="-29"/>
          <w:w w:val="105"/>
        </w:rPr>
        <w:t> </w:t>
      </w:r>
      <w:r>
        <w:rPr>
          <w:w w:val="105"/>
        </w:rPr>
        <w:t>Anna</w:t>
      </w:r>
      <w:r>
        <w:rPr>
          <w:spacing w:val="-29"/>
          <w:w w:val="105"/>
        </w:rPr>
        <w:t> </w:t>
      </w:r>
      <w:r>
        <w:rPr>
          <w:w w:val="105"/>
        </w:rPr>
        <w:t>Louise</w:t>
      </w:r>
      <w:r>
        <w:rPr>
          <w:spacing w:val="-29"/>
          <w:w w:val="105"/>
        </w:rPr>
        <w:t> </w:t>
      </w:r>
      <w:r>
        <w:rPr>
          <w:w w:val="105"/>
        </w:rPr>
        <w:t>Buch</w:t>
      </w:r>
      <w:r>
        <w:rPr>
          <w:spacing w:val="-29"/>
          <w:w w:val="105"/>
        </w:rPr>
        <w:t> </w:t>
      </w:r>
      <w:r>
        <w:rPr>
          <w:w w:val="105"/>
        </w:rPr>
        <w:t>–</w:t>
      </w:r>
      <w:r>
        <w:rPr>
          <w:spacing w:val="-29"/>
          <w:w w:val="105"/>
        </w:rPr>
        <w:t> </w:t>
      </w:r>
      <w:r>
        <w:rPr>
          <w:w w:val="105"/>
        </w:rPr>
        <w:t>Community</w:t>
      </w:r>
      <w:r>
        <w:rPr>
          <w:spacing w:val="-29"/>
          <w:w w:val="105"/>
        </w:rPr>
        <w:t> </w:t>
      </w:r>
      <w:r>
        <w:rPr>
          <w:w w:val="105"/>
        </w:rPr>
        <w:t>Fellow</w:t>
      </w:r>
    </w:p>
    <w:p>
      <w:pPr>
        <w:pStyle w:val="BodyText"/>
        <w:spacing w:before="5"/>
        <w:rPr>
          <w:sz w:val="14"/>
        </w:rPr>
      </w:pPr>
    </w:p>
    <w:p>
      <w:pPr>
        <w:pStyle w:val="BodyText"/>
        <w:spacing w:line="249" w:lineRule="auto"/>
        <w:ind w:left="107" w:right="288"/>
      </w:pPr>
      <w:r>
        <w:rPr/>
        <w:t>The Board conferred the title of Emeritus Professor of the University on:</w:t>
      </w:r>
    </w:p>
    <w:p>
      <w:pPr>
        <w:pStyle w:val="BodyText"/>
        <w:spacing w:before="55"/>
        <w:ind w:left="107" w:right="-11"/>
      </w:pPr>
      <w:r>
        <w:rPr>
          <w:rFonts w:ascii="Century Gothic" w:hAnsi="Century Gothic"/>
          <w:b/>
          <w:w w:val="105"/>
        </w:rPr>
        <w:t>≥ </w:t>
      </w:r>
      <w:r>
        <w:rPr>
          <w:w w:val="105"/>
        </w:rPr>
        <w:t>Professor Robert Hodge</w:t>
      </w:r>
    </w:p>
    <w:p>
      <w:pPr>
        <w:pStyle w:val="BodyText"/>
        <w:spacing w:before="60"/>
        <w:ind w:left="107" w:right="-11"/>
      </w:pPr>
      <w:r>
        <w:rPr>
          <w:rFonts w:ascii="Century Gothic" w:hAnsi="Century Gothic"/>
          <w:b/>
          <w:w w:val="105"/>
        </w:rPr>
        <w:t>≥ </w:t>
      </w:r>
      <w:r>
        <w:rPr>
          <w:w w:val="105"/>
        </w:rPr>
        <w:t>Professor Natalie Bolzan</w:t>
      </w:r>
    </w:p>
    <w:p>
      <w:pPr>
        <w:pStyle w:val="BodyText"/>
        <w:spacing w:before="60"/>
        <w:ind w:left="107" w:right="-11"/>
      </w:pPr>
      <w:r>
        <w:rPr>
          <w:rFonts w:ascii="Century Gothic" w:hAnsi="Century Gothic"/>
          <w:b/>
          <w:w w:val="105"/>
        </w:rPr>
        <w:t>≥ </w:t>
      </w:r>
      <w:r>
        <w:rPr>
          <w:w w:val="105"/>
        </w:rPr>
        <w:t>Professor Rhonda Griffiths AM</w:t>
      </w:r>
    </w:p>
    <w:p>
      <w:pPr>
        <w:pStyle w:val="BodyText"/>
        <w:spacing w:before="1"/>
        <w:rPr>
          <w:sz w:val="23"/>
        </w:rPr>
      </w:pPr>
    </w:p>
    <w:p>
      <w:pPr>
        <w:pStyle w:val="Heading5"/>
        <w:ind w:right="-11"/>
      </w:pPr>
      <w:bookmarkStart w:name="_TOC_250050" w:id="4"/>
      <w:bookmarkEnd w:id="4"/>
      <w:r>
        <w:rPr>
          <w:w w:val="95"/>
        </w:rPr>
        <w:t>ACADEMIC SENATE</w:t>
      </w:r>
    </w:p>
    <w:p>
      <w:pPr>
        <w:pStyle w:val="BodyText"/>
        <w:spacing w:line="247" w:lineRule="auto" w:before="95"/>
        <w:ind w:left="107" w:right="-11"/>
      </w:pPr>
      <w:r>
        <w:rPr/>
        <w:t>The</w:t>
      </w:r>
      <w:r>
        <w:rPr>
          <w:spacing w:val="-14"/>
        </w:rPr>
        <w:t> </w:t>
      </w:r>
      <w:r>
        <w:rPr/>
        <w:t>Academic</w:t>
      </w:r>
      <w:r>
        <w:rPr>
          <w:spacing w:val="-14"/>
        </w:rPr>
        <w:t> </w:t>
      </w:r>
      <w:r>
        <w:rPr/>
        <w:t>Senate</w:t>
      </w:r>
      <w:r>
        <w:rPr>
          <w:spacing w:val="-14"/>
        </w:rPr>
        <w:t> </w:t>
      </w:r>
      <w:r>
        <w:rPr/>
        <w:t>is</w:t>
      </w:r>
      <w:r>
        <w:rPr>
          <w:spacing w:val="-14"/>
        </w:rPr>
        <w:t> </w:t>
      </w:r>
      <w:r>
        <w:rPr/>
        <w:t>a</w:t>
      </w:r>
      <w:r>
        <w:rPr>
          <w:spacing w:val="-14"/>
        </w:rPr>
        <w:t> </w:t>
      </w:r>
      <w:r>
        <w:rPr/>
        <w:t>standing</w:t>
      </w:r>
      <w:r>
        <w:rPr>
          <w:spacing w:val="-14"/>
        </w:rPr>
        <w:t> </w:t>
      </w:r>
      <w:r>
        <w:rPr/>
        <w:t>committee of the Board of Trustees, and is the peak forum of the University for academic debate and discourse. Its responsibilities, as defined </w:t>
      </w:r>
      <w:r>
        <w:rPr>
          <w:w w:val="85"/>
        </w:rPr>
        <w:t>by the </w:t>
      </w:r>
      <w:r>
        <w:rPr>
          <w:rFonts w:ascii="Century Gothic"/>
          <w:i/>
          <w:w w:val="85"/>
        </w:rPr>
        <w:t>Academic Governance Policy</w:t>
      </w:r>
      <w:r>
        <w:rPr>
          <w:w w:val="85"/>
        </w:rPr>
        <w:t>,</w:t>
      </w:r>
      <w:r>
        <w:rPr>
          <w:spacing w:val="8"/>
          <w:w w:val="85"/>
        </w:rPr>
        <w:t> </w:t>
      </w:r>
      <w:r>
        <w:rPr>
          <w:w w:val="85"/>
        </w:rPr>
        <w:t>are:</w:t>
      </w:r>
    </w:p>
    <w:p>
      <w:pPr>
        <w:pStyle w:val="BodyText"/>
        <w:spacing w:line="244" w:lineRule="auto" w:before="54"/>
        <w:ind w:left="305" w:right="-11" w:hanging="199"/>
      </w:pPr>
      <w:r>
        <w:rPr>
          <w:rFonts w:ascii="Century Gothic" w:hAnsi="Century Gothic"/>
          <w:b/>
          <w:w w:val="115"/>
        </w:rPr>
        <w:t>≥</w:t>
      </w:r>
      <w:r>
        <w:rPr>
          <w:rFonts w:ascii="Century Gothic" w:hAnsi="Century Gothic"/>
          <w:b/>
          <w:spacing w:val="-22"/>
          <w:w w:val="115"/>
        </w:rPr>
        <w:t> </w:t>
      </w:r>
      <w:r>
        <w:rPr>
          <w:w w:val="105"/>
        </w:rPr>
        <w:t>monitoring</w:t>
      </w:r>
      <w:r>
        <w:rPr>
          <w:spacing w:val="-37"/>
          <w:w w:val="105"/>
        </w:rPr>
        <w:t> </w:t>
      </w:r>
      <w:r>
        <w:rPr>
          <w:w w:val="105"/>
        </w:rPr>
        <w:t>academic</w:t>
      </w:r>
      <w:r>
        <w:rPr>
          <w:spacing w:val="-37"/>
          <w:w w:val="105"/>
        </w:rPr>
        <w:t> </w:t>
      </w:r>
      <w:r>
        <w:rPr>
          <w:w w:val="105"/>
        </w:rPr>
        <w:t>standards,</w:t>
      </w:r>
      <w:r>
        <w:rPr>
          <w:spacing w:val="-37"/>
          <w:w w:val="105"/>
        </w:rPr>
        <w:t> </w:t>
      </w:r>
      <w:r>
        <w:rPr>
          <w:w w:val="105"/>
        </w:rPr>
        <w:t>values</w:t>
      </w:r>
      <w:r>
        <w:rPr>
          <w:spacing w:val="-37"/>
          <w:w w:val="105"/>
        </w:rPr>
        <w:t> </w:t>
      </w:r>
      <w:r>
        <w:rPr>
          <w:w w:val="105"/>
        </w:rPr>
        <w:t>and </w:t>
      </w:r>
      <w:r>
        <w:rPr/>
        <w:t>quality</w:t>
      </w:r>
      <w:r>
        <w:rPr>
          <w:spacing w:val="-24"/>
        </w:rPr>
        <w:t> </w:t>
      </w:r>
      <w:r>
        <w:rPr/>
        <w:t>assurance</w:t>
      </w:r>
    </w:p>
    <w:p>
      <w:pPr>
        <w:pStyle w:val="BodyText"/>
        <w:spacing w:line="244" w:lineRule="auto" w:before="58"/>
        <w:ind w:left="305" w:right="-11" w:hanging="199"/>
      </w:pPr>
      <w:r>
        <w:rPr>
          <w:rFonts w:ascii="Century Gothic" w:hAnsi="Century Gothic"/>
          <w:b/>
          <w:w w:val="115"/>
        </w:rPr>
        <w:t>≥ </w:t>
      </w:r>
      <w:r>
        <w:rPr/>
        <w:t>advising on the development of, and performance against, academic plans</w:t>
      </w:r>
    </w:p>
    <w:p>
      <w:pPr>
        <w:pStyle w:val="BodyText"/>
        <w:spacing w:line="244" w:lineRule="auto" w:before="58"/>
        <w:ind w:left="305" w:right="214" w:hanging="199"/>
      </w:pPr>
      <w:r>
        <w:rPr>
          <w:rFonts w:ascii="Century Gothic" w:hAnsi="Century Gothic"/>
          <w:b/>
          <w:w w:val="115"/>
        </w:rPr>
        <w:t>≥</w:t>
      </w:r>
      <w:r>
        <w:rPr>
          <w:rFonts w:ascii="Century Gothic" w:hAnsi="Century Gothic"/>
          <w:b/>
          <w:spacing w:val="-18"/>
          <w:w w:val="115"/>
        </w:rPr>
        <w:t> </w:t>
      </w:r>
      <w:r>
        <w:rPr>
          <w:w w:val="105"/>
        </w:rPr>
        <w:t>monitoring</w:t>
      </w:r>
      <w:r>
        <w:rPr>
          <w:spacing w:val="-35"/>
          <w:w w:val="105"/>
        </w:rPr>
        <w:t> </w:t>
      </w:r>
      <w:r>
        <w:rPr>
          <w:w w:val="105"/>
        </w:rPr>
        <w:t>academic</w:t>
      </w:r>
      <w:r>
        <w:rPr>
          <w:spacing w:val="-35"/>
          <w:w w:val="105"/>
        </w:rPr>
        <w:t> </w:t>
      </w:r>
      <w:r>
        <w:rPr>
          <w:w w:val="105"/>
        </w:rPr>
        <w:t>collaborations</w:t>
      </w:r>
      <w:r>
        <w:rPr>
          <w:spacing w:val="-35"/>
          <w:w w:val="105"/>
        </w:rPr>
        <w:t> </w:t>
      </w:r>
      <w:r>
        <w:rPr>
          <w:w w:val="105"/>
        </w:rPr>
        <w:t>and partnerships</w:t>
      </w:r>
    </w:p>
    <w:p>
      <w:pPr>
        <w:pStyle w:val="BodyText"/>
        <w:spacing w:line="247" w:lineRule="auto" w:before="58"/>
        <w:ind w:left="305" w:right="462" w:hanging="199"/>
      </w:pPr>
      <w:r>
        <w:rPr>
          <w:rFonts w:ascii="Century Gothic" w:hAnsi="Century Gothic"/>
          <w:b/>
          <w:w w:val="115"/>
        </w:rPr>
        <w:t>≥ </w:t>
      </w:r>
      <w:r>
        <w:rPr/>
        <w:t>promoting and monitoring academic quality, standards and values of the University’s academic activities</w:t>
      </w:r>
    </w:p>
    <w:p>
      <w:pPr>
        <w:pStyle w:val="BodyText"/>
        <w:spacing w:line="247" w:lineRule="auto" w:before="57"/>
        <w:ind w:left="305" w:right="234" w:hanging="199"/>
      </w:pPr>
      <w:r>
        <w:rPr>
          <w:rFonts w:ascii="Century Gothic" w:hAnsi="Century Gothic"/>
          <w:b/>
          <w:w w:val="115"/>
        </w:rPr>
        <w:t>≥ </w:t>
      </w:r>
      <w:r>
        <w:rPr/>
        <w:t>advising on the University’s academic plans and advising the Board and Vice- Chancellor as appropriate</w:t>
      </w:r>
    </w:p>
    <w:p>
      <w:pPr>
        <w:pStyle w:val="BodyText"/>
        <w:spacing w:line="244" w:lineRule="auto" w:before="57"/>
        <w:ind w:left="305" w:right="203" w:hanging="199"/>
      </w:pPr>
      <w:r>
        <w:rPr>
          <w:rFonts w:ascii="Century Gothic" w:hAnsi="Century Gothic"/>
          <w:b/>
          <w:w w:val="115"/>
        </w:rPr>
        <w:t>≥</w:t>
      </w:r>
      <w:r>
        <w:rPr>
          <w:rFonts w:ascii="Century Gothic" w:hAnsi="Century Gothic"/>
          <w:b/>
          <w:spacing w:val="-5"/>
          <w:w w:val="115"/>
        </w:rPr>
        <w:t> </w:t>
      </w:r>
      <w:r>
        <w:rPr>
          <w:w w:val="105"/>
        </w:rPr>
        <w:t>deciding</w:t>
      </w:r>
      <w:r>
        <w:rPr>
          <w:spacing w:val="-28"/>
          <w:w w:val="105"/>
        </w:rPr>
        <w:t> </w:t>
      </w:r>
      <w:r>
        <w:rPr>
          <w:w w:val="105"/>
        </w:rPr>
        <w:t>academic</w:t>
      </w:r>
      <w:r>
        <w:rPr>
          <w:spacing w:val="-28"/>
          <w:w w:val="105"/>
        </w:rPr>
        <w:t> </w:t>
      </w:r>
      <w:r>
        <w:rPr>
          <w:w w:val="105"/>
        </w:rPr>
        <w:t>policy</w:t>
      </w:r>
      <w:r>
        <w:rPr>
          <w:spacing w:val="-28"/>
          <w:w w:val="105"/>
        </w:rPr>
        <w:t> </w:t>
      </w:r>
      <w:r>
        <w:rPr>
          <w:w w:val="105"/>
        </w:rPr>
        <w:t>and</w:t>
      </w:r>
      <w:r>
        <w:rPr>
          <w:spacing w:val="-28"/>
          <w:w w:val="105"/>
        </w:rPr>
        <w:t> </w:t>
      </w:r>
      <w:r>
        <w:rPr>
          <w:w w:val="105"/>
        </w:rPr>
        <w:t>approving </w:t>
      </w:r>
      <w:r>
        <w:rPr/>
        <w:t>related</w:t>
      </w:r>
      <w:r>
        <w:rPr>
          <w:spacing w:val="-23"/>
        </w:rPr>
        <w:t> </w:t>
      </w:r>
      <w:r>
        <w:rPr/>
        <w:t>procedures</w:t>
      </w:r>
    </w:p>
    <w:p>
      <w:pPr>
        <w:pStyle w:val="BodyText"/>
        <w:spacing w:line="244" w:lineRule="auto" w:before="71"/>
        <w:ind w:left="305" w:right="561" w:hanging="199"/>
      </w:pPr>
      <w:r>
        <w:rPr/>
        <w:br w:type="column"/>
      </w:r>
      <w:r>
        <w:rPr>
          <w:rFonts w:ascii="Century Gothic" w:hAnsi="Century Gothic"/>
          <w:b/>
          <w:w w:val="115"/>
        </w:rPr>
        <w:t>≥</w:t>
      </w:r>
      <w:r>
        <w:rPr>
          <w:rFonts w:ascii="Century Gothic" w:hAnsi="Century Gothic"/>
          <w:b/>
          <w:spacing w:val="-18"/>
          <w:w w:val="115"/>
        </w:rPr>
        <w:t> </w:t>
      </w:r>
      <w:r>
        <w:rPr>
          <w:w w:val="105"/>
        </w:rPr>
        <w:t>accrediting</w:t>
      </w:r>
      <w:r>
        <w:rPr>
          <w:spacing w:val="-35"/>
          <w:w w:val="105"/>
        </w:rPr>
        <w:t> </w:t>
      </w:r>
      <w:r>
        <w:rPr>
          <w:w w:val="105"/>
        </w:rPr>
        <w:t>and</w:t>
      </w:r>
      <w:r>
        <w:rPr>
          <w:spacing w:val="-35"/>
          <w:w w:val="105"/>
        </w:rPr>
        <w:t> </w:t>
      </w:r>
      <w:r>
        <w:rPr>
          <w:w w:val="105"/>
        </w:rPr>
        <w:t>approving</w:t>
      </w:r>
      <w:r>
        <w:rPr>
          <w:spacing w:val="-35"/>
          <w:w w:val="105"/>
        </w:rPr>
        <w:t> </w:t>
      </w:r>
      <w:r>
        <w:rPr>
          <w:w w:val="105"/>
        </w:rPr>
        <w:t>courses, </w:t>
      </w:r>
      <w:r>
        <w:rPr/>
        <w:t>programs and</w:t>
      </w:r>
      <w:r>
        <w:rPr>
          <w:spacing w:val="-32"/>
        </w:rPr>
        <w:t> </w:t>
      </w:r>
      <w:r>
        <w:rPr/>
        <w:t>units</w:t>
      </w:r>
    </w:p>
    <w:p>
      <w:pPr>
        <w:pStyle w:val="BodyText"/>
        <w:spacing w:line="244" w:lineRule="auto" w:before="58"/>
        <w:ind w:left="305" w:right="55" w:hanging="199"/>
      </w:pPr>
      <w:r>
        <w:rPr>
          <w:rFonts w:ascii="Century Gothic" w:hAnsi="Century Gothic"/>
          <w:b/>
          <w:w w:val="115"/>
        </w:rPr>
        <w:t>≥</w:t>
      </w:r>
      <w:r>
        <w:rPr>
          <w:rFonts w:ascii="Century Gothic" w:hAnsi="Century Gothic"/>
          <w:b/>
          <w:spacing w:val="-9"/>
          <w:w w:val="115"/>
        </w:rPr>
        <w:t> </w:t>
      </w:r>
      <w:r>
        <w:rPr>
          <w:w w:val="105"/>
        </w:rPr>
        <w:t>promoting</w:t>
      </w:r>
      <w:r>
        <w:rPr>
          <w:spacing w:val="-30"/>
          <w:w w:val="105"/>
        </w:rPr>
        <w:t> </w:t>
      </w:r>
      <w:r>
        <w:rPr>
          <w:w w:val="105"/>
        </w:rPr>
        <w:t>the</w:t>
      </w:r>
      <w:r>
        <w:rPr>
          <w:spacing w:val="-30"/>
          <w:w w:val="105"/>
        </w:rPr>
        <w:t> </w:t>
      </w:r>
      <w:r>
        <w:rPr>
          <w:w w:val="105"/>
        </w:rPr>
        <w:t>quality</w:t>
      </w:r>
      <w:r>
        <w:rPr>
          <w:spacing w:val="-30"/>
          <w:w w:val="105"/>
        </w:rPr>
        <w:t> </w:t>
      </w:r>
      <w:r>
        <w:rPr>
          <w:w w:val="105"/>
        </w:rPr>
        <w:t>and</w:t>
      </w:r>
      <w:r>
        <w:rPr>
          <w:spacing w:val="-30"/>
          <w:w w:val="105"/>
        </w:rPr>
        <w:t> </w:t>
      </w:r>
      <w:r>
        <w:rPr>
          <w:w w:val="105"/>
        </w:rPr>
        <w:t>development</w:t>
      </w:r>
      <w:r>
        <w:rPr>
          <w:spacing w:val="-30"/>
          <w:w w:val="105"/>
        </w:rPr>
        <w:t> </w:t>
      </w:r>
      <w:r>
        <w:rPr>
          <w:w w:val="105"/>
        </w:rPr>
        <w:t>of </w:t>
      </w:r>
      <w:r>
        <w:rPr/>
        <w:t>research</w:t>
      </w:r>
      <w:r>
        <w:rPr>
          <w:spacing w:val="-21"/>
        </w:rPr>
        <w:t> </w:t>
      </w:r>
      <w:r>
        <w:rPr/>
        <w:t>in</w:t>
      </w:r>
      <w:r>
        <w:rPr>
          <w:spacing w:val="-21"/>
        </w:rPr>
        <w:t> </w:t>
      </w:r>
      <w:r>
        <w:rPr/>
        <w:t>the</w:t>
      </w:r>
      <w:r>
        <w:rPr>
          <w:spacing w:val="-21"/>
        </w:rPr>
        <w:t> </w:t>
      </w:r>
      <w:r>
        <w:rPr/>
        <w:t>University</w:t>
      </w:r>
    </w:p>
    <w:p>
      <w:pPr>
        <w:pStyle w:val="BodyText"/>
        <w:spacing w:before="4"/>
        <w:rPr>
          <w:sz w:val="14"/>
        </w:rPr>
      </w:pPr>
    </w:p>
    <w:p>
      <w:pPr>
        <w:pStyle w:val="BodyText"/>
        <w:spacing w:line="249" w:lineRule="auto"/>
        <w:ind w:left="107" w:right="-7"/>
      </w:pPr>
      <w:r>
        <w:rPr/>
        <w:t>The Board of Trustees has delegated the responsibility for academic policy formulation and a range of academic decisions to the Academic Senate, which is supported by Specialist and School Standing committees. The Chair of Senate reports regularly to the Board, and gives advice on the management of academic risk.</w:t>
      </w:r>
    </w:p>
    <w:p>
      <w:pPr>
        <w:pStyle w:val="BodyText"/>
        <w:rPr>
          <w:sz w:val="14"/>
        </w:rPr>
      </w:pPr>
    </w:p>
    <w:p>
      <w:pPr>
        <w:pStyle w:val="BodyText"/>
        <w:spacing w:line="249" w:lineRule="auto"/>
        <w:ind w:left="107" w:right="60"/>
      </w:pPr>
      <w:r>
        <w:rPr/>
        <w:t>The</w:t>
      </w:r>
      <w:r>
        <w:rPr>
          <w:spacing w:val="-15"/>
        </w:rPr>
        <w:t> </w:t>
      </w:r>
      <w:r>
        <w:rPr/>
        <w:t>Academic</w:t>
      </w:r>
      <w:r>
        <w:rPr>
          <w:spacing w:val="-15"/>
        </w:rPr>
        <w:t> </w:t>
      </w:r>
      <w:r>
        <w:rPr/>
        <w:t>Senate’s</w:t>
      </w:r>
      <w:r>
        <w:rPr>
          <w:spacing w:val="-15"/>
        </w:rPr>
        <w:t> </w:t>
      </w:r>
      <w:r>
        <w:rPr/>
        <w:t>Work</w:t>
      </w:r>
      <w:r>
        <w:rPr>
          <w:spacing w:val="-15"/>
        </w:rPr>
        <w:t> </w:t>
      </w:r>
      <w:r>
        <w:rPr/>
        <w:t>Plan</w:t>
      </w:r>
      <w:r>
        <w:rPr>
          <w:spacing w:val="-15"/>
        </w:rPr>
        <w:t> </w:t>
      </w:r>
      <w:r>
        <w:rPr/>
        <w:t>aligns</w:t>
      </w:r>
      <w:r>
        <w:rPr>
          <w:spacing w:val="-15"/>
        </w:rPr>
        <w:t> </w:t>
      </w:r>
      <w:r>
        <w:rPr/>
        <w:t>with the University’s Securing Success strategic plan and strategic risk register, and sets out the main priorities for Senate’s activities, taking</w:t>
      </w:r>
      <w:r>
        <w:rPr>
          <w:spacing w:val="-17"/>
        </w:rPr>
        <w:t> </w:t>
      </w:r>
      <w:r>
        <w:rPr/>
        <w:t>account</w:t>
      </w:r>
      <w:r>
        <w:rPr>
          <w:spacing w:val="-17"/>
        </w:rPr>
        <w:t> </w:t>
      </w:r>
      <w:r>
        <w:rPr/>
        <w:t>of</w:t>
      </w:r>
      <w:r>
        <w:rPr>
          <w:spacing w:val="-17"/>
        </w:rPr>
        <w:t> </w:t>
      </w:r>
      <w:r>
        <w:rPr/>
        <w:t>the</w:t>
      </w:r>
      <w:r>
        <w:rPr>
          <w:spacing w:val="-17"/>
        </w:rPr>
        <w:t> </w:t>
      </w:r>
      <w:r>
        <w:rPr/>
        <w:t>Senate’s</w:t>
      </w:r>
      <w:r>
        <w:rPr>
          <w:spacing w:val="-17"/>
        </w:rPr>
        <w:t> </w:t>
      </w:r>
      <w:r>
        <w:rPr/>
        <w:t>role</w:t>
      </w:r>
      <w:r>
        <w:rPr>
          <w:spacing w:val="-17"/>
        </w:rPr>
        <w:t> </w:t>
      </w:r>
      <w:r>
        <w:rPr/>
        <w:t>and</w:t>
      </w:r>
      <w:r>
        <w:rPr>
          <w:spacing w:val="-17"/>
        </w:rPr>
        <w:t> </w:t>
      </w:r>
      <w:r>
        <w:rPr/>
        <w:t>terms </w:t>
      </w:r>
      <w:r>
        <w:rPr>
          <w:w w:val="95"/>
        </w:rPr>
        <w:t>of</w:t>
      </w:r>
      <w:r>
        <w:rPr>
          <w:spacing w:val="2"/>
          <w:w w:val="95"/>
        </w:rPr>
        <w:t> </w:t>
      </w:r>
      <w:r>
        <w:rPr>
          <w:w w:val="95"/>
        </w:rPr>
        <w:t>reference.</w:t>
      </w:r>
    </w:p>
    <w:p>
      <w:pPr>
        <w:pStyle w:val="BodyText"/>
        <w:spacing w:before="3"/>
        <w:rPr>
          <w:sz w:val="19"/>
        </w:rPr>
      </w:pPr>
    </w:p>
    <w:p>
      <w:pPr>
        <w:pStyle w:val="Heading7"/>
        <w:ind w:right="561"/>
      </w:pPr>
      <w:r>
        <w:rPr>
          <w:w w:val="95"/>
        </w:rPr>
        <w:t>ACTIVITIES IN 2016</w:t>
      </w:r>
    </w:p>
    <w:p>
      <w:pPr>
        <w:pStyle w:val="BodyText"/>
        <w:spacing w:line="247" w:lineRule="auto" w:before="58"/>
        <w:ind w:left="107" w:right="280"/>
      </w:pPr>
      <w:r>
        <w:rPr>
          <w:spacing w:val="1"/>
          <w:w w:val="97"/>
        </w:rPr>
        <w:t>During</w:t>
      </w:r>
      <w:r>
        <w:rPr>
          <w:w w:val="97"/>
        </w:rPr>
        <w:t> </w:t>
      </w:r>
      <w:r>
        <w:rPr>
          <w:spacing w:val="2"/>
          <w:w w:val="85"/>
        </w:rPr>
        <w:t>2016,</w:t>
      </w:r>
      <w:r>
        <w:rPr>
          <w:w w:val="85"/>
        </w:rPr>
        <w:t> </w:t>
      </w:r>
      <w:r>
        <w:rPr>
          <w:spacing w:val="1"/>
          <w:w w:val="100"/>
        </w:rPr>
        <w:t>Academic</w:t>
      </w:r>
      <w:r>
        <w:rPr>
          <w:w w:val="100"/>
        </w:rPr>
        <w:t> </w:t>
      </w:r>
      <w:r>
        <w:rPr>
          <w:w w:val="96"/>
        </w:rPr>
        <w:t>Senate’s </w:t>
      </w:r>
      <w:r>
        <w:rPr>
          <w:spacing w:val="1"/>
          <w:w w:val="97"/>
        </w:rPr>
        <w:t>priorities</w:t>
      </w:r>
      <w:r>
        <w:rPr>
          <w:w w:val="97"/>
        </w:rPr>
        <w:t> </w:t>
      </w:r>
      <w:r>
        <w:rPr/>
        <w:t>have addressed its responsibilities regarding the promotion and monitoring of academic quality, standards and values;</w:t>
      </w:r>
      <w:r>
        <w:rPr>
          <w:spacing w:val="-37"/>
        </w:rPr>
        <w:t> </w:t>
      </w:r>
      <w:r>
        <w:rPr/>
        <w:t>the</w:t>
      </w:r>
      <w:r>
        <w:rPr>
          <w:spacing w:val="-37"/>
        </w:rPr>
        <w:t> </w:t>
      </w:r>
      <w:r>
        <w:rPr/>
        <w:t>University’s</w:t>
      </w:r>
      <w:r>
        <w:rPr>
          <w:spacing w:val="-37"/>
        </w:rPr>
        <w:t> </w:t>
      </w:r>
      <w:r>
        <w:rPr>
          <w:rFonts w:ascii="Century Gothic" w:hAnsi="Century Gothic"/>
          <w:i/>
        </w:rPr>
        <w:t>Securing</w:t>
      </w:r>
      <w:r>
        <w:rPr>
          <w:rFonts w:ascii="Century Gothic" w:hAnsi="Century Gothic"/>
          <w:i/>
          <w:spacing w:val="-31"/>
        </w:rPr>
        <w:t> </w:t>
      </w:r>
      <w:r>
        <w:rPr>
          <w:rFonts w:ascii="Century Gothic" w:hAnsi="Century Gothic"/>
          <w:i/>
        </w:rPr>
        <w:t>Success </w:t>
      </w:r>
      <w:r>
        <w:rPr/>
        <w:t>strategic</w:t>
      </w:r>
      <w:r>
        <w:rPr>
          <w:spacing w:val="-23"/>
        </w:rPr>
        <w:t> </w:t>
      </w:r>
      <w:r>
        <w:rPr/>
        <w:t>priorities;</w:t>
      </w:r>
      <w:r>
        <w:rPr>
          <w:spacing w:val="-23"/>
        </w:rPr>
        <w:t> </w:t>
      </w:r>
      <w:r>
        <w:rPr/>
        <w:t>and</w:t>
      </w:r>
      <w:r>
        <w:rPr>
          <w:spacing w:val="-23"/>
        </w:rPr>
        <w:t> </w:t>
      </w:r>
      <w:r>
        <w:rPr/>
        <w:t>Senate’s</w:t>
      </w:r>
      <w:r>
        <w:rPr>
          <w:spacing w:val="-23"/>
        </w:rPr>
        <w:t> </w:t>
      </w:r>
      <w:r>
        <w:rPr/>
        <w:t>legislated role as the “peak forum of the University for</w:t>
      </w:r>
      <w:r>
        <w:rPr>
          <w:spacing w:val="-20"/>
        </w:rPr>
        <w:t> </w:t>
      </w:r>
      <w:r>
        <w:rPr/>
        <w:t>academic</w:t>
      </w:r>
      <w:r>
        <w:rPr>
          <w:spacing w:val="-20"/>
        </w:rPr>
        <w:t> </w:t>
      </w:r>
      <w:r>
        <w:rPr/>
        <w:t>debate</w:t>
      </w:r>
      <w:r>
        <w:rPr>
          <w:spacing w:val="-20"/>
        </w:rPr>
        <w:t> </w:t>
      </w:r>
      <w:r>
        <w:rPr/>
        <w:t>and</w:t>
      </w:r>
      <w:r>
        <w:rPr>
          <w:spacing w:val="-20"/>
        </w:rPr>
        <w:t> </w:t>
      </w:r>
      <w:r>
        <w:rPr/>
        <w:t>discourse”.</w:t>
      </w:r>
    </w:p>
    <w:p>
      <w:pPr>
        <w:pStyle w:val="BodyText"/>
        <w:spacing w:before="2"/>
        <w:rPr>
          <w:sz w:val="14"/>
        </w:rPr>
      </w:pPr>
    </w:p>
    <w:p>
      <w:pPr>
        <w:spacing w:line="247" w:lineRule="auto" w:before="0"/>
        <w:ind w:left="107" w:right="-3" w:firstLine="0"/>
        <w:jc w:val="left"/>
        <w:rPr>
          <w:sz w:val="16"/>
        </w:rPr>
      </w:pPr>
      <w:r>
        <w:rPr>
          <w:sz w:val="16"/>
        </w:rPr>
        <w:t>Senate</w:t>
      </w:r>
      <w:r>
        <w:rPr>
          <w:spacing w:val="-19"/>
          <w:sz w:val="16"/>
        </w:rPr>
        <w:t> </w:t>
      </w:r>
      <w:r>
        <w:rPr>
          <w:sz w:val="16"/>
        </w:rPr>
        <w:t>reviewed</w:t>
      </w:r>
      <w:r>
        <w:rPr>
          <w:spacing w:val="-19"/>
          <w:sz w:val="16"/>
        </w:rPr>
        <w:t> </w:t>
      </w:r>
      <w:r>
        <w:rPr>
          <w:sz w:val="16"/>
        </w:rPr>
        <w:t>and</w:t>
      </w:r>
      <w:r>
        <w:rPr>
          <w:spacing w:val="-19"/>
          <w:sz w:val="16"/>
        </w:rPr>
        <w:t> </w:t>
      </w:r>
      <w:r>
        <w:rPr>
          <w:sz w:val="16"/>
        </w:rPr>
        <w:t>monitored</w:t>
      </w:r>
      <w:r>
        <w:rPr>
          <w:spacing w:val="-19"/>
          <w:sz w:val="16"/>
        </w:rPr>
        <w:t> </w:t>
      </w:r>
      <w:r>
        <w:rPr>
          <w:sz w:val="16"/>
        </w:rPr>
        <w:t>the</w:t>
      </w:r>
      <w:r>
        <w:rPr>
          <w:spacing w:val="-19"/>
          <w:sz w:val="16"/>
        </w:rPr>
        <w:t> </w:t>
      </w:r>
      <w:r>
        <w:rPr>
          <w:sz w:val="16"/>
        </w:rPr>
        <w:t>alignment of its academic policies and procedures with the national </w:t>
      </w:r>
      <w:r>
        <w:rPr>
          <w:rFonts w:ascii="Century Gothic"/>
          <w:i/>
          <w:sz w:val="16"/>
        </w:rPr>
        <w:t>Higher Education Standards </w:t>
      </w:r>
      <w:r>
        <w:rPr>
          <w:rFonts w:ascii="Century Gothic"/>
          <w:i/>
          <w:sz w:val="16"/>
        </w:rPr>
        <w:t>Framework (Threshold Standards) 2015</w:t>
      </w:r>
      <w:r>
        <w:rPr>
          <w:sz w:val="16"/>
        </w:rPr>
        <w:t>, </w:t>
      </w:r>
      <w:r>
        <w:rPr>
          <w:spacing w:val="1"/>
          <w:w w:val="98"/>
          <w:sz w:val="16"/>
        </w:rPr>
        <w:t>implemented</w:t>
      </w:r>
      <w:r>
        <w:rPr>
          <w:w w:val="98"/>
          <w:sz w:val="16"/>
        </w:rPr>
        <w:t> </w:t>
      </w:r>
      <w:r>
        <w:rPr>
          <w:spacing w:val="1"/>
          <w:w w:val="98"/>
          <w:sz w:val="16"/>
        </w:rPr>
        <w:t>from</w:t>
      </w:r>
      <w:r>
        <w:rPr>
          <w:w w:val="98"/>
          <w:sz w:val="16"/>
        </w:rPr>
        <w:t> </w:t>
      </w:r>
      <w:r>
        <w:rPr>
          <w:w w:val="54"/>
          <w:sz w:val="16"/>
        </w:rPr>
        <w:t>1 </w:t>
      </w:r>
      <w:r>
        <w:rPr>
          <w:spacing w:val="2"/>
          <w:w w:val="98"/>
          <w:sz w:val="16"/>
        </w:rPr>
        <w:t>January</w:t>
      </w:r>
      <w:r>
        <w:rPr>
          <w:w w:val="98"/>
          <w:sz w:val="16"/>
        </w:rPr>
        <w:t> </w:t>
      </w:r>
      <w:r>
        <w:rPr>
          <w:spacing w:val="-2"/>
          <w:w w:val="83"/>
          <w:sz w:val="16"/>
        </w:rPr>
        <w:t>2017,</w:t>
      </w:r>
      <w:r>
        <w:rPr>
          <w:spacing w:val="-11"/>
          <w:w w:val="83"/>
          <w:sz w:val="16"/>
        </w:rPr>
        <w:t> </w:t>
      </w:r>
      <w:r>
        <w:rPr>
          <w:spacing w:val="1"/>
          <w:w w:val="97"/>
          <w:sz w:val="16"/>
        </w:rPr>
        <w:t>and</w:t>
      </w:r>
    </w:p>
    <w:p>
      <w:pPr>
        <w:pStyle w:val="BodyText"/>
        <w:spacing w:line="249" w:lineRule="auto" w:before="1"/>
        <w:ind w:left="107" w:right="197"/>
      </w:pPr>
      <w:r>
        <w:rPr/>
        <w:t>its academic governance working party gave advice about Senate’s processes and</w:t>
      </w:r>
    </w:p>
    <w:p>
      <w:pPr>
        <w:spacing w:line="247" w:lineRule="auto" w:before="0"/>
        <w:ind w:left="107" w:right="63" w:firstLine="0"/>
        <w:jc w:val="left"/>
        <w:rPr>
          <w:sz w:val="16"/>
        </w:rPr>
      </w:pPr>
      <w:r>
        <w:rPr>
          <w:sz w:val="16"/>
        </w:rPr>
        <w:t>performance</w:t>
      </w:r>
      <w:r>
        <w:rPr>
          <w:spacing w:val="-17"/>
          <w:sz w:val="16"/>
        </w:rPr>
        <w:t> </w:t>
      </w:r>
      <w:r>
        <w:rPr>
          <w:sz w:val="16"/>
        </w:rPr>
        <w:t>in</w:t>
      </w:r>
      <w:r>
        <w:rPr>
          <w:spacing w:val="-17"/>
          <w:sz w:val="16"/>
        </w:rPr>
        <w:t> </w:t>
      </w:r>
      <w:r>
        <w:rPr>
          <w:sz w:val="16"/>
        </w:rPr>
        <w:t>relation</w:t>
      </w:r>
      <w:r>
        <w:rPr>
          <w:spacing w:val="-17"/>
          <w:sz w:val="16"/>
        </w:rPr>
        <w:t> </w:t>
      </w:r>
      <w:r>
        <w:rPr>
          <w:sz w:val="16"/>
        </w:rPr>
        <w:t>to</w:t>
      </w:r>
      <w:r>
        <w:rPr>
          <w:spacing w:val="-17"/>
          <w:sz w:val="16"/>
        </w:rPr>
        <w:t> </w:t>
      </w:r>
      <w:r>
        <w:rPr>
          <w:sz w:val="16"/>
        </w:rPr>
        <w:t>the</w:t>
      </w:r>
      <w:r>
        <w:rPr>
          <w:spacing w:val="-17"/>
          <w:sz w:val="16"/>
        </w:rPr>
        <w:t> </w:t>
      </w:r>
      <w:r>
        <w:rPr>
          <w:sz w:val="16"/>
        </w:rPr>
        <w:t>new</w:t>
      </w:r>
      <w:r>
        <w:rPr>
          <w:spacing w:val="-17"/>
          <w:sz w:val="16"/>
        </w:rPr>
        <w:t> </w:t>
      </w:r>
      <w:r>
        <w:rPr>
          <w:sz w:val="16"/>
        </w:rPr>
        <w:t>Standards and TEQSA’s guidance note on academic governance. Senate also discussed and endorsed the </w:t>
      </w:r>
      <w:r>
        <w:rPr>
          <w:rFonts w:ascii="Century Gothic" w:hAnsi="Century Gothic"/>
          <w:i/>
          <w:sz w:val="16"/>
        </w:rPr>
        <w:t>Learning Futures 2016-2020 </w:t>
      </w:r>
      <w:r>
        <w:rPr>
          <w:w w:val="95"/>
          <w:sz w:val="16"/>
        </w:rPr>
        <w:t>Plan</w:t>
      </w:r>
      <w:r>
        <w:rPr>
          <w:spacing w:val="-16"/>
          <w:w w:val="95"/>
          <w:sz w:val="16"/>
        </w:rPr>
        <w:t> </w:t>
      </w:r>
      <w:r>
        <w:rPr>
          <w:w w:val="95"/>
          <w:sz w:val="16"/>
        </w:rPr>
        <w:t>as</w:t>
      </w:r>
      <w:r>
        <w:rPr>
          <w:spacing w:val="-16"/>
          <w:w w:val="95"/>
          <w:sz w:val="16"/>
        </w:rPr>
        <w:t> </w:t>
      </w:r>
      <w:r>
        <w:rPr>
          <w:w w:val="95"/>
          <w:sz w:val="16"/>
        </w:rPr>
        <w:t>a</w:t>
      </w:r>
      <w:r>
        <w:rPr>
          <w:spacing w:val="-16"/>
          <w:w w:val="95"/>
          <w:sz w:val="16"/>
        </w:rPr>
        <w:t> </w:t>
      </w:r>
      <w:r>
        <w:rPr>
          <w:w w:val="95"/>
          <w:sz w:val="16"/>
        </w:rPr>
        <w:t>key</w:t>
      </w:r>
      <w:r>
        <w:rPr>
          <w:spacing w:val="-16"/>
          <w:w w:val="95"/>
          <w:sz w:val="16"/>
        </w:rPr>
        <w:t> </w:t>
      </w:r>
      <w:r>
        <w:rPr>
          <w:w w:val="95"/>
          <w:sz w:val="16"/>
        </w:rPr>
        <w:t>element</w:t>
      </w:r>
      <w:r>
        <w:rPr>
          <w:spacing w:val="-16"/>
          <w:w w:val="95"/>
          <w:sz w:val="16"/>
        </w:rPr>
        <w:t> </w:t>
      </w:r>
      <w:r>
        <w:rPr>
          <w:w w:val="95"/>
          <w:sz w:val="16"/>
        </w:rPr>
        <w:t>of</w:t>
      </w:r>
      <w:r>
        <w:rPr>
          <w:spacing w:val="-16"/>
          <w:w w:val="95"/>
          <w:sz w:val="16"/>
        </w:rPr>
        <w:t> </w:t>
      </w:r>
      <w:r>
        <w:rPr>
          <w:rFonts w:ascii="Century Gothic" w:hAnsi="Century Gothic"/>
          <w:i/>
          <w:w w:val="95"/>
          <w:sz w:val="16"/>
        </w:rPr>
        <w:t>Securing</w:t>
      </w:r>
      <w:r>
        <w:rPr>
          <w:rFonts w:ascii="Century Gothic" w:hAnsi="Century Gothic"/>
          <w:i/>
          <w:spacing w:val="-11"/>
          <w:w w:val="95"/>
          <w:sz w:val="16"/>
        </w:rPr>
        <w:t> </w:t>
      </w:r>
      <w:r>
        <w:rPr>
          <w:rFonts w:ascii="Century Gothic" w:hAnsi="Century Gothic"/>
          <w:i/>
          <w:w w:val="95"/>
          <w:sz w:val="16"/>
        </w:rPr>
        <w:t>Success</w:t>
      </w:r>
      <w:r>
        <w:rPr>
          <w:w w:val="95"/>
          <w:sz w:val="16"/>
        </w:rPr>
        <w:t>.</w:t>
      </w:r>
    </w:p>
    <w:p>
      <w:pPr>
        <w:pStyle w:val="BodyText"/>
        <w:spacing w:before="12"/>
        <w:rPr>
          <w:sz w:val="13"/>
        </w:rPr>
      </w:pPr>
    </w:p>
    <w:p>
      <w:pPr>
        <w:pStyle w:val="BodyText"/>
        <w:spacing w:line="249" w:lineRule="auto"/>
        <w:ind w:left="107" w:right="55"/>
      </w:pPr>
      <w:r>
        <w:rPr/>
        <w:t>A self-review of Academic Senate was </w:t>
      </w:r>
      <w:r>
        <w:rPr>
          <w:spacing w:val="1"/>
          <w:w w:val="99"/>
        </w:rPr>
        <w:t>conducted</w:t>
      </w:r>
      <w:r>
        <w:rPr>
          <w:w w:val="99"/>
        </w:rPr>
        <w:t> </w:t>
      </w:r>
      <w:r>
        <w:rPr>
          <w:w w:val="95"/>
        </w:rPr>
        <w:t>in </w:t>
      </w:r>
      <w:r>
        <w:rPr>
          <w:spacing w:val="-1"/>
          <w:w w:val="97"/>
        </w:rPr>
        <w:t>late</w:t>
      </w:r>
      <w:r>
        <w:rPr>
          <w:w w:val="97"/>
        </w:rPr>
        <w:t> </w:t>
      </w:r>
      <w:r>
        <w:rPr>
          <w:spacing w:val="1"/>
          <w:w w:val="84"/>
        </w:rPr>
        <w:t>2015,</w:t>
      </w:r>
      <w:r>
        <w:rPr>
          <w:w w:val="84"/>
        </w:rPr>
        <w:t> </w:t>
      </w:r>
      <w:r>
        <w:rPr>
          <w:w w:val="98"/>
        </w:rPr>
        <w:t>following </w:t>
      </w:r>
      <w:r>
        <w:rPr>
          <w:w w:val="97"/>
        </w:rPr>
        <w:t>the </w:t>
      </w:r>
      <w:r>
        <w:rPr/>
        <w:t>Performance</w:t>
      </w:r>
      <w:r>
        <w:rPr>
          <w:spacing w:val="-17"/>
        </w:rPr>
        <w:t> </w:t>
      </w:r>
      <w:r>
        <w:rPr/>
        <w:t>Review</w:t>
      </w:r>
      <w:r>
        <w:rPr>
          <w:spacing w:val="-17"/>
        </w:rPr>
        <w:t> </w:t>
      </w:r>
      <w:r>
        <w:rPr/>
        <w:t>of</w:t>
      </w:r>
      <w:r>
        <w:rPr>
          <w:spacing w:val="-17"/>
        </w:rPr>
        <w:t> </w:t>
      </w:r>
      <w:r>
        <w:rPr/>
        <w:t>the</w:t>
      </w:r>
      <w:r>
        <w:rPr>
          <w:spacing w:val="-17"/>
        </w:rPr>
        <w:t> </w:t>
      </w:r>
      <w:r>
        <w:rPr/>
        <w:t>Board</w:t>
      </w:r>
      <w:r>
        <w:rPr>
          <w:spacing w:val="-17"/>
        </w:rPr>
        <w:t> </w:t>
      </w:r>
      <w:r>
        <w:rPr/>
        <w:t>of</w:t>
      </w:r>
      <w:r>
        <w:rPr>
          <w:spacing w:val="-17"/>
        </w:rPr>
        <w:t> </w:t>
      </w:r>
      <w:r>
        <w:rPr/>
        <w:t>Trustees and its other standing committees, and informed by benchmarking with other academic</w:t>
      </w:r>
      <w:r>
        <w:rPr>
          <w:spacing w:val="-15"/>
        </w:rPr>
        <w:t> </w:t>
      </w:r>
      <w:r>
        <w:rPr/>
        <w:t>boards</w:t>
      </w:r>
      <w:r>
        <w:rPr>
          <w:spacing w:val="-15"/>
        </w:rPr>
        <w:t> </w:t>
      </w:r>
      <w:r>
        <w:rPr/>
        <w:t>and</w:t>
      </w:r>
      <w:r>
        <w:rPr>
          <w:spacing w:val="-15"/>
        </w:rPr>
        <w:t> </w:t>
      </w:r>
      <w:r>
        <w:rPr/>
        <w:t>senates.</w:t>
      </w:r>
      <w:r>
        <w:rPr>
          <w:spacing w:val="-15"/>
        </w:rPr>
        <w:t> </w:t>
      </w:r>
      <w:r>
        <w:rPr/>
        <w:t>Actions</w:t>
      </w:r>
    </w:p>
    <w:p>
      <w:pPr>
        <w:pStyle w:val="BodyText"/>
        <w:spacing w:line="249" w:lineRule="auto"/>
        <w:ind w:left="107" w:right="280"/>
      </w:pPr>
      <w:r>
        <w:rPr/>
        <w:t>were identified and prioritised during </w:t>
      </w:r>
      <w:r>
        <w:rPr>
          <w:w w:val="85"/>
        </w:rPr>
        <w:t>2016, </w:t>
      </w:r>
      <w:r>
        <w:rPr>
          <w:w w:val="97"/>
        </w:rPr>
        <w:t>and </w:t>
      </w:r>
      <w:r>
        <w:rPr>
          <w:w w:val="96"/>
        </w:rPr>
        <w:t>have </w:t>
      </w:r>
      <w:r>
        <w:rPr>
          <w:w w:val="99"/>
        </w:rPr>
        <w:t>now </w:t>
      </w:r>
      <w:r>
        <w:rPr>
          <w:w w:val="97"/>
        </w:rPr>
        <w:t>been </w:t>
      </w:r>
      <w:r>
        <w:rPr>
          <w:w w:val="95"/>
        </w:rPr>
        <w:t>implemented.</w:t>
      </w:r>
    </w:p>
    <w:p>
      <w:pPr>
        <w:pStyle w:val="BodyText"/>
        <w:spacing w:line="247" w:lineRule="auto" w:before="71"/>
        <w:ind w:left="107" w:right="111"/>
      </w:pPr>
      <w:r>
        <w:rPr/>
        <w:br w:type="column"/>
      </w:r>
      <w:r>
        <w:rPr/>
        <w:t>Throughout the year, Senate received briefings</w:t>
      </w:r>
      <w:r>
        <w:rPr>
          <w:spacing w:val="-14"/>
        </w:rPr>
        <w:t> </w:t>
      </w:r>
      <w:r>
        <w:rPr/>
        <w:t>and</w:t>
      </w:r>
      <w:r>
        <w:rPr>
          <w:spacing w:val="-14"/>
        </w:rPr>
        <w:t> </w:t>
      </w:r>
      <w:r>
        <w:rPr/>
        <w:t>gave</w:t>
      </w:r>
      <w:r>
        <w:rPr>
          <w:spacing w:val="-14"/>
        </w:rPr>
        <w:t> </w:t>
      </w:r>
      <w:r>
        <w:rPr/>
        <w:t>advice</w:t>
      </w:r>
      <w:r>
        <w:rPr>
          <w:spacing w:val="-14"/>
        </w:rPr>
        <w:t> </w:t>
      </w:r>
      <w:r>
        <w:rPr/>
        <w:t>about</w:t>
      </w:r>
      <w:r>
        <w:rPr>
          <w:spacing w:val="-14"/>
        </w:rPr>
        <w:t> </w:t>
      </w:r>
      <w:r>
        <w:rPr/>
        <w:t>a</w:t>
      </w:r>
      <w:r>
        <w:rPr>
          <w:spacing w:val="-14"/>
        </w:rPr>
        <w:t> </w:t>
      </w:r>
      <w:r>
        <w:rPr/>
        <w:t>wide</w:t>
      </w:r>
      <w:r>
        <w:rPr>
          <w:spacing w:val="-14"/>
        </w:rPr>
        <w:t> </w:t>
      </w:r>
      <w:r>
        <w:rPr/>
        <w:t>range of</w:t>
      </w:r>
      <w:r>
        <w:rPr>
          <w:spacing w:val="-15"/>
        </w:rPr>
        <w:t> </w:t>
      </w:r>
      <w:r>
        <w:rPr/>
        <w:t>University</w:t>
      </w:r>
      <w:r>
        <w:rPr>
          <w:spacing w:val="-15"/>
        </w:rPr>
        <w:t> </w:t>
      </w:r>
      <w:r>
        <w:rPr/>
        <w:t>priorities</w:t>
      </w:r>
      <w:r>
        <w:rPr>
          <w:spacing w:val="-15"/>
        </w:rPr>
        <w:t> </w:t>
      </w:r>
      <w:r>
        <w:rPr/>
        <w:t>and</w:t>
      </w:r>
      <w:r>
        <w:rPr>
          <w:spacing w:val="-15"/>
        </w:rPr>
        <w:t> </w:t>
      </w:r>
      <w:r>
        <w:rPr/>
        <w:t>activities,</w:t>
      </w:r>
      <w:r>
        <w:rPr>
          <w:spacing w:val="-15"/>
        </w:rPr>
        <w:t> </w:t>
      </w:r>
      <w:r>
        <w:rPr/>
        <w:t>including a major Review of Assessment; the </w:t>
      </w:r>
      <w:r>
        <w:rPr>
          <w:rFonts w:ascii="Century Gothic" w:hAnsi="Century Gothic"/>
          <w:i/>
        </w:rPr>
        <w:t>Higher </w:t>
      </w:r>
      <w:r>
        <w:rPr>
          <w:rFonts w:ascii="Century Gothic" w:hAnsi="Century Gothic"/>
          <w:i/>
          <w:w w:val="95"/>
        </w:rPr>
        <w:t>Education</w:t>
      </w:r>
      <w:r>
        <w:rPr>
          <w:rFonts w:ascii="Century Gothic" w:hAnsi="Century Gothic"/>
          <w:i/>
          <w:spacing w:val="-29"/>
          <w:w w:val="95"/>
        </w:rPr>
        <w:t> </w:t>
      </w:r>
      <w:r>
        <w:rPr>
          <w:rFonts w:ascii="Century Gothic" w:hAnsi="Century Gothic"/>
          <w:i/>
          <w:w w:val="95"/>
        </w:rPr>
        <w:t>Standards</w:t>
      </w:r>
      <w:r>
        <w:rPr>
          <w:rFonts w:ascii="Century Gothic" w:hAnsi="Century Gothic"/>
          <w:i/>
          <w:spacing w:val="-29"/>
          <w:w w:val="95"/>
        </w:rPr>
        <w:t> </w:t>
      </w:r>
      <w:r>
        <w:rPr>
          <w:rFonts w:ascii="Century Gothic" w:hAnsi="Century Gothic"/>
          <w:i/>
          <w:w w:val="95"/>
        </w:rPr>
        <w:t>Framework</w:t>
      </w:r>
      <w:r>
        <w:rPr>
          <w:rFonts w:ascii="Century Gothic" w:hAnsi="Century Gothic"/>
          <w:i/>
          <w:spacing w:val="-29"/>
          <w:w w:val="95"/>
        </w:rPr>
        <w:t> </w:t>
      </w:r>
      <w:r>
        <w:rPr>
          <w:w w:val="95"/>
        </w:rPr>
        <w:t>and</w:t>
      </w:r>
      <w:r>
        <w:rPr>
          <w:spacing w:val="-34"/>
          <w:w w:val="95"/>
        </w:rPr>
        <w:t> </w:t>
      </w:r>
      <w:r>
        <w:rPr>
          <w:w w:val="95"/>
        </w:rPr>
        <w:t>Senate’s </w:t>
      </w:r>
      <w:r>
        <w:rPr/>
        <w:t>contribution towards re-registration with </w:t>
      </w:r>
      <w:r>
        <w:rPr>
          <w:spacing w:val="1"/>
          <w:w w:val="100"/>
        </w:rPr>
        <w:t>TEQSA</w:t>
      </w:r>
      <w:r>
        <w:rPr>
          <w:w w:val="100"/>
        </w:rPr>
        <w:t> </w:t>
      </w:r>
      <w:r>
        <w:rPr>
          <w:w w:val="95"/>
        </w:rPr>
        <w:t>in </w:t>
      </w:r>
      <w:r>
        <w:rPr>
          <w:spacing w:val="2"/>
          <w:w w:val="83"/>
        </w:rPr>
        <w:t>2018;</w:t>
      </w:r>
      <w:r>
        <w:rPr>
          <w:w w:val="83"/>
        </w:rPr>
        <w:t> </w:t>
      </w:r>
      <w:r>
        <w:rPr>
          <w:w w:val="97"/>
        </w:rPr>
        <w:t>the </w:t>
      </w:r>
      <w:r>
        <w:rPr>
          <w:rFonts w:ascii="Century Gothic" w:hAnsi="Century Gothic"/>
          <w:i/>
          <w:w w:val="95"/>
        </w:rPr>
        <w:t>Transforming </w:t>
      </w:r>
      <w:r>
        <w:rPr>
          <w:rFonts w:ascii="Century Gothic" w:hAnsi="Century Gothic"/>
          <w:i/>
          <w:w w:val="93"/>
        </w:rPr>
        <w:t>Western</w:t>
      </w:r>
      <w:r>
        <w:rPr>
          <w:rFonts w:ascii="Century Gothic" w:hAnsi="Century Gothic"/>
          <w:i/>
          <w:spacing w:val="1"/>
          <w:w w:val="93"/>
        </w:rPr>
        <w:t> </w:t>
      </w:r>
      <w:r>
        <w:rPr>
          <w:rFonts w:ascii="Century Gothic" w:hAnsi="Century Gothic"/>
          <w:i/>
        </w:rPr>
        <w:t>Sydney University </w:t>
      </w:r>
      <w:r>
        <w:rPr/>
        <w:t>program; Excellence in Research in Australia (ERA) results; The Academy at Western Sydney University; the Pasifika Achievement </w:t>
      </w:r>
      <w:r>
        <w:rPr>
          <w:spacing w:val="-5"/>
        </w:rPr>
        <w:t>To </w:t>
      </w:r>
      <w:r>
        <w:rPr/>
        <w:t>Higher Education (PATHE) project; the Science in Australia Gender</w:t>
      </w:r>
      <w:r>
        <w:rPr>
          <w:spacing w:val="-14"/>
        </w:rPr>
        <w:t> </w:t>
      </w:r>
      <w:r>
        <w:rPr/>
        <w:t>Equity</w:t>
      </w:r>
      <w:r>
        <w:rPr>
          <w:spacing w:val="-14"/>
        </w:rPr>
        <w:t> </w:t>
      </w:r>
      <w:r>
        <w:rPr/>
        <w:t>(SAGE)</w:t>
      </w:r>
      <w:r>
        <w:rPr>
          <w:spacing w:val="-14"/>
        </w:rPr>
        <w:t> </w:t>
      </w:r>
      <w:r>
        <w:rPr/>
        <w:t>program;</w:t>
      </w:r>
      <w:r>
        <w:rPr>
          <w:spacing w:val="-14"/>
        </w:rPr>
        <w:t> </w:t>
      </w:r>
      <w:r>
        <w:rPr/>
        <w:t>the</w:t>
      </w:r>
    </w:p>
    <w:p>
      <w:pPr>
        <w:pStyle w:val="BodyText"/>
        <w:spacing w:line="247" w:lineRule="auto"/>
        <w:ind w:left="107" w:right="111"/>
      </w:pPr>
      <w:r>
        <w:rPr>
          <w:rFonts w:ascii="Century Gothic"/>
          <w:i/>
        </w:rPr>
        <w:t>Securing</w:t>
      </w:r>
      <w:r>
        <w:rPr>
          <w:rFonts w:ascii="Century Gothic"/>
          <w:i/>
          <w:spacing w:val="-32"/>
        </w:rPr>
        <w:t> </w:t>
      </w:r>
      <w:r>
        <w:rPr>
          <w:rFonts w:ascii="Century Gothic"/>
          <w:i/>
        </w:rPr>
        <w:t>Success:</w:t>
      </w:r>
      <w:r>
        <w:rPr>
          <w:rFonts w:ascii="Century Gothic"/>
          <w:i/>
          <w:spacing w:val="-32"/>
        </w:rPr>
        <w:t> </w:t>
      </w:r>
      <w:r>
        <w:rPr/>
        <w:t>Service</w:t>
      </w:r>
      <w:r>
        <w:rPr>
          <w:spacing w:val="-37"/>
        </w:rPr>
        <w:t> </w:t>
      </w:r>
      <w:r>
        <w:rPr/>
        <w:t>Unlimited</w:t>
      </w:r>
      <w:r>
        <w:rPr>
          <w:spacing w:val="-37"/>
        </w:rPr>
        <w:t> </w:t>
      </w:r>
      <w:r>
        <w:rPr/>
        <w:t>project; the development of </w:t>
      </w:r>
      <w:r>
        <w:rPr>
          <w:w w:val="95"/>
        </w:rPr>
        <w:t>1 </w:t>
      </w:r>
      <w:r>
        <w:rPr/>
        <w:t>Parramatta Square; collaborative</w:t>
      </w:r>
      <w:r>
        <w:rPr>
          <w:spacing w:val="-16"/>
        </w:rPr>
        <w:t> </w:t>
      </w:r>
      <w:r>
        <w:rPr/>
        <w:t>practice</w:t>
      </w:r>
      <w:r>
        <w:rPr>
          <w:spacing w:val="-16"/>
        </w:rPr>
        <w:t> </w:t>
      </w:r>
      <w:r>
        <w:rPr/>
        <w:t>with</w:t>
      </w:r>
      <w:r>
        <w:rPr>
          <w:spacing w:val="-16"/>
        </w:rPr>
        <w:t> </w:t>
      </w:r>
      <w:r>
        <w:rPr/>
        <w:t>industry;</w:t>
      </w:r>
      <w:r>
        <w:rPr>
          <w:spacing w:val="-16"/>
        </w:rPr>
        <w:t> </w:t>
      </w:r>
      <w:r>
        <w:rPr/>
        <w:t>progress with the Red Tape Task Force project; and digital</w:t>
      </w:r>
      <w:r>
        <w:rPr>
          <w:spacing w:val="-21"/>
        </w:rPr>
        <w:t> </w:t>
      </w:r>
      <w:r>
        <w:rPr/>
        <w:t>innovation</w:t>
      </w:r>
      <w:r>
        <w:rPr>
          <w:spacing w:val="-21"/>
        </w:rPr>
        <w:t> </w:t>
      </w:r>
      <w:r>
        <w:rPr/>
        <w:t>and</w:t>
      </w:r>
      <w:r>
        <w:rPr>
          <w:spacing w:val="-21"/>
        </w:rPr>
        <w:t> </w:t>
      </w:r>
      <w:r>
        <w:rPr/>
        <w:t>learning</w:t>
      </w:r>
      <w:r>
        <w:rPr>
          <w:spacing w:val="-21"/>
        </w:rPr>
        <w:t> </w:t>
      </w:r>
      <w:r>
        <w:rPr/>
        <w:t>futures.</w:t>
      </w:r>
    </w:p>
    <w:p>
      <w:pPr>
        <w:pStyle w:val="BodyText"/>
        <w:spacing w:before="2"/>
        <w:rPr>
          <w:sz w:val="14"/>
        </w:rPr>
      </w:pPr>
    </w:p>
    <w:p>
      <w:pPr>
        <w:pStyle w:val="BodyText"/>
        <w:spacing w:line="249" w:lineRule="auto"/>
        <w:ind w:left="107" w:right="212"/>
      </w:pPr>
      <w:r>
        <w:rPr>
          <w:spacing w:val="1"/>
          <w:w w:val="97"/>
        </w:rPr>
        <w:t>During</w:t>
      </w:r>
      <w:r>
        <w:rPr>
          <w:w w:val="97"/>
        </w:rPr>
        <w:t> </w:t>
      </w:r>
      <w:r>
        <w:rPr>
          <w:spacing w:val="2"/>
          <w:w w:val="85"/>
        </w:rPr>
        <w:t>2016,</w:t>
      </w:r>
      <w:r>
        <w:rPr>
          <w:w w:val="85"/>
        </w:rPr>
        <w:t> </w:t>
      </w:r>
      <w:r>
        <w:rPr>
          <w:w w:val="96"/>
        </w:rPr>
        <w:t>Senate’s </w:t>
      </w:r>
      <w:r>
        <w:rPr>
          <w:spacing w:val="1"/>
          <w:w w:val="98"/>
        </w:rPr>
        <w:t>Standing</w:t>
      </w:r>
      <w:r>
        <w:rPr>
          <w:w w:val="98"/>
        </w:rPr>
        <w:t> </w:t>
      </w:r>
      <w:r>
        <w:rPr>
          <w:spacing w:val="1"/>
          <w:w w:val="98"/>
        </w:rPr>
        <w:t>Committees</w:t>
      </w:r>
      <w:r>
        <w:rPr>
          <w:w w:val="98"/>
        </w:rPr>
        <w:t> </w:t>
      </w:r>
      <w:r>
        <w:rPr/>
        <w:t>at</w:t>
      </w:r>
      <w:r>
        <w:rPr>
          <w:spacing w:val="-15"/>
        </w:rPr>
        <w:t> </w:t>
      </w:r>
      <w:r>
        <w:rPr/>
        <w:t>the</w:t>
      </w:r>
      <w:r>
        <w:rPr>
          <w:spacing w:val="-15"/>
        </w:rPr>
        <w:t> </w:t>
      </w:r>
      <w:r>
        <w:rPr/>
        <w:t>School</w:t>
      </w:r>
      <w:r>
        <w:rPr>
          <w:spacing w:val="-15"/>
        </w:rPr>
        <w:t> </w:t>
      </w:r>
      <w:r>
        <w:rPr/>
        <w:t>and</w:t>
      </w:r>
      <w:r>
        <w:rPr>
          <w:spacing w:val="-15"/>
        </w:rPr>
        <w:t> </w:t>
      </w:r>
      <w:r>
        <w:rPr/>
        <w:t>University</w:t>
      </w:r>
      <w:r>
        <w:rPr>
          <w:spacing w:val="-15"/>
        </w:rPr>
        <w:t> </w:t>
      </w:r>
      <w:r>
        <w:rPr/>
        <w:t>levels</w:t>
      </w:r>
      <w:r>
        <w:rPr>
          <w:spacing w:val="-15"/>
        </w:rPr>
        <w:t> </w:t>
      </w:r>
      <w:r>
        <w:rPr/>
        <w:t>continued developing, approving and reviewing courses, units and articulation agreements with other organisations; determining and monitoring academic standards; reviewing and</w:t>
      </w:r>
      <w:r>
        <w:rPr>
          <w:spacing w:val="-19"/>
        </w:rPr>
        <w:t> </w:t>
      </w:r>
      <w:r>
        <w:rPr/>
        <w:t>approving</w:t>
      </w:r>
      <w:r>
        <w:rPr>
          <w:spacing w:val="-19"/>
        </w:rPr>
        <w:t> </w:t>
      </w:r>
      <w:r>
        <w:rPr/>
        <w:t>marks</w:t>
      </w:r>
      <w:r>
        <w:rPr>
          <w:spacing w:val="-19"/>
        </w:rPr>
        <w:t> </w:t>
      </w:r>
      <w:r>
        <w:rPr/>
        <w:t>and</w:t>
      </w:r>
      <w:r>
        <w:rPr>
          <w:spacing w:val="-19"/>
        </w:rPr>
        <w:t> </w:t>
      </w:r>
      <w:r>
        <w:rPr/>
        <w:t>grades;</w:t>
      </w:r>
      <w:r>
        <w:rPr>
          <w:spacing w:val="-19"/>
        </w:rPr>
        <w:t> </w:t>
      </w:r>
      <w:r>
        <w:rPr/>
        <w:t>managing</w:t>
      </w:r>
    </w:p>
    <w:p>
      <w:pPr>
        <w:pStyle w:val="BodyText"/>
        <w:spacing w:line="249" w:lineRule="auto"/>
        <w:ind w:left="107" w:right="27"/>
      </w:pPr>
      <w:r>
        <w:rPr/>
        <w:t>and examining Bachelor (Honours) and Higher Degree Research candidatures; approving students for graduation; developing</w:t>
      </w:r>
    </w:p>
    <w:p>
      <w:pPr>
        <w:pStyle w:val="BodyText"/>
        <w:spacing w:line="249" w:lineRule="auto"/>
        <w:ind w:left="107" w:right="469"/>
      </w:pPr>
      <w:r>
        <w:rPr/>
        <w:t>and monitoring academic policies; and shaping and promoting the University’s academic culture, values and standards.</w:t>
      </w:r>
    </w:p>
    <w:p>
      <w:pPr>
        <w:pStyle w:val="BodyText"/>
        <w:spacing w:before="3"/>
        <w:rPr>
          <w:sz w:val="19"/>
        </w:rPr>
      </w:pPr>
    </w:p>
    <w:p>
      <w:pPr>
        <w:pStyle w:val="Heading7"/>
        <w:ind w:right="0"/>
      </w:pPr>
      <w:r>
        <w:rPr>
          <w:w w:val="95"/>
        </w:rPr>
        <w:t>HIGHLIGHTS IN 2016</w:t>
      </w:r>
    </w:p>
    <w:p>
      <w:pPr>
        <w:pStyle w:val="BodyText"/>
        <w:spacing w:line="249" w:lineRule="auto" w:before="58"/>
        <w:ind w:left="107" w:right="27"/>
      </w:pPr>
      <w:r>
        <w:rPr/>
        <w:t>During the year, Senate worked closely with the Office of the Vice-Chancellor to hold four Academic Forums to enhance communication with the University community. The topics</w:t>
      </w:r>
    </w:p>
    <w:p>
      <w:pPr>
        <w:pStyle w:val="BodyText"/>
        <w:spacing w:line="249" w:lineRule="auto"/>
        <w:ind w:left="107" w:right="111"/>
      </w:pPr>
      <w:r>
        <w:rPr/>
        <w:t>for these forums were “Collaborative Practice with</w:t>
      </w:r>
      <w:r>
        <w:rPr>
          <w:spacing w:val="-28"/>
        </w:rPr>
        <w:t> </w:t>
      </w:r>
      <w:r>
        <w:rPr/>
        <w:t>Industry”,</w:t>
      </w:r>
      <w:r>
        <w:rPr>
          <w:spacing w:val="-28"/>
        </w:rPr>
        <w:t> </w:t>
      </w:r>
      <w:r>
        <w:rPr/>
        <w:t>“Transforming</w:t>
      </w:r>
      <w:r>
        <w:rPr>
          <w:spacing w:val="-28"/>
        </w:rPr>
        <w:t> </w:t>
      </w:r>
      <w:r>
        <w:rPr/>
        <w:t>Western</w:t>
      </w:r>
      <w:r>
        <w:rPr>
          <w:spacing w:val="-28"/>
        </w:rPr>
        <w:t> </w:t>
      </w:r>
      <w:r>
        <w:rPr/>
        <w:t>Sydney University”, “Digital Innovation and Learning Futures” and “Aboriginal and Torres Strait Islander Education”. Each forum included academic and professional staff from a range of disciplines and organisational units within the</w:t>
      </w:r>
      <w:r>
        <w:rPr>
          <w:spacing w:val="-17"/>
        </w:rPr>
        <w:t> </w:t>
      </w:r>
      <w:r>
        <w:rPr/>
        <w:t>University,</w:t>
      </w:r>
      <w:r>
        <w:rPr>
          <w:spacing w:val="-17"/>
        </w:rPr>
        <w:t> </w:t>
      </w:r>
      <w:r>
        <w:rPr/>
        <w:t>as</w:t>
      </w:r>
      <w:r>
        <w:rPr>
          <w:spacing w:val="-17"/>
        </w:rPr>
        <w:t> </w:t>
      </w:r>
      <w:r>
        <w:rPr/>
        <w:t>well</w:t>
      </w:r>
      <w:r>
        <w:rPr>
          <w:spacing w:val="-17"/>
        </w:rPr>
        <w:t> </w:t>
      </w:r>
      <w:r>
        <w:rPr/>
        <w:t>as</w:t>
      </w:r>
      <w:r>
        <w:rPr>
          <w:spacing w:val="-17"/>
        </w:rPr>
        <w:t> </w:t>
      </w:r>
      <w:r>
        <w:rPr/>
        <w:t>a</w:t>
      </w:r>
      <w:r>
        <w:rPr>
          <w:spacing w:val="-17"/>
        </w:rPr>
        <w:t> </w:t>
      </w:r>
      <w:r>
        <w:rPr/>
        <w:t>number</w:t>
      </w:r>
      <w:r>
        <w:rPr>
          <w:spacing w:val="-17"/>
        </w:rPr>
        <w:t> </w:t>
      </w:r>
      <w:r>
        <w:rPr/>
        <w:t>of</w:t>
      </w:r>
      <w:r>
        <w:rPr>
          <w:spacing w:val="-17"/>
        </w:rPr>
        <w:t> </w:t>
      </w:r>
      <w:r>
        <w:rPr/>
        <w:t>student representatives. This resulted in robust and valuable discussions, with reports including collated</w:t>
      </w:r>
      <w:r>
        <w:rPr>
          <w:spacing w:val="-14"/>
        </w:rPr>
        <w:t> </w:t>
      </w:r>
      <w:r>
        <w:rPr/>
        <w:t>outcomes</w:t>
      </w:r>
      <w:r>
        <w:rPr>
          <w:spacing w:val="-14"/>
        </w:rPr>
        <w:t> </w:t>
      </w:r>
      <w:r>
        <w:rPr/>
        <w:t>and</w:t>
      </w:r>
      <w:r>
        <w:rPr>
          <w:spacing w:val="-14"/>
        </w:rPr>
        <w:t> </w:t>
      </w:r>
      <w:r>
        <w:rPr/>
        <w:t>proposed</w:t>
      </w:r>
      <w:r>
        <w:rPr>
          <w:spacing w:val="-14"/>
        </w:rPr>
        <w:t> </w:t>
      </w:r>
      <w:r>
        <w:rPr/>
        <w:t>actions.</w:t>
      </w:r>
    </w:p>
    <w:p>
      <w:pPr>
        <w:pStyle w:val="BodyText"/>
        <w:spacing w:line="192" w:lineRule="exact"/>
        <w:ind w:left="107"/>
      </w:pPr>
      <w:r>
        <w:rPr>
          <w:spacing w:val="2"/>
          <w:w w:val="92"/>
        </w:rPr>
        <w:t>T</w:t>
      </w:r>
      <w:r>
        <w:rPr>
          <w:spacing w:val="1"/>
          <w:w w:val="95"/>
        </w:rPr>
        <w:t>h</w:t>
      </w:r>
      <w:r>
        <w:rPr>
          <w:spacing w:val="1"/>
          <w:w w:val="95"/>
        </w:rPr>
        <w:t>i</w:t>
      </w:r>
      <w:r>
        <w:rPr>
          <w:w w:val="95"/>
        </w:rPr>
        <w:t>s</w:t>
      </w:r>
      <w:r>
        <w:rPr>
          <w:spacing w:val="-12"/>
        </w:rPr>
        <w:t> </w:t>
      </w:r>
      <w:r>
        <w:rPr>
          <w:spacing w:val="2"/>
          <w:w w:val="102"/>
        </w:rPr>
        <w:t>p</w:t>
      </w:r>
      <w:r>
        <w:rPr>
          <w:spacing w:val="-1"/>
          <w:w w:val="95"/>
        </w:rPr>
        <w:t>r</w:t>
      </w:r>
      <w:r>
        <w:rPr>
          <w:spacing w:val="2"/>
          <w:w w:val="100"/>
        </w:rPr>
        <w:t>o</w:t>
      </w:r>
      <w:r>
        <w:rPr>
          <w:spacing w:val="2"/>
          <w:w w:val="102"/>
        </w:rPr>
        <w:t>g</w:t>
      </w:r>
      <w:r>
        <w:rPr>
          <w:spacing w:val="2"/>
          <w:w w:val="95"/>
        </w:rPr>
        <w:t>r</w:t>
      </w:r>
      <w:r>
        <w:rPr>
          <w:spacing w:val="2"/>
          <w:w w:val="94"/>
        </w:rPr>
        <w:t>a</w:t>
      </w:r>
      <w:r>
        <w:rPr>
          <w:w w:val="98"/>
        </w:rPr>
        <w:t>m</w:t>
      </w:r>
      <w:r>
        <w:rPr>
          <w:spacing w:val="-12"/>
        </w:rPr>
        <w:t> </w:t>
      </w:r>
      <w:r>
        <w:rPr>
          <w:w w:val="100"/>
        </w:rPr>
        <w:t>o</w:t>
      </w:r>
      <w:r>
        <w:rPr>
          <w:w w:val="98"/>
        </w:rPr>
        <w:t>f</w:t>
      </w:r>
      <w:r>
        <w:rPr>
          <w:spacing w:val="-12"/>
        </w:rPr>
        <w:t> </w:t>
      </w:r>
      <w:r>
        <w:rPr>
          <w:spacing w:val="1"/>
          <w:w w:val="105"/>
        </w:rPr>
        <w:t>F</w:t>
      </w:r>
      <w:r>
        <w:rPr>
          <w:spacing w:val="2"/>
          <w:w w:val="100"/>
        </w:rPr>
        <w:t>o</w:t>
      </w:r>
      <w:r>
        <w:rPr>
          <w:spacing w:val="2"/>
          <w:w w:val="95"/>
        </w:rPr>
        <w:t>r</w:t>
      </w:r>
      <w:r>
        <w:rPr>
          <w:spacing w:val="1"/>
          <w:w w:val="95"/>
        </w:rPr>
        <w:t>u</w:t>
      </w:r>
      <w:r>
        <w:rPr>
          <w:spacing w:val="2"/>
          <w:w w:val="98"/>
        </w:rPr>
        <w:t>m</w:t>
      </w:r>
      <w:r>
        <w:rPr>
          <w:w w:val="95"/>
        </w:rPr>
        <w:t>s</w:t>
      </w:r>
      <w:r>
        <w:rPr>
          <w:spacing w:val="-12"/>
        </w:rPr>
        <w:t> </w:t>
      </w:r>
      <w:r>
        <w:rPr>
          <w:w w:val="101"/>
        </w:rPr>
        <w:t>w</w:t>
      </w:r>
      <w:r>
        <w:rPr>
          <w:w w:val="95"/>
        </w:rPr>
        <w:t>ill</w:t>
      </w:r>
      <w:r>
        <w:rPr>
          <w:spacing w:val="-12"/>
        </w:rPr>
        <w:t> </w:t>
      </w:r>
      <w:r>
        <w:rPr>
          <w:w w:val="102"/>
        </w:rPr>
        <w:t>c</w:t>
      </w:r>
      <w:r>
        <w:rPr>
          <w:spacing w:val="2"/>
          <w:w w:val="100"/>
        </w:rPr>
        <w:t>o</w:t>
      </w:r>
      <w:r>
        <w:rPr>
          <w:w w:val="95"/>
        </w:rPr>
        <w:t>n</w:t>
      </w:r>
      <w:r>
        <w:rPr>
          <w:w w:val="102"/>
        </w:rPr>
        <w:t>t</w:t>
      </w:r>
      <w:r>
        <w:rPr>
          <w:spacing w:val="1"/>
          <w:w w:val="95"/>
        </w:rPr>
        <w:t>i</w:t>
      </w:r>
      <w:r>
        <w:rPr>
          <w:spacing w:val="2"/>
          <w:w w:val="95"/>
        </w:rPr>
        <w:t>nu</w:t>
      </w:r>
      <w:r>
        <w:rPr>
          <w:w w:val="95"/>
        </w:rPr>
        <w:t>e</w:t>
      </w:r>
      <w:r>
        <w:rPr>
          <w:spacing w:val="-12"/>
        </w:rPr>
        <w:t> </w:t>
      </w:r>
      <w:r>
        <w:rPr>
          <w:spacing w:val="1"/>
          <w:w w:val="95"/>
        </w:rPr>
        <w:t>i</w:t>
      </w:r>
      <w:r>
        <w:rPr>
          <w:w w:val="95"/>
        </w:rPr>
        <w:t>n</w:t>
      </w:r>
      <w:r>
        <w:rPr>
          <w:spacing w:val="-12"/>
        </w:rPr>
        <w:t> </w:t>
      </w:r>
      <w:r>
        <w:rPr>
          <w:spacing w:val="2"/>
          <w:w w:val="93"/>
        </w:rPr>
        <w:t>2</w:t>
      </w:r>
      <w:r>
        <w:rPr>
          <w:spacing w:val="1"/>
          <w:w w:val="111"/>
        </w:rPr>
        <w:t>0</w:t>
      </w:r>
      <w:r>
        <w:rPr>
          <w:w w:val="54"/>
        </w:rPr>
        <w:t>1</w:t>
      </w:r>
      <w:r>
        <w:rPr>
          <w:spacing w:val="-10"/>
          <w:w w:val="91"/>
        </w:rPr>
        <w:t>7</w:t>
      </w:r>
      <w:r>
        <w:rPr>
          <w:w w:val="68"/>
        </w:rPr>
        <w:t>.</w:t>
      </w:r>
    </w:p>
    <w:p>
      <w:pPr>
        <w:spacing w:after="0" w:line="192" w:lineRule="exact"/>
        <w:sectPr>
          <w:type w:val="continuous"/>
          <w:pgSz w:w="11910" w:h="16840"/>
          <w:pgMar w:top="1580" w:bottom="280" w:left="800" w:right="800"/>
          <w:cols w:num="3" w:equalWidth="0">
            <w:col w:w="3313" w:space="126"/>
            <w:col w:w="3300" w:space="13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680"/>
        </w:sectPr>
      </w:pPr>
    </w:p>
    <w:p>
      <w:pPr>
        <w:pStyle w:val="BodyText"/>
        <w:spacing w:before="1"/>
        <w:rPr>
          <w:sz w:val="20"/>
        </w:rPr>
      </w:pPr>
    </w:p>
    <w:p>
      <w:pPr>
        <w:pStyle w:val="BodyText"/>
        <w:spacing w:line="249" w:lineRule="auto"/>
        <w:ind w:left="107" w:right="143"/>
      </w:pPr>
      <w:r>
        <w:rPr/>
        <w:t>Senate</w:t>
      </w:r>
      <w:r>
        <w:rPr>
          <w:spacing w:val="-18"/>
        </w:rPr>
        <w:t> </w:t>
      </w:r>
      <w:r>
        <w:rPr/>
        <w:t>has</w:t>
      </w:r>
      <w:r>
        <w:rPr>
          <w:spacing w:val="-18"/>
        </w:rPr>
        <w:t> </w:t>
      </w:r>
      <w:r>
        <w:rPr/>
        <w:t>continued</w:t>
      </w:r>
      <w:r>
        <w:rPr>
          <w:spacing w:val="-18"/>
        </w:rPr>
        <w:t> </w:t>
      </w:r>
      <w:r>
        <w:rPr/>
        <w:t>to</w:t>
      </w:r>
      <w:r>
        <w:rPr>
          <w:spacing w:val="-18"/>
        </w:rPr>
        <w:t> </w:t>
      </w:r>
      <w:r>
        <w:rPr/>
        <w:t>review</w:t>
      </w:r>
      <w:r>
        <w:rPr>
          <w:spacing w:val="-18"/>
        </w:rPr>
        <w:t> </w:t>
      </w:r>
      <w:r>
        <w:rPr/>
        <w:t>and</w:t>
      </w:r>
      <w:r>
        <w:rPr>
          <w:spacing w:val="-18"/>
        </w:rPr>
        <w:t> </w:t>
      </w:r>
      <w:r>
        <w:rPr/>
        <w:t>adjust the membership and terms of reference for its Standing Committees, to improve their</w:t>
      </w:r>
      <w:r>
        <w:rPr>
          <w:spacing w:val="-16"/>
        </w:rPr>
        <w:t> </w:t>
      </w:r>
      <w:r>
        <w:rPr/>
        <w:t>operation</w:t>
      </w:r>
      <w:r>
        <w:rPr>
          <w:spacing w:val="-16"/>
        </w:rPr>
        <w:t> </w:t>
      </w:r>
      <w:r>
        <w:rPr/>
        <w:t>and</w:t>
      </w:r>
      <w:r>
        <w:rPr>
          <w:spacing w:val="-16"/>
        </w:rPr>
        <w:t> </w:t>
      </w:r>
      <w:r>
        <w:rPr/>
        <w:t>the</w:t>
      </w:r>
      <w:r>
        <w:rPr>
          <w:spacing w:val="-16"/>
        </w:rPr>
        <w:t> </w:t>
      </w:r>
      <w:r>
        <w:rPr/>
        <w:t>flow</w:t>
      </w:r>
      <w:r>
        <w:rPr>
          <w:spacing w:val="-16"/>
        </w:rPr>
        <w:t> </w:t>
      </w:r>
      <w:r>
        <w:rPr/>
        <w:t>of</w:t>
      </w:r>
      <w:r>
        <w:rPr>
          <w:spacing w:val="-16"/>
        </w:rPr>
        <w:t> </w:t>
      </w:r>
      <w:r>
        <w:rPr/>
        <w:t>information between</w:t>
      </w:r>
      <w:r>
        <w:rPr>
          <w:spacing w:val="-20"/>
        </w:rPr>
        <w:t> </w:t>
      </w:r>
      <w:r>
        <w:rPr/>
        <w:t>the</w:t>
      </w:r>
      <w:r>
        <w:rPr>
          <w:spacing w:val="-20"/>
        </w:rPr>
        <w:t> </w:t>
      </w:r>
      <w:r>
        <w:rPr/>
        <w:t>committees</w:t>
      </w:r>
      <w:r>
        <w:rPr>
          <w:spacing w:val="-20"/>
        </w:rPr>
        <w:t> </w:t>
      </w:r>
      <w:r>
        <w:rPr/>
        <w:t>and</w:t>
      </w:r>
      <w:r>
        <w:rPr>
          <w:spacing w:val="-20"/>
        </w:rPr>
        <w:t> </w:t>
      </w:r>
      <w:r>
        <w:rPr/>
        <w:t>Senate.</w:t>
      </w:r>
    </w:p>
    <w:p>
      <w:pPr>
        <w:pStyle w:val="BodyText"/>
        <w:spacing w:before="11"/>
        <w:rPr>
          <w:sz w:val="13"/>
        </w:rPr>
      </w:pPr>
    </w:p>
    <w:p>
      <w:pPr>
        <w:spacing w:line="244" w:lineRule="auto" w:before="0"/>
        <w:ind w:left="107" w:right="-5" w:firstLine="0"/>
        <w:jc w:val="left"/>
        <w:rPr>
          <w:sz w:val="16"/>
        </w:rPr>
      </w:pPr>
      <w:r>
        <w:rPr>
          <w:w w:val="95"/>
          <w:sz w:val="16"/>
        </w:rPr>
        <w:t>The new </w:t>
      </w:r>
      <w:r>
        <w:rPr>
          <w:rFonts w:ascii="Century Gothic"/>
          <w:i/>
          <w:w w:val="95"/>
          <w:sz w:val="16"/>
        </w:rPr>
        <w:t>Student Misconduct Rule </w:t>
      </w:r>
      <w:r>
        <w:rPr>
          <w:w w:val="95"/>
          <w:sz w:val="16"/>
        </w:rPr>
        <w:t>and associated </w:t>
      </w:r>
      <w:r>
        <w:rPr>
          <w:rFonts w:ascii="Century Gothic"/>
          <w:i/>
          <w:w w:val="95"/>
          <w:sz w:val="16"/>
        </w:rPr>
        <w:t>Inappropriate Behaviour </w:t>
      </w:r>
      <w:r>
        <w:rPr>
          <w:rFonts w:ascii="Century Gothic"/>
          <w:i/>
          <w:w w:val="95"/>
          <w:sz w:val="16"/>
        </w:rPr>
        <w:t>Guidelines </w:t>
      </w:r>
      <w:r>
        <w:rPr>
          <w:w w:val="95"/>
          <w:sz w:val="16"/>
        </w:rPr>
        <w:t>were implemented from 1 January </w:t>
      </w:r>
      <w:r>
        <w:rPr>
          <w:w w:val="90"/>
          <w:sz w:val="16"/>
        </w:rPr>
        <w:t>2016 </w:t>
      </w:r>
      <w:r>
        <w:rPr>
          <w:w w:val="97"/>
          <w:sz w:val="16"/>
        </w:rPr>
        <w:t>and </w:t>
      </w:r>
      <w:r>
        <w:rPr>
          <w:w w:val="94"/>
          <w:sz w:val="16"/>
        </w:rPr>
        <w:t>a </w:t>
      </w:r>
      <w:r>
        <w:rPr>
          <w:w w:val="97"/>
          <w:sz w:val="16"/>
        </w:rPr>
        <w:t>comprehensive </w:t>
      </w:r>
      <w:r>
        <w:rPr>
          <w:w w:val="98"/>
          <w:sz w:val="16"/>
        </w:rPr>
        <w:t>Education</w:t>
      </w:r>
    </w:p>
    <w:p>
      <w:pPr>
        <w:pStyle w:val="BodyText"/>
        <w:spacing w:line="249" w:lineRule="auto" w:before="3"/>
        <w:ind w:left="107" w:right="318"/>
      </w:pPr>
      <w:r>
        <w:rPr/>
        <w:t>for Academic Integrity Framework will </w:t>
      </w:r>
      <w:r>
        <w:rPr>
          <w:w w:val="99"/>
        </w:rPr>
        <w:t>be </w:t>
      </w:r>
      <w:r>
        <w:rPr>
          <w:w w:val="98"/>
        </w:rPr>
        <w:t>introduced </w:t>
      </w:r>
      <w:r>
        <w:rPr>
          <w:w w:val="95"/>
        </w:rPr>
        <w:t>in </w:t>
      </w:r>
      <w:r>
        <w:rPr>
          <w:w w:val="83"/>
        </w:rPr>
        <w:t>2017. </w:t>
      </w:r>
      <w:r>
        <w:rPr>
          <w:w w:val="94"/>
        </w:rPr>
        <w:t>These </w:t>
      </w:r>
      <w:r>
        <w:rPr>
          <w:w w:val="95"/>
        </w:rPr>
        <w:t>are </w:t>
      </w:r>
      <w:r>
        <w:rPr>
          <w:w w:val="97"/>
        </w:rPr>
        <w:t>crucial </w:t>
      </w:r>
      <w:r>
        <w:rPr/>
        <w:t>elements in protecting the integrity and reputation of the University’s academic</w:t>
      </w:r>
    </w:p>
    <w:p>
      <w:pPr>
        <w:pStyle w:val="BodyText"/>
        <w:spacing w:line="249" w:lineRule="auto"/>
        <w:ind w:left="107" w:right="96"/>
      </w:pPr>
      <w:r>
        <w:rPr/>
        <w:t>programs, and ensuring that students are well educated in ethical academic practice.</w:t>
      </w:r>
    </w:p>
    <w:p>
      <w:pPr>
        <w:pStyle w:val="BodyText"/>
        <w:rPr>
          <w:sz w:val="14"/>
        </w:rPr>
      </w:pPr>
    </w:p>
    <w:p>
      <w:pPr>
        <w:pStyle w:val="BodyText"/>
        <w:spacing w:line="247" w:lineRule="auto"/>
        <w:ind w:left="107" w:right="-5"/>
      </w:pPr>
      <w:r>
        <w:rPr/>
        <w:t>Following extensive review, and with input from the Red Tape Task Force project, a revised and streamlined process for course and unit approvals was introduced, with revised documentation and delegations to clarify</w:t>
      </w:r>
      <w:r>
        <w:rPr>
          <w:spacing w:val="-17"/>
        </w:rPr>
        <w:t> </w:t>
      </w:r>
      <w:r>
        <w:rPr/>
        <w:t>the</w:t>
      </w:r>
      <w:r>
        <w:rPr>
          <w:spacing w:val="-17"/>
        </w:rPr>
        <w:t> </w:t>
      </w:r>
      <w:r>
        <w:rPr/>
        <w:t>process</w:t>
      </w:r>
      <w:r>
        <w:rPr>
          <w:spacing w:val="-17"/>
        </w:rPr>
        <w:t> </w:t>
      </w:r>
      <w:r>
        <w:rPr/>
        <w:t>and</w:t>
      </w:r>
      <w:r>
        <w:rPr>
          <w:spacing w:val="-17"/>
        </w:rPr>
        <w:t> </w:t>
      </w:r>
      <w:r>
        <w:rPr/>
        <w:t>ensure</w:t>
      </w:r>
      <w:r>
        <w:rPr>
          <w:spacing w:val="-17"/>
        </w:rPr>
        <w:t> </w:t>
      </w:r>
      <w:r>
        <w:rPr/>
        <w:t>alignment</w:t>
      </w:r>
      <w:r>
        <w:rPr>
          <w:spacing w:val="-17"/>
        </w:rPr>
        <w:t> </w:t>
      </w:r>
      <w:r>
        <w:rPr/>
        <w:t>with </w:t>
      </w:r>
      <w:r>
        <w:rPr>
          <w:w w:val="90"/>
        </w:rPr>
        <w:t>the</w:t>
      </w:r>
      <w:r>
        <w:rPr>
          <w:spacing w:val="-34"/>
          <w:w w:val="90"/>
        </w:rPr>
        <w:t> </w:t>
      </w:r>
      <w:r>
        <w:rPr>
          <w:rFonts w:ascii="Century Gothic"/>
          <w:i/>
          <w:w w:val="90"/>
        </w:rPr>
        <w:t>Higher Education Standards Framework</w:t>
      </w:r>
      <w:r>
        <w:rPr>
          <w:w w:val="90"/>
        </w:rPr>
        <w:t>.</w:t>
      </w:r>
    </w:p>
    <w:p>
      <w:pPr>
        <w:pStyle w:val="BodyText"/>
        <w:spacing w:before="12"/>
        <w:rPr>
          <w:sz w:val="13"/>
        </w:rPr>
      </w:pPr>
    </w:p>
    <w:p>
      <w:pPr>
        <w:pStyle w:val="BodyText"/>
        <w:spacing w:line="249" w:lineRule="auto"/>
        <w:ind w:left="107" w:right="342"/>
      </w:pPr>
      <w:r>
        <w:rPr/>
        <w:t>The Academic Policy Advisory Group, established under Senate’s Education Committee, ensures good alignment between the reviews of various policies and the Higher Education Standards</w:t>
      </w:r>
    </w:p>
    <w:p>
      <w:pPr>
        <w:pStyle w:val="BodyText"/>
        <w:spacing w:line="249" w:lineRule="auto"/>
        <w:ind w:left="107" w:right="117"/>
        <w:rPr>
          <w:rFonts w:ascii="Century Gothic"/>
          <w:i/>
        </w:rPr>
      </w:pPr>
      <w:r>
        <w:rPr/>
        <w:t>Framework.</w:t>
      </w:r>
      <w:r>
        <w:rPr>
          <w:spacing w:val="-17"/>
        </w:rPr>
        <w:t> </w:t>
      </w:r>
      <w:r>
        <w:rPr/>
        <w:t>Policies</w:t>
      </w:r>
      <w:r>
        <w:rPr>
          <w:spacing w:val="-17"/>
        </w:rPr>
        <w:t> </w:t>
      </w:r>
      <w:r>
        <w:rPr/>
        <w:t>prioritised</w:t>
      </w:r>
      <w:r>
        <w:rPr>
          <w:spacing w:val="-17"/>
        </w:rPr>
        <w:t> </w:t>
      </w:r>
      <w:r>
        <w:rPr/>
        <w:t>for</w:t>
      </w:r>
      <w:r>
        <w:rPr>
          <w:spacing w:val="-17"/>
        </w:rPr>
        <w:t> </w:t>
      </w:r>
      <w:r>
        <w:rPr/>
        <w:t>review</w:t>
      </w:r>
      <w:r>
        <w:rPr>
          <w:spacing w:val="-17"/>
        </w:rPr>
        <w:t> </w:t>
      </w:r>
      <w:r>
        <w:rPr/>
        <w:t>in </w:t>
      </w:r>
      <w:r>
        <w:rPr>
          <w:spacing w:val="1"/>
          <w:w w:val="90"/>
        </w:rPr>
        <w:t>2016</w:t>
      </w:r>
      <w:r>
        <w:rPr>
          <w:w w:val="90"/>
        </w:rPr>
        <w:t> </w:t>
      </w:r>
      <w:r>
        <w:rPr>
          <w:w w:val="90"/>
        </w:rPr>
        <w:t>were: </w:t>
      </w:r>
      <w:r>
        <w:rPr>
          <w:w w:val="94"/>
        </w:rPr>
        <w:t>a </w:t>
      </w:r>
      <w:r>
        <w:rPr>
          <w:spacing w:val="1"/>
          <w:w w:val="96"/>
        </w:rPr>
        <w:t>full</w:t>
      </w:r>
      <w:r>
        <w:rPr>
          <w:w w:val="96"/>
        </w:rPr>
        <w:t> </w:t>
      </w:r>
      <w:r>
        <w:rPr>
          <w:spacing w:val="-1"/>
          <w:w w:val="97"/>
        </w:rPr>
        <w:t>review</w:t>
      </w:r>
      <w:r>
        <w:rPr>
          <w:w w:val="97"/>
        </w:rPr>
        <w:t> </w:t>
      </w:r>
      <w:r>
        <w:rPr>
          <w:w w:val="99"/>
        </w:rPr>
        <w:t>of </w:t>
      </w:r>
      <w:r>
        <w:rPr>
          <w:w w:val="97"/>
        </w:rPr>
        <w:t>the </w:t>
      </w:r>
      <w:r>
        <w:rPr>
          <w:spacing w:val="1"/>
          <w:w w:val="97"/>
        </w:rPr>
        <w:t>Progression</w:t>
      </w:r>
      <w:r>
        <w:rPr>
          <w:w w:val="97"/>
        </w:rPr>
        <w:t> </w:t>
      </w:r>
      <w:r>
        <w:rPr/>
        <w:t>and Unsatisfactory Academic Progress Policy; a new Disruption to Studies Policy, to</w:t>
      </w:r>
      <w:r>
        <w:rPr>
          <w:spacing w:val="-15"/>
        </w:rPr>
        <w:t> </w:t>
      </w:r>
      <w:r>
        <w:rPr/>
        <w:t>replace</w:t>
      </w:r>
      <w:r>
        <w:rPr>
          <w:spacing w:val="-15"/>
        </w:rPr>
        <w:t> </w:t>
      </w:r>
      <w:r>
        <w:rPr/>
        <w:t>the</w:t>
      </w:r>
      <w:r>
        <w:rPr>
          <w:spacing w:val="-15"/>
        </w:rPr>
        <w:t> </w:t>
      </w:r>
      <w:r>
        <w:rPr/>
        <w:t>Special</w:t>
      </w:r>
      <w:r>
        <w:rPr>
          <w:spacing w:val="-15"/>
        </w:rPr>
        <w:t> </w:t>
      </w:r>
      <w:r>
        <w:rPr/>
        <w:t>Consideration</w:t>
      </w:r>
      <w:r>
        <w:rPr>
          <w:spacing w:val="-15"/>
        </w:rPr>
        <w:t> </w:t>
      </w:r>
      <w:r>
        <w:rPr/>
        <w:t>Policy; Advanced Standing Policy and Procedures; and work on ensuring that all policies are student-centred and aligned with the </w:t>
      </w:r>
      <w:r>
        <w:rPr>
          <w:rFonts w:ascii="Century Gothic"/>
          <w:i/>
          <w:w w:val="90"/>
        </w:rPr>
        <w:t>Higher</w:t>
      </w:r>
      <w:r>
        <w:rPr>
          <w:rFonts w:ascii="Century Gothic"/>
          <w:i/>
          <w:spacing w:val="-13"/>
          <w:w w:val="90"/>
        </w:rPr>
        <w:t> </w:t>
      </w:r>
      <w:r>
        <w:rPr>
          <w:rFonts w:ascii="Century Gothic"/>
          <w:i/>
          <w:w w:val="90"/>
        </w:rPr>
        <w:t>Education</w:t>
      </w:r>
      <w:r>
        <w:rPr>
          <w:rFonts w:ascii="Century Gothic"/>
          <w:i/>
          <w:spacing w:val="-13"/>
          <w:w w:val="90"/>
        </w:rPr>
        <w:t> </w:t>
      </w:r>
      <w:r>
        <w:rPr>
          <w:rFonts w:ascii="Century Gothic"/>
          <w:i/>
          <w:w w:val="90"/>
        </w:rPr>
        <w:t>Standards</w:t>
      </w:r>
      <w:r>
        <w:rPr>
          <w:rFonts w:ascii="Century Gothic"/>
          <w:i/>
          <w:spacing w:val="-13"/>
          <w:w w:val="90"/>
        </w:rPr>
        <w:t> </w:t>
      </w:r>
      <w:r>
        <w:rPr>
          <w:rFonts w:ascii="Century Gothic"/>
          <w:i/>
          <w:w w:val="90"/>
        </w:rPr>
        <w:t>Framework.</w:t>
      </w:r>
    </w:p>
    <w:p>
      <w:pPr>
        <w:pStyle w:val="BodyText"/>
        <w:spacing w:before="7"/>
        <w:rPr>
          <w:rFonts w:ascii="Century Gothic"/>
          <w:i/>
          <w:sz w:val="13"/>
        </w:rPr>
      </w:pPr>
    </w:p>
    <w:p>
      <w:pPr>
        <w:pStyle w:val="BodyText"/>
        <w:spacing w:line="249" w:lineRule="auto"/>
        <w:ind w:left="107"/>
      </w:pPr>
      <w:r>
        <w:rPr/>
        <w:t>Academic Senate’s Research Studies Committee continued to promote good academic governance and quality assurance for Higher Degree Research across the University, with a focus on examination processes and standards, and scrutiny of autonomous sanctions requirements.</w:t>
      </w:r>
    </w:p>
    <w:p>
      <w:pPr>
        <w:pStyle w:val="BodyText"/>
        <w:spacing w:before="1"/>
        <w:rPr>
          <w:sz w:val="20"/>
        </w:rPr>
      </w:pPr>
      <w:r>
        <w:rPr/>
        <w:br w:type="column"/>
      </w:r>
      <w:r>
        <w:rPr>
          <w:sz w:val="20"/>
        </w:rPr>
      </w:r>
    </w:p>
    <w:p>
      <w:pPr>
        <w:pStyle w:val="BodyText"/>
        <w:spacing w:line="249" w:lineRule="auto"/>
        <w:ind w:left="107" w:right="435"/>
      </w:pPr>
      <w:r>
        <w:rPr/>
        <w:t>Other highlights of the year included the</w:t>
      </w:r>
      <w:r>
        <w:rPr>
          <w:spacing w:val="-16"/>
        </w:rPr>
        <w:t> </w:t>
      </w:r>
      <w:r>
        <w:rPr/>
        <w:t>approval</w:t>
      </w:r>
      <w:r>
        <w:rPr>
          <w:spacing w:val="-16"/>
        </w:rPr>
        <w:t> </w:t>
      </w:r>
      <w:r>
        <w:rPr/>
        <w:t>of</w:t>
      </w:r>
      <w:r>
        <w:rPr>
          <w:spacing w:val="-16"/>
        </w:rPr>
        <w:t> </w:t>
      </w:r>
      <w:r>
        <w:rPr/>
        <w:t>new</w:t>
      </w:r>
      <w:r>
        <w:rPr>
          <w:spacing w:val="-16"/>
        </w:rPr>
        <w:t> </w:t>
      </w:r>
      <w:r>
        <w:rPr/>
        <w:t>undergraduate</w:t>
      </w:r>
      <w:r>
        <w:rPr>
          <w:spacing w:val="-16"/>
        </w:rPr>
        <w:t> </w:t>
      </w:r>
      <w:r>
        <w:rPr/>
        <w:t>and postgraduate</w:t>
      </w:r>
      <w:r>
        <w:rPr>
          <w:spacing w:val="-22"/>
        </w:rPr>
        <w:t> </w:t>
      </w:r>
      <w:r>
        <w:rPr/>
        <w:t>courses,</w:t>
      </w:r>
      <w:r>
        <w:rPr>
          <w:spacing w:val="-22"/>
        </w:rPr>
        <w:t> </w:t>
      </w:r>
      <w:r>
        <w:rPr/>
        <w:t>including:</w:t>
      </w:r>
      <w:r>
        <w:rPr>
          <w:spacing w:val="-22"/>
        </w:rPr>
        <w:t> </w:t>
      </w:r>
      <w:r>
        <w:rPr/>
        <w:t>double degrees;</w:t>
      </w:r>
      <w:r>
        <w:rPr>
          <w:spacing w:val="-22"/>
        </w:rPr>
        <w:t> </w:t>
      </w:r>
      <w:r>
        <w:rPr/>
        <w:t>new</w:t>
      </w:r>
      <w:r>
        <w:rPr>
          <w:spacing w:val="-22"/>
        </w:rPr>
        <w:t> </w:t>
      </w:r>
      <w:r>
        <w:rPr/>
        <w:t>postgraduate</w:t>
      </w:r>
      <w:r>
        <w:rPr>
          <w:spacing w:val="-22"/>
        </w:rPr>
        <w:t> </w:t>
      </w:r>
      <w:r>
        <w:rPr/>
        <w:t>courses</w:t>
      </w:r>
      <w:r>
        <w:rPr>
          <w:spacing w:val="-22"/>
        </w:rPr>
        <w:t> </w:t>
      </w:r>
      <w:r>
        <w:rPr/>
        <w:t>in</w:t>
      </w:r>
    </w:p>
    <w:p>
      <w:pPr>
        <w:pStyle w:val="BodyText"/>
        <w:spacing w:line="249" w:lineRule="auto"/>
        <w:ind w:left="107"/>
        <w:jc w:val="both"/>
      </w:pPr>
      <w:r>
        <w:rPr/>
        <w:t>management;</w:t>
      </w:r>
      <w:r>
        <w:rPr>
          <w:spacing w:val="-24"/>
        </w:rPr>
        <w:t> </w:t>
      </w:r>
      <w:r>
        <w:rPr/>
        <w:t>information</w:t>
      </w:r>
      <w:r>
        <w:rPr>
          <w:spacing w:val="-24"/>
        </w:rPr>
        <w:t> </w:t>
      </w:r>
      <w:r>
        <w:rPr/>
        <w:t>and</w:t>
      </w:r>
      <w:r>
        <w:rPr>
          <w:spacing w:val="-24"/>
        </w:rPr>
        <w:t> </w:t>
      </w:r>
      <w:r>
        <w:rPr/>
        <w:t>communication technology;</w:t>
      </w:r>
      <w:r>
        <w:rPr>
          <w:spacing w:val="-21"/>
        </w:rPr>
        <w:t> </w:t>
      </w:r>
      <w:r>
        <w:rPr/>
        <w:t>forensic</w:t>
      </w:r>
      <w:r>
        <w:rPr>
          <w:spacing w:val="-21"/>
        </w:rPr>
        <w:t> </w:t>
      </w:r>
      <w:r>
        <w:rPr/>
        <w:t>science;</w:t>
      </w:r>
      <w:r>
        <w:rPr>
          <w:spacing w:val="-21"/>
        </w:rPr>
        <w:t> </w:t>
      </w:r>
      <w:r>
        <w:rPr/>
        <w:t>acute</w:t>
      </w:r>
      <w:r>
        <w:rPr>
          <w:spacing w:val="-21"/>
        </w:rPr>
        <w:t> </w:t>
      </w:r>
      <w:r>
        <w:rPr/>
        <w:t>and</w:t>
      </w:r>
      <w:r>
        <w:rPr>
          <w:spacing w:val="-21"/>
        </w:rPr>
        <w:t> </w:t>
      </w:r>
      <w:r>
        <w:rPr/>
        <w:t>critical care</w:t>
      </w:r>
      <w:r>
        <w:rPr>
          <w:spacing w:val="-25"/>
        </w:rPr>
        <w:t> </w:t>
      </w:r>
      <w:r>
        <w:rPr/>
        <w:t>nursing;</w:t>
      </w:r>
      <w:r>
        <w:rPr>
          <w:spacing w:val="-25"/>
        </w:rPr>
        <w:t> </w:t>
      </w:r>
      <w:r>
        <w:rPr/>
        <w:t>science</w:t>
      </w:r>
      <w:r>
        <w:rPr>
          <w:spacing w:val="-25"/>
        </w:rPr>
        <w:t> </w:t>
      </w:r>
      <w:r>
        <w:rPr/>
        <w:t>teaching;</w:t>
      </w:r>
      <w:r>
        <w:rPr>
          <w:spacing w:val="-25"/>
        </w:rPr>
        <w:t> </w:t>
      </w:r>
      <w:r>
        <w:rPr/>
        <w:t>and</w:t>
      </w:r>
      <w:r>
        <w:rPr>
          <w:spacing w:val="-25"/>
        </w:rPr>
        <w:t> </w:t>
      </w:r>
      <w:r>
        <w:rPr/>
        <w:t>a</w:t>
      </w:r>
      <w:r>
        <w:rPr>
          <w:spacing w:val="-25"/>
        </w:rPr>
        <w:t> </w:t>
      </w:r>
      <w:r>
        <w:rPr/>
        <w:t>range</w:t>
      </w:r>
    </w:p>
    <w:p>
      <w:pPr>
        <w:pStyle w:val="BodyText"/>
        <w:spacing w:line="249" w:lineRule="auto"/>
        <w:ind w:left="107" w:right="161"/>
      </w:pPr>
      <w:r>
        <w:rPr/>
        <w:t>of other strategically important courses including a Bachelor of Entrepreneurship.</w:t>
      </w:r>
    </w:p>
    <w:p>
      <w:pPr>
        <w:pStyle w:val="BodyText"/>
        <w:rPr>
          <w:sz w:val="14"/>
        </w:rPr>
      </w:pPr>
    </w:p>
    <w:p>
      <w:pPr>
        <w:pStyle w:val="BodyText"/>
        <w:spacing w:line="249" w:lineRule="auto"/>
        <w:ind w:left="107" w:right="161"/>
      </w:pPr>
      <w:r>
        <w:rPr/>
        <w:t>Senate</w:t>
      </w:r>
      <w:r>
        <w:rPr>
          <w:spacing w:val="-16"/>
        </w:rPr>
        <w:t> </w:t>
      </w:r>
      <w:r>
        <w:rPr/>
        <w:t>continues</w:t>
      </w:r>
      <w:r>
        <w:rPr>
          <w:spacing w:val="-16"/>
        </w:rPr>
        <w:t> </w:t>
      </w:r>
      <w:r>
        <w:rPr/>
        <w:t>protecting</w:t>
      </w:r>
      <w:r>
        <w:rPr>
          <w:spacing w:val="-16"/>
        </w:rPr>
        <w:t> </w:t>
      </w:r>
      <w:r>
        <w:rPr/>
        <w:t>and</w:t>
      </w:r>
      <w:r>
        <w:rPr>
          <w:spacing w:val="-16"/>
        </w:rPr>
        <w:t> </w:t>
      </w:r>
      <w:r>
        <w:rPr/>
        <w:t>enhancing the</w:t>
      </w:r>
      <w:r>
        <w:rPr>
          <w:spacing w:val="-15"/>
        </w:rPr>
        <w:t> </w:t>
      </w:r>
      <w:r>
        <w:rPr/>
        <w:t>academic</w:t>
      </w:r>
      <w:r>
        <w:rPr>
          <w:spacing w:val="-15"/>
        </w:rPr>
        <w:t> </w:t>
      </w:r>
      <w:r>
        <w:rPr/>
        <w:t>reputation</w:t>
      </w:r>
      <w:r>
        <w:rPr>
          <w:spacing w:val="-15"/>
        </w:rPr>
        <w:t> </w:t>
      </w:r>
      <w:r>
        <w:rPr/>
        <w:t>of</w:t>
      </w:r>
      <w:r>
        <w:rPr>
          <w:spacing w:val="-15"/>
        </w:rPr>
        <w:t> </w:t>
      </w:r>
      <w:r>
        <w:rPr/>
        <w:t>the</w:t>
      </w:r>
      <w:r>
        <w:rPr>
          <w:spacing w:val="-15"/>
        </w:rPr>
        <w:t> </w:t>
      </w:r>
      <w:r>
        <w:rPr/>
        <w:t>University</w:t>
      </w:r>
      <w:r>
        <w:rPr>
          <w:spacing w:val="-15"/>
        </w:rPr>
        <w:t> </w:t>
      </w:r>
      <w:r>
        <w:rPr/>
        <w:t>in an</w:t>
      </w:r>
      <w:r>
        <w:rPr>
          <w:spacing w:val="-21"/>
        </w:rPr>
        <w:t> </w:t>
      </w:r>
      <w:r>
        <w:rPr/>
        <w:t>increasingly</w:t>
      </w:r>
      <w:r>
        <w:rPr>
          <w:spacing w:val="-21"/>
        </w:rPr>
        <w:t> </w:t>
      </w:r>
      <w:r>
        <w:rPr/>
        <w:t>competitive</w:t>
      </w:r>
      <w:r>
        <w:rPr>
          <w:spacing w:val="-21"/>
        </w:rPr>
        <w:t> </w:t>
      </w:r>
      <w:r>
        <w:rPr/>
        <w:t>environment,</w:t>
      </w:r>
      <w:r>
        <w:rPr>
          <w:spacing w:val="-21"/>
        </w:rPr>
        <w:t> </w:t>
      </w:r>
      <w:r>
        <w:rPr/>
        <w:t>by promoting consistency of academic policy, standards and student experience across the</w:t>
      </w:r>
      <w:r>
        <w:rPr>
          <w:spacing w:val="-18"/>
        </w:rPr>
        <w:t> </w:t>
      </w:r>
      <w:r>
        <w:rPr/>
        <w:t>University.</w:t>
      </w:r>
      <w:r>
        <w:rPr>
          <w:spacing w:val="-18"/>
        </w:rPr>
        <w:t> </w:t>
      </w:r>
      <w:r>
        <w:rPr/>
        <w:t>It</w:t>
      </w:r>
      <w:r>
        <w:rPr>
          <w:spacing w:val="-18"/>
        </w:rPr>
        <w:t> </w:t>
      </w:r>
      <w:r>
        <w:rPr/>
        <w:t>also</w:t>
      </w:r>
      <w:r>
        <w:rPr>
          <w:spacing w:val="-18"/>
        </w:rPr>
        <w:t> </w:t>
      </w:r>
      <w:r>
        <w:rPr/>
        <w:t>serves</w:t>
      </w:r>
      <w:r>
        <w:rPr>
          <w:spacing w:val="-18"/>
        </w:rPr>
        <w:t> </w:t>
      </w:r>
      <w:r>
        <w:rPr/>
        <w:t>as</w:t>
      </w:r>
      <w:r>
        <w:rPr>
          <w:spacing w:val="-18"/>
        </w:rPr>
        <w:t> </w:t>
      </w:r>
      <w:r>
        <w:rPr/>
        <w:t>a</w:t>
      </w:r>
      <w:r>
        <w:rPr>
          <w:spacing w:val="-18"/>
        </w:rPr>
        <w:t> </w:t>
      </w:r>
      <w:r>
        <w:rPr/>
        <w:t>forum</w:t>
      </w:r>
      <w:r>
        <w:rPr>
          <w:spacing w:val="-18"/>
        </w:rPr>
        <w:t> </w:t>
      </w:r>
      <w:r>
        <w:rPr/>
        <w:t>for engaging staff and students in lively and constructive debate about key academic issues</w:t>
      </w:r>
      <w:r>
        <w:rPr>
          <w:spacing w:val="-25"/>
        </w:rPr>
        <w:t> </w:t>
      </w:r>
      <w:r>
        <w:rPr/>
        <w:t>for</w:t>
      </w:r>
      <w:r>
        <w:rPr>
          <w:spacing w:val="-25"/>
        </w:rPr>
        <w:t> </w:t>
      </w:r>
      <w:r>
        <w:rPr/>
        <w:t>the</w:t>
      </w:r>
      <w:r>
        <w:rPr>
          <w:spacing w:val="-25"/>
        </w:rPr>
        <w:t> </w:t>
      </w:r>
      <w:r>
        <w:rPr/>
        <w:t>University.</w:t>
      </w:r>
    </w:p>
    <w:p>
      <w:pPr>
        <w:pStyle w:val="BodyText"/>
      </w:pPr>
    </w:p>
    <w:p>
      <w:pPr>
        <w:pStyle w:val="Heading5"/>
        <w:spacing w:before="136"/>
        <w:ind w:right="435"/>
      </w:pPr>
      <w:bookmarkStart w:name="_TOC_250049" w:id="5"/>
      <w:bookmarkEnd w:id="5"/>
      <w:r>
        <w:rPr>
          <w:w w:val="95"/>
        </w:rPr>
        <w:t>CODE OF CONDUCT</w:t>
      </w:r>
    </w:p>
    <w:p>
      <w:pPr>
        <w:pStyle w:val="BodyText"/>
        <w:spacing w:line="249" w:lineRule="auto" w:before="95"/>
        <w:ind w:left="107" w:right="140"/>
      </w:pPr>
      <w:r>
        <w:rPr/>
        <w:t>The University is committed to maintaining a</w:t>
      </w:r>
      <w:r>
        <w:rPr>
          <w:spacing w:val="-16"/>
        </w:rPr>
        <w:t> </w:t>
      </w:r>
      <w:r>
        <w:rPr/>
        <w:t>high</w:t>
      </w:r>
      <w:r>
        <w:rPr>
          <w:spacing w:val="-16"/>
        </w:rPr>
        <w:t> </w:t>
      </w:r>
      <w:r>
        <w:rPr/>
        <w:t>standard</w:t>
      </w:r>
      <w:r>
        <w:rPr>
          <w:spacing w:val="-16"/>
        </w:rPr>
        <w:t> </w:t>
      </w:r>
      <w:r>
        <w:rPr/>
        <w:t>of</w:t>
      </w:r>
      <w:r>
        <w:rPr>
          <w:spacing w:val="-16"/>
        </w:rPr>
        <w:t> </w:t>
      </w:r>
      <w:r>
        <w:rPr/>
        <w:t>personal</w:t>
      </w:r>
      <w:r>
        <w:rPr>
          <w:spacing w:val="-16"/>
        </w:rPr>
        <w:t> </w:t>
      </w:r>
      <w:r>
        <w:rPr/>
        <w:t>and</w:t>
      </w:r>
      <w:r>
        <w:rPr>
          <w:spacing w:val="-16"/>
        </w:rPr>
        <w:t> </w:t>
      </w:r>
      <w:r>
        <w:rPr/>
        <w:t>professional conduct</w:t>
      </w:r>
      <w:r>
        <w:rPr>
          <w:spacing w:val="-15"/>
        </w:rPr>
        <w:t> </w:t>
      </w:r>
      <w:r>
        <w:rPr/>
        <w:t>in</w:t>
      </w:r>
      <w:r>
        <w:rPr>
          <w:spacing w:val="-15"/>
        </w:rPr>
        <w:t> </w:t>
      </w:r>
      <w:r>
        <w:rPr/>
        <w:t>all</w:t>
      </w:r>
      <w:r>
        <w:rPr>
          <w:spacing w:val="-15"/>
        </w:rPr>
        <w:t> </w:t>
      </w:r>
      <w:r>
        <w:rPr/>
        <w:t>its</w:t>
      </w:r>
      <w:r>
        <w:rPr>
          <w:spacing w:val="-15"/>
        </w:rPr>
        <w:t> </w:t>
      </w:r>
      <w:r>
        <w:rPr/>
        <w:t>activities.</w:t>
      </w:r>
      <w:r>
        <w:rPr>
          <w:spacing w:val="-15"/>
        </w:rPr>
        <w:t> </w:t>
      </w:r>
      <w:r>
        <w:rPr/>
        <w:t>These</w:t>
      </w:r>
      <w:r>
        <w:rPr>
          <w:spacing w:val="-15"/>
        </w:rPr>
        <w:t> </w:t>
      </w:r>
      <w:r>
        <w:rPr/>
        <w:t>standards are outlined in the University’s Code of Conduct. The Code establishes the ethical framework within which the University operates, and guides students, visitors and contractors on the ethical standards we expect</w:t>
      </w:r>
      <w:r>
        <w:rPr>
          <w:spacing w:val="-13"/>
        </w:rPr>
        <w:t> </w:t>
      </w:r>
      <w:r>
        <w:rPr/>
        <w:t>they</w:t>
      </w:r>
      <w:r>
        <w:rPr>
          <w:spacing w:val="-13"/>
        </w:rPr>
        <w:t> </w:t>
      </w:r>
      <w:r>
        <w:rPr/>
        <w:t>will</w:t>
      </w:r>
      <w:r>
        <w:rPr>
          <w:spacing w:val="-13"/>
        </w:rPr>
        <w:t> </w:t>
      </w:r>
      <w:r>
        <w:rPr/>
        <w:t>also</w:t>
      </w:r>
      <w:r>
        <w:rPr>
          <w:spacing w:val="-13"/>
        </w:rPr>
        <w:t> </w:t>
      </w:r>
      <w:r>
        <w:rPr/>
        <w:t>uphold</w:t>
      </w:r>
      <w:r>
        <w:rPr>
          <w:spacing w:val="-13"/>
        </w:rPr>
        <w:t> </w:t>
      </w:r>
      <w:r>
        <w:rPr/>
        <w:t>when</w:t>
      </w:r>
      <w:r>
        <w:rPr>
          <w:spacing w:val="-13"/>
        </w:rPr>
        <w:t> </w:t>
      </w:r>
      <w:r>
        <w:rPr/>
        <w:t>engaging</w:t>
      </w:r>
    </w:p>
    <w:p>
      <w:pPr>
        <w:pStyle w:val="BodyText"/>
        <w:spacing w:line="249" w:lineRule="auto"/>
        <w:ind w:left="107" w:right="8"/>
        <w:rPr>
          <w:rFonts w:ascii="Gotham Narrow Bold"/>
          <w:b/>
        </w:rPr>
      </w:pPr>
      <w:r>
        <w:rPr/>
        <w:t>with</w:t>
      </w:r>
      <w:r>
        <w:rPr>
          <w:spacing w:val="-21"/>
        </w:rPr>
        <w:t> </w:t>
      </w:r>
      <w:r>
        <w:rPr/>
        <w:t>the</w:t>
      </w:r>
      <w:r>
        <w:rPr>
          <w:spacing w:val="-21"/>
        </w:rPr>
        <w:t> </w:t>
      </w:r>
      <w:r>
        <w:rPr/>
        <w:t>University.</w:t>
      </w:r>
      <w:r>
        <w:rPr>
          <w:spacing w:val="-21"/>
        </w:rPr>
        <w:t> </w:t>
      </w:r>
      <w:r>
        <w:rPr/>
        <w:t>It</w:t>
      </w:r>
      <w:r>
        <w:rPr>
          <w:spacing w:val="-21"/>
        </w:rPr>
        <w:t> </w:t>
      </w:r>
      <w:r>
        <w:rPr/>
        <w:t>outlines</w:t>
      </w:r>
      <w:r>
        <w:rPr>
          <w:spacing w:val="-21"/>
        </w:rPr>
        <w:t> </w:t>
      </w:r>
      <w:r>
        <w:rPr/>
        <w:t>what</w:t>
      </w:r>
      <w:r>
        <w:rPr>
          <w:spacing w:val="-21"/>
        </w:rPr>
        <w:t> </w:t>
      </w:r>
      <w:r>
        <w:rPr/>
        <w:t>is</w:t>
      </w:r>
      <w:r>
        <w:rPr>
          <w:spacing w:val="-21"/>
        </w:rPr>
        <w:t> </w:t>
      </w:r>
      <w:r>
        <w:rPr/>
        <w:t>required of</w:t>
      </w:r>
      <w:r>
        <w:rPr>
          <w:spacing w:val="-17"/>
        </w:rPr>
        <w:t> </w:t>
      </w:r>
      <w:r>
        <w:rPr/>
        <w:t>members</w:t>
      </w:r>
      <w:r>
        <w:rPr>
          <w:spacing w:val="-17"/>
        </w:rPr>
        <w:t> </w:t>
      </w:r>
      <w:r>
        <w:rPr/>
        <w:t>of</w:t>
      </w:r>
      <w:r>
        <w:rPr>
          <w:spacing w:val="-17"/>
        </w:rPr>
        <w:t> </w:t>
      </w:r>
      <w:r>
        <w:rPr/>
        <w:t>the</w:t>
      </w:r>
      <w:r>
        <w:rPr>
          <w:spacing w:val="-17"/>
        </w:rPr>
        <w:t> </w:t>
      </w:r>
      <w:r>
        <w:rPr/>
        <w:t>University</w:t>
      </w:r>
      <w:r>
        <w:rPr>
          <w:spacing w:val="-17"/>
        </w:rPr>
        <w:t> </w:t>
      </w:r>
      <w:r>
        <w:rPr/>
        <w:t>community,</w:t>
      </w:r>
      <w:r>
        <w:rPr>
          <w:spacing w:val="-17"/>
        </w:rPr>
        <w:t> </w:t>
      </w:r>
      <w:r>
        <w:rPr/>
        <w:t>and recognises that the University and its policies operate in the context of state and federal laws. The Code of Conduct can be accessed </w:t>
      </w:r>
      <w:r>
        <w:rPr>
          <w:w w:val="95"/>
        </w:rPr>
        <w:t>online at: </w:t>
      </w:r>
      <w:r>
        <w:rPr>
          <w:rFonts w:ascii="Gotham Narrow Bold"/>
          <w:b/>
          <w:spacing w:val="2"/>
          <w:w w:val="95"/>
        </w:rPr>
        <w:t>policies.uws.edu.au/view.current. </w:t>
      </w:r>
      <w:r>
        <w:rPr>
          <w:rFonts w:ascii="Gotham Narrow Bold"/>
          <w:b/>
        </w:rPr>
        <w:t>php?id=00072</w:t>
      </w:r>
    </w:p>
    <w:p>
      <w:pPr>
        <w:pStyle w:val="BodyText"/>
        <w:spacing w:before="7"/>
        <w:rPr>
          <w:rFonts w:ascii="Gotham Narrow Bold"/>
          <w:b/>
          <w:sz w:val="13"/>
        </w:rPr>
      </w:pPr>
    </w:p>
    <w:p>
      <w:pPr>
        <w:spacing w:line="249" w:lineRule="auto" w:before="1"/>
        <w:ind w:left="107" w:right="-1" w:firstLine="0"/>
        <w:jc w:val="left"/>
        <w:rPr>
          <w:rFonts w:ascii="Gotham Narrow Bold" w:hAnsi="Gotham Narrow Bold"/>
          <w:b/>
          <w:sz w:val="16"/>
        </w:rPr>
      </w:pPr>
      <w:r>
        <w:rPr>
          <w:sz w:val="16"/>
        </w:rPr>
        <w:t>All</w:t>
      </w:r>
      <w:r>
        <w:rPr>
          <w:spacing w:val="-14"/>
          <w:sz w:val="16"/>
        </w:rPr>
        <w:t> </w:t>
      </w:r>
      <w:r>
        <w:rPr>
          <w:sz w:val="16"/>
        </w:rPr>
        <w:t>of</w:t>
      </w:r>
      <w:r>
        <w:rPr>
          <w:spacing w:val="-14"/>
          <w:sz w:val="16"/>
        </w:rPr>
        <w:t> </w:t>
      </w:r>
      <w:r>
        <w:rPr>
          <w:sz w:val="16"/>
        </w:rPr>
        <w:t>the</w:t>
      </w:r>
      <w:r>
        <w:rPr>
          <w:spacing w:val="-14"/>
          <w:sz w:val="16"/>
        </w:rPr>
        <w:t> </w:t>
      </w:r>
      <w:r>
        <w:rPr>
          <w:sz w:val="16"/>
        </w:rPr>
        <w:t>University’s</w:t>
      </w:r>
      <w:r>
        <w:rPr>
          <w:spacing w:val="-14"/>
          <w:sz w:val="16"/>
        </w:rPr>
        <w:t> </w:t>
      </w:r>
      <w:r>
        <w:rPr>
          <w:sz w:val="16"/>
        </w:rPr>
        <w:t>policies,</w:t>
      </w:r>
      <w:r>
        <w:rPr>
          <w:spacing w:val="-14"/>
          <w:sz w:val="16"/>
        </w:rPr>
        <w:t> </w:t>
      </w:r>
      <w:r>
        <w:rPr>
          <w:sz w:val="16"/>
        </w:rPr>
        <w:t>procedures</w:t>
      </w:r>
      <w:r>
        <w:rPr>
          <w:spacing w:val="-14"/>
          <w:sz w:val="16"/>
        </w:rPr>
        <w:t> </w:t>
      </w:r>
      <w:r>
        <w:rPr>
          <w:sz w:val="16"/>
        </w:rPr>
        <w:t>and guidelines</w:t>
      </w:r>
      <w:r>
        <w:rPr>
          <w:spacing w:val="-20"/>
          <w:sz w:val="16"/>
        </w:rPr>
        <w:t> </w:t>
      </w:r>
      <w:r>
        <w:rPr>
          <w:sz w:val="16"/>
        </w:rPr>
        <w:t>are</w:t>
      </w:r>
      <w:r>
        <w:rPr>
          <w:spacing w:val="-20"/>
          <w:sz w:val="16"/>
        </w:rPr>
        <w:t> </w:t>
      </w:r>
      <w:r>
        <w:rPr>
          <w:sz w:val="16"/>
        </w:rPr>
        <w:t>published</w:t>
      </w:r>
      <w:r>
        <w:rPr>
          <w:spacing w:val="-20"/>
          <w:sz w:val="16"/>
        </w:rPr>
        <w:t> </w:t>
      </w:r>
      <w:r>
        <w:rPr>
          <w:sz w:val="16"/>
        </w:rPr>
        <w:t>in</w:t>
      </w:r>
      <w:r>
        <w:rPr>
          <w:spacing w:val="-20"/>
          <w:sz w:val="16"/>
        </w:rPr>
        <w:t> </w:t>
      </w:r>
      <w:r>
        <w:rPr>
          <w:sz w:val="16"/>
        </w:rPr>
        <w:t>an</w:t>
      </w:r>
      <w:r>
        <w:rPr>
          <w:spacing w:val="-20"/>
          <w:sz w:val="16"/>
        </w:rPr>
        <w:t> </w:t>
      </w:r>
      <w:r>
        <w:rPr>
          <w:sz w:val="16"/>
        </w:rPr>
        <w:t>online</w:t>
      </w:r>
      <w:r>
        <w:rPr>
          <w:spacing w:val="-20"/>
          <w:sz w:val="16"/>
        </w:rPr>
        <w:t> </w:t>
      </w:r>
      <w:r>
        <w:rPr>
          <w:sz w:val="16"/>
        </w:rPr>
        <w:t>database, available from </w:t>
      </w:r>
      <w:r>
        <w:rPr>
          <w:rFonts w:ascii="Gotham Narrow Bold" w:hAnsi="Gotham Narrow Bold"/>
          <w:b/>
          <w:sz w:val="16"/>
        </w:rPr>
        <w:t>westernsydney.edu.au/ policy/policy_dds</w:t>
      </w:r>
    </w:p>
    <w:p>
      <w:pPr>
        <w:pStyle w:val="BodyText"/>
        <w:spacing w:before="6"/>
        <w:rPr>
          <w:rFonts w:ascii="Gotham Narrow Bold"/>
          <w:b/>
          <w:sz w:val="21"/>
        </w:rPr>
      </w:pPr>
      <w:r>
        <w:rPr/>
        <w:br w:type="column"/>
      </w:r>
      <w:r>
        <w:rPr>
          <w:rFonts w:ascii="Gotham Narrow Bold"/>
          <w:b/>
          <w:sz w:val="21"/>
        </w:rPr>
      </w:r>
    </w:p>
    <w:p>
      <w:pPr>
        <w:pStyle w:val="Heading5"/>
        <w:spacing w:line="260" w:lineRule="exact" w:before="1"/>
        <w:ind w:right="625"/>
      </w:pPr>
      <w:r>
        <w:rPr>
          <w:w w:val="95"/>
        </w:rPr>
        <w:t>PUBLIC INTEREST </w:t>
      </w:r>
      <w:r>
        <w:rPr/>
        <w:t>DISCLOSURES</w:t>
      </w:r>
    </w:p>
    <w:p>
      <w:pPr>
        <w:pStyle w:val="BodyText"/>
        <w:spacing w:line="249" w:lineRule="auto" w:before="101"/>
        <w:ind w:left="107" w:right="625"/>
      </w:pPr>
      <w:r>
        <w:rPr/>
        <w:pict>
          <v:rect style="position:absolute;margin-left:383.622009pt;margin-top:30.059887pt;width:171.969pt;height:180.142pt;mso-position-horizontal-relative:page;mso-position-vertical-relative:paragraph;z-index:-336544" filled="true" fillcolor="#e9e9e9" stroked="false">
            <v:fill type="solid"/>
            <w10:wrap type="none"/>
          </v:rect>
        </w:pict>
      </w:r>
      <w:r>
        <w:rPr/>
        <w:t>Statistical information on public interest </w:t>
      </w:r>
      <w:r>
        <w:rPr>
          <w:w w:val="95"/>
        </w:rPr>
        <w:t>disclosures (PIDs)</w:t>
      </w:r>
    </w:p>
    <w:p>
      <w:pPr>
        <w:pStyle w:val="BodyText"/>
        <w:spacing w:before="4"/>
        <w:rPr>
          <w:sz w:val="17"/>
        </w:rPr>
      </w:pPr>
    </w:p>
    <w:tbl>
      <w:tblPr>
        <w:tblW w:w="0" w:type="auto"/>
        <w:jc w:val="left"/>
        <w:tblInd w:w="10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299"/>
        <w:gridCol w:w="907"/>
      </w:tblGrid>
      <w:tr>
        <w:trPr>
          <w:trHeight w:val="401" w:hRule="exact"/>
        </w:trPr>
        <w:tc>
          <w:tcPr>
            <w:tcW w:w="2299" w:type="dxa"/>
            <w:tcBorders>
              <w:top w:val="nil"/>
              <w:left w:val="nil"/>
              <w:bottom w:val="nil"/>
              <w:right w:val="single" w:sz="4" w:space="0" w:color="FFFFFF"/>
            </w:tcBorders>
            <w:shd w:val="clear" w:color="auto" w:fill="949290"/>
          </w:tcPr>
          <w:p>
            <w:pPr/>
          </w:p>
        </w:tc>
        <w:tc>
          <w:tcPr>
            <w:tcW w:w="907" w:type="dxa"/>
            <w:tcBorders>
              <w:top w:val="nil"/>
              <w:left w:val="single" w:sz="4" w:space="0" w:color="FFFFFF"/>
              <w:bottom w:val="nil"/>
              <w:right w:val="nil"/>
            </w:tcBorders>
            <w:shd w:val="clear" w:color="auto" w:fill="949290"/>
          </w:tcPr>
          <w:p>
            <w:pPr>
              <w:pStyle w:val="TableParagraph"/>
              <w:spacing w:line="176" w:lineRule="exact" w:before="31"/>
              <w:ind w:left="48"/>
              <w:jc w:val="left"/>
              <w:rPr>
                <w:rFonts w:ascii="Gotham Narrow Bold" w:hAnsi="Gotham Narrow Bold"/>
                <w:b/>
                <w:sz w:val="16"/>
              </w:rPr>
            </w:pPr>
            <w:r>
              <w:rPr>
                <w:rFonts w:ascii="Gotham Narrow Bold" w:hAnsi="Gotham Narrow Bold"/>
                <w:b/>
                <w:color w:val="FFFFFF"/>
                <w:sz w:val="16"/>
              </w:rPr>
              <w:t>JAN 2016 –</w:t>
            </w:r>
          </w:p>
          <w:p>
            <w:pPr>
              <w:pStyle w:val="TableParagraph"/>
              <w:spacing w:line="176" w:lineRule="exact" w:before="0"/>
              <w:ind w:left="103"/>
              <w:jc w:val="left"/>
              <w:rPr>
                <w:rFonts w:ascii="Gotham Narrow Bold"/>
                <w:b/>
                <w:sz w:val="16"/>
              </w:rPr>
            </w:pPr>
            <w:r>
              <w:rPr>
                <w:rFonts w:ascii="Gotham Narrow Bold"/>
                <w:b/>
                <w:color w:val="FFFFFF"/>
                <w:sz w:val="16"/>
              </w:rPr>
              <w:t>DEC 2016</w:t>
            </w:r>
          </w:p>
        </w:tc>
      </w:tr>
      <w:tr>
        <w:trPr>
          <w:trHeight w:val="441" w:hRule="exact"/>
        </w:trPr>
        <w:tc>
          <w:tcPr>
            <w:tcW w:w="2299" w:type="dxa"/>
            <w:tcBorders>
              <w:top w:val="nil"/>
            </w:tcBorders>
            <w:shd w:val="clear" w:color="auto" w:fill="E9E9E9"/>
          </w:tcPr>
          <w:p>
            <w:pPr>
              <w:pStyle w:val="TableParagraph"/>
              <w:spacing w:line="249" w:lineRule="auto" w:before="24"/>
              <w:ind w:left="51"/>
              <w:jc w:val="left"/>
              <w:rPr>
                <w:sz w:val="16"/>
              </w:rPr>
            </w:pPr>
            <w:r>
              <w:rPr>
                <w:sz w:val="16"/>
              </w:rPr>
              <w:t>Number of public officials who made PIDs</w:t>
            </w:r>
          </w:p>
        </w:tc>
        <w:tc>
          <w:tcPr>
            <w:tcW w:w="907" w:type="dxa"/>
            <w:tcBorders>
              <w:top w:val="nil"/>
            </w:tcBorders>
            <w:shd w:val="clear" w:color="auto" w:fill="E9E9E9"/>
          </w:tcPr>
          <w:p>
            <w:pPr>
              <w:pStyle w:val="TableParagraph"/>
              <w:spacing w:before="24"/>
              <w:jc w:val="center"/>
              <w:rPr>
                <w:sz w:val="16"/>
              </w:rPr>
            </w:pPr>
            <w:r>
              <w:rPr>
                <w:w w:val="111"/>
                <w:sz w:val="16"/>
              </w:rPr>
              <w:t>0</w:t>
            </w:r>
          </w:p>
        </w:tc>
      </w:tr>
      <w:tr>
        <w:trPr>
          <w:trHeight w:val="241" w:hRule="exact"/>
        </w:trPr>
        <w:tc>
          <w:tcPr>
            <w:tcW w:w="2299" w:type="dxa"/>
            <w:shd w:val="clear" w:color="auto" w:fill="E9E9E9"/>
          </w:tcPr>
          <w:p>
            <w:pPr>
              <w:pStyle w:val="TableParagraph"/>
              <w:spacing w:before="19"/>
              <w:ind w:left="51"/>
              <w:jc w:val="left"/>
              <w:rPr>
                <w:sz w:val="16"/>
              </w:rPr>
            </w:pPr>
            <w:r>
              <w:rPr>
                <w:sz w:val="16"/>
              </w:rPr>
              <w:t>Number of PIDs received</w:t>
            </w:r>
          </w:p>
        </w:tc>
        <w:tc>
          <w:tcPr>
            <w:tcW w:w="907" w:type="dxa"/>
            <w:shd w:val="clear" w:color="auto" w:fill="E9E9E9"/>
          </w:tcPr>
          <w:p>
            <w:pPr>
              <w:pStyle w:val="TableParagraph"/>
              <w:spacing w:before="19"/>
              <w:jc w:val="center"/>
              <w:rPr>
                <w:sz w:val="16"/>
              </w:rPr>
            </w:pPr>
            <w:r>
              <w:rPr>
                <w:w w:val="111"/>
                <w:sz w:val="16"/>
              </w:rPr>
              <w:t>0</w:t>
            </w:r>
          </w:p>
        </w:tc>
      </w:tr>
      <w:tr>
        <w:trPr>
          <w:trHeight w:val="441" w:hRule="exact"/>
        </w:trPr>
        <w:tc>
          <w:tcPr>
            <w:tcW w:w="2299" w:type="dxa"/>
            <w:shd w:val="clear" w:color="auto" w:fill="E9E9E9"/>
          </w:tcPr>
          <w:p>
            <w:pPr>
              <w:pStyle w:val="TableParagraph"/>
              <w:spacing w:line="249" w:lineRule="auto" w:before="19"/>
              <w:ind w:left="51" w:right="395"/>
              <w:jc w:val="left"/>
              <w:rPr>
                <w:sz w:val="16"/>
              </w:rPr>
            </w:pPr>
            <w:r>
              <w:rPr>
                <w:sz w:val="16"/>
              </w:rPr>
              <w:t>Of PIDs received, number primarily about:</w:t>
            </w:r>
          </w:p>
        </w:tc>
        <w:tc>
          <w:tcPr>
            <w:tcW w:w="907" w:type="dxa"/>
            <w:shd w:val="clear" w:color="auto" w:fill="E9E9E9"/>
          </w:tcPr>
          <w:p>
            <w:pPr/>
          </w:p>
        </w:tc>
      </w:tr>
      <w:tr>
        <w:trPr>
          <w:trHeight w:val="241" w:hRule="exact"/>
        </w:trPr>
        <w:tc>
          <w:tcPr>
            <w:tcW w:w="2299" w:type="dxa"/>
            <w:shd w:val="clear" w:color="auto" w:fill="E9E9E9"/>
          </w:tcPr>
          <w:p>
            <w:pPr>
              <w:pStyle w:val="TableParagraph"/>
              <w:spacing w:before="20"/>
              <w:ind w:left="165"/>
              <w:jc w:val="left"/>
              <w:rPr>
                <w:sz w:val="16"/>
              </w:rPr>
            </w:pPr>
            <w:r>
              <w:rPr>
                <w:sz w:val="16"/>
              </w:rPr>
              <w:t>Corrupt conduct</w:t>
            </w:r>
          </w:p>
        </w:tc>
        <w:tc>
          <w:tcPr>
            <w:tcW w:w="907" w:type="dxa"/>
            <w:shd w:val="clear" w:color="auto" w:fill="E9E9E9"/>
          </w:tcPr>
          <w:p>
            <w:pPr>
              <w:pStyle w:val="TableParagraph"/>
              <w:spacing w:before="20"/>
              <w:jc w:val="center"/>
              <w:rPr>
                <w:sz w:val="16"/>
              </w:rPr>
            </w:pPr>
            <w:r>
              <w:rPr>
                <w:w w:val="111"/>
                <w:sz w:val="16"/>
              </w:rPr>
              <w:t>0</w:t>
            </w:r>
          </w:p>
        </w:tc>
      </w:tr>
      <w:tr>
        <w:trPr>
          <w:trHeight w:val="241" w:hRule="exact"/>
        </w:trPr>
        <w:tc>
          <w:tcPr>
            <w:tcW w:w="2299" w:type="dxa"/>
            <w:shd w:val="clear" w:color="auto" w:fill="E9E9E9"/>
          </w:tcPr>
          <w:p>
            <w:pPr>
              <w:pStyle w:val="TableParagraph"/>
              <w:spacing w:before="20"/>
              <w:ind w:left="165"/>
              <w:jc w:val="left"/>
              <w:rPr>
                <w:sz w:val="16"/>
              </w:rPr>
            </w:pPr>
            <w:r>
              <w:rPr>
                <w:sz w:val="16"/>
              </w:rPr>
              <w:t>Maladministration</w:t>
            </w:r>
          </w:p>
        </w:tc>
        <w:tc>
          <w:tcPr>
            <w:tcW w:w="907" w:type="dxa"/>
            <w:shd w:val="clear" w:color="auto" w:fill="E9E9E9"/>
          </w:tcPr>
          <w:p>
            <w:pPr>
              <w:pStyle w:val="TableParagraph"/>
              <w:spacing w:before="20"/>
              <w:jc w:val="center"/>
              <w:rPr>
                <w:sz w:val="16"/>
              </w:rPr>
            </w:pPr>
            <w:r>
              <w:rPr>
                <w:w w:val="111"/>
                <w:sz w:val="16"/>
              </w:rPr>
              <w:t>0</w:t>
            </w:r>
          </w:p>
        </w:tc>
      </w:tr>
      <w:tr>
        <w:trPr>
          <w:trHeight w:val="241" w:hRule="exact"/>
        </w:trPr>
        <w:tc>
          <w:tcPr>
            <w:tcW w:w="2299" w:type="dxa"/>
            <w:shd w:val="clear" w:color="auto" w:fill="E9E9E9"/>
          </w:tcPr>
          <w:p>
            <w:pPr>
              <w:pStyle w:val="TableParagraph"/>
              <w:spacing w:before="20"/>
              <w:ind w:left="165"/>
              <w:jc w:val="left"/>
              <w:rPr>
                <w:sz w:val="16"/>
              </w:rPr>
            </w:pPr>
            <w:r>
              <w:rPr>
                <w:sz w:val="16"/>
              </w:rPr>
              <w:t>Serious and substantial waste</w:t>
            </w:r>
          </w:p>
        </w:tc>
        <w:tc>
          <w:tcPr>
            <w:tcW w:w="907" w:type="dxa"/>
            <w:shd w:val="clear" w:color="auto" w:fill="E9E9E9"/>
          </w:tcPr>
          <w:p>
            <w:pPr>
              <w:pStyle w:val="TableParagraph"/>
              <w:spacing w:before="20"/>
              <w:jc w:val="center"/>
              <w:rPr>
                <w:sz w:val="16"/>
              </w:rPr>
            </w:pPr>
            <w:r>
              <w:rPr>
                <w:w w:val="111"/>
                <w:sz w:val="16"/>
              </w:rPr>
              <w:t>0</w:t>
            </w:r>
          </w:p>
        </w:tc>
      </w:tr>
      <w:tr>
        <w:trPr>
          <w:trHeight w:val="441" w:hRule="exact"/>
        </w:trPr>
        <w:tc>
          <w:tcPr>
            <w:tcW w:w="2299" w:type="dxa"/>
            <w:shd w:val="clear" w:color="auto" w:fill="E9E9E9"/>
          </w:tcPr>
          <w:p>
            <w:pPr>
              <w:pStyle w:val="TableParagraph"/>
              <w:spacing w:line="249" w:lineRule="auto" w:before="20"/>
              <w:ind w:left="165"/>
              <w:jc w:val="left"/>
              <w:rPr>
                <w:sz w:val="16"/>
              </w:rPr>
            </w:pPr>
            <w:r>
              <w:rPr>
                <w:sz w:val="16"/>
              </w:rPr>
              <w:t>Government information contravention</w:t>
            </w:r>
          </w:p>
        </w:tc>
        <w:tc>
          <w:tcPr>
            <w:tcW w:w="907" w:type="dxa"/>
            <w:shd w:val="clear" w:color="auto" w:fill="E9E9E9"/>
          </w:tcPr>
          <w:p>
            <w:pPr>
              <w:pStyle w:val="TableParagraph"/>
              <w:spacing w:before="20"/>
              <w:jc w:val="center"/>
              <w:rPr>
                <w:sz w:val="16"/>
              </w:rPr>
            </w:pPr>
            <w:r>
              <w:rPr>
                <w:w w:val="111"/>
                <w:sz w:val="16"/>
              </w:rPr>
              <w:t>0</w:t>
            </w:r>
          </w:p>
        </w:tc>
      </w:tr>
      <w:tr>
        <w:trPr>
          <w:trHeight w:val="441" w:hRule="exact"/>
        </w:trPr>
        <w:tc>
          <w:tcPr>
            <w:tcW w:w="2299" w:type="dxa"/>
            <w:shd w:val="clear" w:color="auto" w:fill="E9E9E9"/>
          </w:tcPr>
          <w:p>
            <w:pPr>
              <w:pStyle w:val="TableParagraph"/>
              <w:spacing w:line="249" w:lineRule="auto" w:before="20"/>
              <w:ind w:left="165"/>
              <w:jc w:val="left"/>
              <w:rPr>
                <w:sz w:val="16"/>
              </w:rPr>
            </w:pPr>
            <w:r>
              <w:rPr>
                <w:sz w:val="16"/>
              </w:rPr>
              <w:t>Local government pecuniary interest contravention</w:t>
            </w:r>
          </w:p>
        </w:tc>
        <w:tc>
          <w:tcPr>
            <w:tcW w:w="907" w:type="dxa"/>
            <w:shd w:val="clear" w:color="auto" w:fill="E9E9E9"/>
          </w:tcPr>
          <w:p>
            <w:pPr>
              <w:pStyle w:val="TableParagraph"/>
              <w:spacing w:before="20"/>
              <w:jc w:val="center"/>
              <w:rPr>
                <w:sz w:val="16"/>
              </w:rPr>
            </w:pPr>
            <w:r>
              <w:rPr>
                <w:w w:val="111"/>
                <w:sz w:val="16"/>
              </w:rPr>
              <w:t>0</w:t>
            </w:r>
          </w:p>
        </w:tc>
      </w:tr>
      <w:tr>
        <w:trPr>
          <w:trHeight w:val="241" w:hRule="exact"/>
        </w:trPr>
        <w:tc>
          <w:tcPr>
            <w:tcW w:w="2299" w:type="dxa"/>
            <w:shd w:val="clear" w:color="auto" w:fill="E9E9E9"/>
          </w:tcPr>
          <w:p>
            <w:pPr>
              <w:pStyle w:val="TableParagraph"/>
              <w:spacing w:before="20"/>
              <w:ind w:left="51"/>
              <w:jc w:val="left"/>
              <w:rPr>
                <w:sz w:val="16"/>
              </w:rPr>
            </w:pPr>
            <w:r>
              <w:rPr>
                <w:sz w:val="16"/>
              </w:rPr>
              <w:t>Number of PIDs finalised</w:t>
            </w:r>
          </w:p>
        </w:tc>
        <w:tc>
          <w:tcPr>
            <w:tcW w:w="907" w:type="dxa"/>
            <w:shd w:val="clear" w:color="auto" w:fill="E9E9E9"/>
          </w:tcPr>
          <w:p>
            <w:pPr>
              <w:pStyle w:val="TableParagraph"/>
              <w:spacing w:before="20"/>
              <w:jc w:val="center"/>
              <w:rPr>
                <w:sz w:val="16"/>
              </w:rPr>
            </w:pPr>
            <w:r>
              <w:rPr>
                <w:w w:val="111"/>
                <w:sz w:val="16"/>
              </w:rPr>
              <w:t>0</w:t>
            </w:r>
          </w:p>
        </w:tc>
      </w:tr>
    </w:tbl>
    <w:p>
      <w:pPr>
        <w:pStyle w:val="BodyText"/>
        <w:spacing w:before="6"/>
        <w:rPr>
          <w:sz w:val="15"/>
        </w:rPr>
      </w:pPr>
    </w:p>
    <w:p>
      <w:pPr>
        <w:spacing w:line="244" w:lineRule="auto" w:before="0"/>
        <w:ind w:left="107" w:right="445" w:firstLine="0"/>
        <w:jc w:val="left"/>
        <w:rPr>
          <w:sz w:val="16"/>
        </w:rPr>
      </w:pPr>
      <w:r>
        <w:rPr>
          <w:sz w:val="16"/>
        </w:rPr>
        <w:t>The University has an internal reporting policy,</w:t>
      </w:r>
      <w:r>
        <w:rPr>
          <w:spacing w:val="-26"/>
          <w:sz w:val="16"/>
        </w:rPr>
        <w:t> </w:t>
      </w:r>
      <w:r>
        <w:rPr>
          <w:sz w:val="16"/>
        </w:rPr>
        <w:t>which</w:t>
      </w:r>
      <w:r>
        <w:rPr>
          <w:spacing w:val="-26"/>
          <w:sz w:val="16"/>
        </w:rPr>
        <w:t> </w:t>
      </w:r>
      <w:r>
        <w:rPr>
          <w:sz w:val="16"/>
        </w:rPr>
        <w:t>is</w:t>
      </w:r>
      <w:r>
        <w:rPr>
          <w:spacing w:val="-26"/>
          <w:sz w:val="16"/>
        </w:rPr>
        <w:t> </w:t>
      </w:r>
      <w:r>
        <w:rPr>
          <w:sz w:val="16"/>
        </w:rPr>
        <w:t>set</w:t>
      </w:r>
      <w:r>
        <w:rPr>
          <w:spacing w:val="-26"/>
          <w:sz w:val="16"/>
        </w:rPr>
        <w:t> </w:t>
      </w:r>
      <w:r>
        <w:rPr>
          <w:sz w:val="16"/>
        </w:rPr>
        <w:t>out</w:t>
      </w:r>
      <w:r>
        <w:rPr>
          <w:spacing w:val="-26"/>
          <w:sz w:val="16"/>
        </w:rPr>
        <w:t> </w:t>
      </w:r>
      <w:r>
        <w:rPr>
          <w:sz w:val="16"/>
        </w:rPr>
        <w:t>in</w:t>
      </w:r>
      <w:r>
        <w:rPr>
          <w:spacing w:val="-26"/>
          <w:sz w:val="16"/>
        </w:rPr>
        <w:t> </w:t>
      </w:r>
      <w:r>
        <w:rPr>
          <w:sz w:val="16"/>
        </w:rPr>
        <w:t>the</w:t>
      </w:r>
      <w:r>
        <w:rPr>
          <w:spacing w:val="-26"/>
          <w:sz w:val="16"/>
        </w:rPr>
        <w:t> </w:t>
      </w:r>
      <w:r>
        <w:rPr>
          <w:rFonts w:ascii="Century Gothic"/>
          <w:i/>
          <w:sz w:val="16"/>
        </w:rPr>
        <w:t>Public</w:t>
      </w:r>
      <w:r>
        <w:rPr>
          <w:rFonts w:ascii="Century Gothic"/>
          <w:i/>
          <w:spacing w:val="-21"/>
          <w:sz w:val="16"/>
        </w:rPr>
        <w:t> </w:t>
      </w:r>
      <w:r>
        <w:rPr>
          <w:rFonts w:ascii="Century Gothic"/>
          <w:i/>
          <w:sz w:val="16"/>
        </w:rPr>
        <w:t>Interest </w:t>
      </w:r>
      <w:r>
        <w:rPr>
          <w:rFonts w:ascii="Century Gothic"/>
          <w:i/>
          <w:w w:val="95"/>
          <w:sz w:val="16"/>
        </w:rPr>
        <w:t>(Protected) Disclosures Policy</w:t>
      </w:r>
      <w:r>
        <w:rPr>
          <w:w w:val="95"/>
          <w:sz w:val="16"/>
        </w:rPr>
        <w:t>. The Policy </w:t>
      </w:r>
      <w:r>
        <w:rPr>
          <w:sz w:val="16"/>
        </w:rPr>
        <w:t>provides</w:t>
      </w:r>
      <w:r>
        <w:rPr>
          <w:spacing w:val="-16"/>
          <w:sz w:val="16"/>
        </w:rPr>
        <w:t> </w:t>
      </w:r>
      <w:r>
        <w:rPr>
          <w:sz w:val="16"/>
        </w:rPr>
        <w:t>for</w:t>
      </w:r>
      <w:r>
        <w:rPr>
          <w:spacing w:val="-16"/>
          <w:sz w:val="16"/>
        </w:rPr>
        <w:t> </w:t>
      </w:r>
      <w:r>
        <w:rPr>
          <w:sz w:val="16"/>
        </w:rPr>
        <w:t>a</w:t>
      </w:r>
      <w:r>
        <w:rPr>
          <w:spacing w:val="-16"/>
          <w:sz w:val="16"/>
        </w:rPr>
        <w:t> </w:t>
      </w:r>
      <w:r>
        <w:rPr>
          <w:sz w:val="16"/>
        </w:rPr>
        <w:t>Disclosure</w:t>
      </w:r>
      <w:r>
        <w:rPr>
          <w:spacing w:val="-16"/>
          <w:sz w:val="16"/>
        </w:rPr>
        <w:t> </w:t>
      </w:r>
      <w:r>
        <w:rPr>
          <w:sz w:val="16"/>
        </w:rPr>
        <w:t>Coordinator</w:t>
      </w:r>
    </w:p>
    <w:p>
      <w:pPr>
        <w:pStyle w:val="BodyText"/>
        <w:spacing w:line="249" w:lineRule="auto" w:before="3"/>
        <w:ind w:left="107" w:right="165"/>
      </w:pPr>
      <w:r>
        <w:rPr/>
        <w:t>who receives disclosures on behalf of the University, and designated Disclosure Officers who assist and advise applicants and staff generally about the process. Information on the process of making protected disclosures is also available on the University’s website.</w:t>
      </w:r>
    </w:p>
    <w:p>
      <w:pPr>
        <w:spacing w:after="0" w:line="249" w:lineRule="auto"/>
        <w:sectPr>
          <w:type w:val="continuous"/>
          <w:pgSz w:w="11910" w:h="16840"/>
          <w:pgMar w:top="1580" w:bottom="280" w:left="800" w:right="680"/>
          <w:cols w:num="3" w:equalWidth="0">
            <w:col w:w="3239" w:space="201"/>
            <w:col w:w="3318" w:space="122"/>
            <w:col w:w="3550"/>
          </w:cols>
        </w:sectPr>
      </w:pPr>
    </w:p>
    <w:p>
      <w:pPr>
        <w:pStyle w:val="BodyText"/>
        <w:spacing w:before="9"/>
        <w:rPr>
          <w:sz w:val="28"/>
        </w:rPr>
      </w:pPr>
    </w:p>
    <w:p>
      <w:pPr>
        <w:pStyle w:val="Heading2"/>
        <w:ind w:right="6763"/>
        <w:rPr>
          <w:b w:val="0"/>
        </w:rPr>
      </w:pPr>
      <w:bookmarkStart w:name="_TOC_250048" w:id="6"/>
      <w:bookmarkEnd w:id="6"/>
      <w:r>
        <w:rPr>
          <w:b w:val="0"/>
        </w:rPr>
        <w:t>Quality and Consumer Response</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15"/>
        </w:rPr>
      </w:pPr>
    </w:p>
    <w:p>
      <w:pPr>
        <w:spacing w:after="0"/>
        <w:rPr>
          <w:rFonts w:ascii="Chronicle Text G1"/>
          <w:sz w:val="15"/>
        </w:rPr>
        <w:sectPr>
          <w:footerReference w:type="even" r:id="rId33"/>
          <w:footerReference w:type="default" r:id="rId34"/>
          <w:pgSz w:w="11910" w:h="16840"/>
          <w:pgMar w:footer="472" w:header="496" w:top="680" w:bottom="660" w:left="800" w:right="800"/>
        </w:sectPr>
      </w:pPr>
    </w:p>
    <w:p>
      <w:pPr>
        <w:pStyle w:val="Heading5"/>
        <w:spacing w:line="260" w:lineRule="exact" w:before="88"/>
      </w:pPr>
      <w:r>
        <w:rPr>
          <w:w w:val="95"/>
        </w:rPr>
        <w:t>DEPUTY </w:t>
      </w:r>
      <w:r>
        <w:rPr>
          <w:spacing w:val="-3"/>
          <w:w w:val="95"/>
        </w:rPr>
        <w:t>VICE-CHANCELLOR </w:t>
      </w:r>
      <w:r>
        <w:rPr/>
        <w:t>AND VICE-PRESIDENT </w:t>
      </w:r>
      <w:r>
        <w:rPr>
          <w:spacing w:val="-3"/>
          <w:w w:val="95"/>
        </w:rPr>
        <w:t>(ACADEMIC) PORTFOLIO</w:t>
      </w:r>
    </w:p>
    <w:p>
      <w:pPr>
        <w:pStyle w:val="BodyText"/>
        <w:spacing w:line="249" w:lineRule="auto" w:before="101"/>
        <w:ind w:left="107"/>
      </w:pPr>
      <w:r>
        <w:rPr/>
        <w:t>The Deputy Vice-Chancellor and Vice- President (Academic) (DVCA) provides senior leadership of the University’s academic portfolio. Responsibilities</w:t>
      </w:r>
    </w:p>
    <w:p>
      <w:pPr>
        <w:pStyle w:val="BodyText"/>
        <w:spacing w:line="192" w:lineRule="exact"/>
        <w:ind w:left="107"/>
      </w:pPr>
      <w:r>
        <w:rPr/>
        <w:t>of the position include:</w:t>
      </w:r>
    </w:p>
    <w:p>
      <w:pPr>
        <w:pStyle w:val="BodyText"/>
        <w:spacing w:line="244" w:lineRule="auto" w:before="62"/>
        <w:ind w:left="305" w:right="454" w:hanging="199"/>
      </w:pPr>
      <w:r>
        <w:rPr>
          <w:rFonts w:ascii="Century Gothic" w:hAnsi="Century Gothic"/>
          <w:b/>
          <w:w w:val="115"/>
        </w:rPr>
        <w:t>≥</w:t>
      </w:r>
      <w:r>
        <w:rPr>
          <w:rFonts w:ascii="Century Gothic" w:hAnsi="Century Gothic"/>
          <w:b/>
          <w:spacing w:val="-14"/>
          <w:w w:val="115"/>
        </w:rPr>
        <w:t> </w:t>
      </w:r>
      <w:r>
        <w:rPr>
          <w:w w:val="105"/>
        </w:rPr>
        <w:t>maintaining</w:t>
      </w:r>
      <w:r>
        <w:rPr>
          <w:spacing w:val="-32"/>
          <w:w w:val="105"/>
        </w:rPr>
        <w:t> </w:t>
      </w:r>
      <w:r>
        <w:rPr>
          <w:w w:val="105"/>
        </w:rPr>
        <w:t>academic</w:t>
      </w:r>
      <w:r>
        <w:rPr>
          <w:spacing w:val="-32"/>
          <w:w w:val="105"/>
        </w:rPr>
        <w:t> </w:t>
      </w:r>
      <w:r>
        <w:rPr>
          <w:w w:val="105"/>
        </w:rPr>
        <w:t>quality</w:t>
      </w:r>
      <w:r>
        <w:rPr>
          <w:spacing w:val="-32"/>
          <w:w w:val="105"/>
        </w:rPr>
        <w:t> </w:t>
      </w:r>
      <w:r>
        <w:rPr>
          <w:w w:val="105"/>
        </w:rPr>
        <w:t>and standards</w:t>
      </w:r>
    </w:p>
    <w:p>
      <w:pPr>
        <w:pStyle w:val="BodyText"/>
        <w:spacing w:before="58"/>
        <w:ind w:left="107"/>
      </w:pPr>
      <w:r>
        <w:rPr>
          <w:rFonts w:ascii="Century Gothic" w:hAnsi="Century Gothic"/>
          <w:b/>
          <w:w w:val="105"/>
        </w:rPr>
        <w:t>≥ </w:t>
      </w:r>
      <w:r>
        <w:rPr>
          <w:w w:val="105"/>
        </w:rPr>
        <w:t>supporting academic development</w:t>
      </w:r>
    </w:p>
    <w:p>
      <w:pPr>
        <w:pStyle w:val="BodyText"/>
        <w:spacing w:before="71"/>
        <w:ind w:left="107" w:right="-7"/>
      </w:pPr>
      <w:r>
        <w:rPr/>
        <w:br w:type="column"/>
      </w:r>
      <w:r>
        <w:rPr>
          <w:rFonts w:ascii="Century Gothic" w:hAnsi="Century Gothic"/>
          <w:b/>
          <w:w w:val="105"/>
        </w:rPr>
        <w:t>≥ </w:t>
      </w:r>
      <w:r>
        <w:rPr>
          <w:w w:val="105"/>
        </w:rPr>
        <w:t>supporting student learning</w:t>
      </w:r>
    </w:p>
    <w:p>
      <w:pPr>
        <w:pStyle w:val="BodyText"/>
        <w:spacing w:before="60"/>
        <w:ind w:left="107" w:right="-7"/>
      </w:pPr>
      <w:r>
        <w:rPr>
          <w:rFonts w:ascii="Century Gothic" w:hAnsi="Century Gothic"/>
          <w:b/>
          <w:w w:val="115"/>
        </w:rPr>
        <w:t>≥</w:t>
      </w:r>
      <w:r>
        <w:rPr>
          <w:rFonts w:ascii="Century Gothic" w:hAnsi="Century Gothic"/>
          <w:b/>
          <w:spacing w:val="-28"/>
          <w:w w:val="115"/>
        </w:rPr>
        <w:t> </w:t>
      </w:r>
      <w:r>
        <w:rPr>
          <w:w w:val="105"/>
        </w:rPr>
        <w:t>developing</w:t>
      </w:r>
      <w:r>
        <w:rPr>
          <w:spacing w:val="-40"/>
          <w:w w:val="105"/>
        </w:rPr>
        <w:t> </w:t>
      </w:r>
      <w:r>
        <w:rPr>
          <w:w w:val="105"/>
        </w:rPr>
        <w:t>student</w:t>
      </w:r>
      <w:r>
        <w:rPr>
          <w:spacing w:val="-40"/>
          <w:w w:val="105"/>
        </w:rPr>
        <w:t> </w:t>
      </w:r>
      <w:r>
        <w:rPr>
          <w:w w:val="105"/>
        </w:rPr>
        <w:t>retention</w:t>
      </w:r>
      <w:r>
        <w:rPr>
          <w:spacing w:val="-40"/>
          <w:w w:val="105"/>
        </w:rPr>
        <w:t> </w:t>
      </w:r>
      <w:r>
        <w:rPr>
          <w:w w:val="105"/>
        </w:rPr>
        <w:t>strategies</w:t>
      </w:r>
    </w:p>
    <w:p>
      <w:pPr>
        <w:pStyle w:val="BodyText"/>
        <w:spacing w:line="244" w:lineRule="auto" w:before="60"/>
        <w:ind w:left="305" w:right="473" w:hanging="199"/>
      </w:pPr>
      <w:r>
        <w:rPr>
          <w:rFonts w:ascii="Century Gothic" w:hAnsi="Century Gothic"/>
          <w:b/>
          <w:w w:val="115"/>
        </w:rPr>
        <w:t>≥</w:t>
      </w:r>
      <w:r>
        <w:rPr>
          <w:rFonts w:ascii="Century Gothic" w:hAnsi="Century Gothic"/>
          <w:b/>
          <w:spacing w:val="-12"/>
          <w:w w:val="115"/>
        </w:rPr>
        <w:t> </w:t>
      </w:r>
      <w:r>
        <w:rPr>
          <w:w w:val="105"/>
        </w:rPr>
        <w:t>overseeing</w:t>
      </w:r>
      <w:r>
        <w:rPr>
          <w:spacing w:val="-31"/>
          <w:w w:val="105"/>
        </w:rPr>
        <w:t> </w:t>
      </w:r>
      <w:r>
        <w:rPr>
          <w:w w:val="105"/>
        </w:rPr>
        <w:t>academic</w:t>
      </w:r>
      <w:r>
        <w:rPr>
          <w:spacing w:val="-31"/>
          <w:w w:val="105"/>
        </w:rPr>
        <w:t> </w:t>
      </w:r>
      <w:r>
        <w:rPr>
          <w:w w:val="105"/>
        </w:rPr>
        <w:t>policies</w:t>
      </w:r>
      <w:r>
        <w:rPr>
          <w:spacing w:val="-31"/>
          <w:w w:val="105"/>
        </w:rPr>
        <w:t> </w:t>
      </w:r>
      <w:r>
        <w:rPr>
          <w:w w:val="105"/>
        </w:rPr>
        <w:t>and programs</w:t>
      </w:r>
    </w:p>
    <w:p>
      <w:pPr>
        <w:pStyle w:val="BodyText"/>
        <w:spacing w:line="244" w:lineRule="auto" w:before="58"/>
        <w:ind w:left="305" w:right="521" w:hanging="199"/>
      </w:pPr>
      <w:r>
        <w:rPr>
          <w:rFonts w:ascii="Century Gothic" w:hAnsi="Century Gothic"/>
          <w:b/>
          <w:w w:val="115"/>
        </w:rPr>
        <w:t>≥</w:t>
      </w:r>
      <w:r>
        <w:rPr>
          <w:rFonts w:ascii="Century Gothic" w:hAnsi="Century Gothic"/>
          <w:b/>
          <w:spacing w:val="-10"/>
          <w:w w:val="115"/>
        </w:rPr>
        <w:t> </w:t>
      </w:r>
      <w:r>
        <w:rPr>
          <w:w w:val="105"/>
        </w:rPr>
        <w:t>developing</w:t>
      </w:r>
      <w:r>
        <w:rPr>
          <w:spacing w:val="-31"/>
          <w:w w:val="105"/>
        </w:rPr>
        <w:t> </w:t>
      </w:r>
      <w:r>
        <w:rPr>
          <w:w w:val="105"/>
        </w:rPr>
        <w:t>blended</w:t>
      </w:r>
      <w:r>
        <w:rPr>
          <w:spacing w:val="-31"/>
          <w:w w:val="105"/>
        </w:rPr>
        <w:t> </w:t>
      </w:r>
      <w:r>
        <w:rPr>
          <w:w w:val="105"/>
        </w:rPr>
        <w:t>learning</w:t>
      </w:r>
      <w:r>
        <w:rPr>
          <w:spacing w:val="-31"/>
          <w:w w:val="105"/>
        </w:rPr>
        <w:t> </w:t>
      </w:r>
      <w:r>
        <w:rPr>
          <w:w w:val="105"/>
        </w:rPr>
        <w:t>and curriculum.</w:t>
      </w:r>
    </w:p>
    <w:p>
      <w:pPr>
        <w:pStyle w:val="BodyText"/>
        <w:spacing w:before="4"/>
        <w:rPr>
          <w:sz w:val="14"/>
        </w:rPr>
      </w:pPr>
    </w:p>
    <w:p>
      <w:pPr>
        <w:pStyle w:val="BodyText"/>
        <w:ind w:left="107" w:right="-7"/>
      </w:pPr>
      <w:r>
        <w:rPr/>
        <w:t>The portfolio includes:</w:t>
      </w:r>
    </w:p>
    <w:p>
      <w:pPr>
        <w:pStyle w:val="BodyText"/>
        <w:spacing w:line="244" w:lineRule="auto" w:before="62"/>
        <w:ind w:left="305" w:right="-7" w:hanging="199"/>
      </w:pPr>
      <w:r>
        <w:rPr>
          <w:rFonts w:ascii="Century Gothic" w:hAnsi="Century Gothic"/>
          <w:b/>
          <w:w w:val="115"/>
        </w:rPr>
        <w:t>≥</w:t>
      </w:r>
      <w:r>
        <w:rPr>
          <w:rFonts w:ascii="Century Gothic" w:hAnsi="Century Gothic"/>
          <w:b/>
          <w:spacing w:val="-4"/>
          <w:w w:val="115"/>
        </w:rPr>
        <w:t> </w:t>
      </w:r>
      <w:r>
        <w:rPr>
          <w:w w:val="105"/>
        </w:rPr>
        <w:t>the</w:t>
      </w:r>
      <w:r>
        <w:rPr>
          <w:spacing w:val="-27"/>
          <w:w w:val="105"/>
        </w:rPr>
        <w:t> </w:t>
      </w:r>
      <w:r>
        <w:rPr>
          <w:w w:val="105"/>
        </w:rPr>
        <w:t>Office</w:t>
      </w:r>
      <w:r>
        <w:rPr>
          <w:spacing w:val="-27"/>
          <w:w w:val="105"/>
        </w:rPr>
        <w:t> </w:t>
      </w:r>
      <w:r>
        <w:rPr>
          <w:w w:val="105"/>
        </w:rPr>
        <w:t>of</w:t>
      </w:r>
      <w:r>
        <w:rPr>
          <w:spacing w:val="-27"/>
          <w:w w:val="105"/>
        </w:rPr>
        <w:t> </w:t>
      </w:r>
      <w:r>
        <w:rPr>
          <w:w w:val="105"/>
        </w:rPr>
        <w:t>the</w:t>
      </w:r>
      <w:r>
        <w:rPr>
          <w:spacing w:val="-27"/>
          <w:w w:val="105"/>
        </w:rPr>
        <w:t> </w:t>
      </w:r>
      <w:r>
        <w:rPr>
          <w:w w:val="105"/>
        </w:rPr>
        <w:t>Deputy</w:t>
      </w:r>
      <w:r>
        <w:rPr>
          <w:spacing w:val="-27"/>
          <w:w w:val="105"/>
        </w:rPr>
        <w:t> </w:t>
      </w:r>
      <w:r>
        <w:rPr>
          <w:w w:val="105"/>
        </w:rPr>
        <w:t>Vice-Chancellor (Academic)</w:t>
      </w:r>
    </w:p>
    <w:p>
      <w:pPr>
        <w:pStyle w:val="BodyText"/>
        <w:spacing w:line="244" w:lineRule="auto" w:before="58"/>
        <w:ind w:left="305" w:right="90" w:hanging="199"/>
      </w:pPr>
      <w:r>
        <w:rPr>
          <w:rFonts w:ascii="Century Gothic" w:hAnsi="Century Gothic"/>
          <w:b/>
          <w:w w:val="115"/>
        </w:rPr>
        <w:t>≥ </w:t>
      </w:r>
      <w:r>
        <w:rPr/>
        <w:t>Learning Futures, consisting of Digital Futures and Learning Transformations</w:t>
      </w:r>
    </w:p>
    <w:p>
      <w:pPr>
        <w:pStyle w:val="BodyText"/>
        <w:spacing w:before="71"/>
        <w:ind w:left="107"/>
      </w:pPr>
      <w:r>
        <w:rPr/>
        <w:br w:type="column"/>
      </w:r>
      <w:r>
        <w:rPr>
          <w:rFonts w:ascii="Century Gothic" w:hAnsi="Century Gothic"/>
          <w:b/>
          <w:w w:val="105"/>
        </w:rPr>
        <w:t>≥ </w:t>
      </w:r>
      <w:r>
        <w:rPr>
          <w:w w:val="105"/>
        </w:rPr>
        <w:t>International</w:t>
      </w:r>
    </w:p>
    <w:p>
      <w:pPr>
        <w:pStyle w:val="BodyText"/>
        <w:spacing w:line="244" w:lineRule="auto" w:before="60"/>
        <w:ind w:left="305" w:right="401" w:hanging="199"/>
      </w:pPr>
      <w:r>
        <w:rPr>
          <w:rFonts w:ascii="Century Gothic" w:hAnsi="Century Gothic"/>
          <w:b/>
          <w:w w:val="115"/>
        </w:rPr>
        <w:t>≥</w:t>
      </w:r>
      <w:r>
        <w:rPr>
          <w:rFonts w:ascii="Century Gothic" w:hAnsi="Century Gothic"/>
          <w:b/>
          <w:spacing w:val="-14"/>
          <w:w w:val="115"/>
        </w:rPr>
        <w:t> </w:t>
      </w:r>
      <w:r>
        <w:rPr>
          <w:w w:val="105"/>
        </w:rPr>
        <w:t>Engagement</w:t>
      </w:r>
      <w:r>
        <w:rPr>
          <w:spacing w:val="-33"/>
          <w:w w:val="105"/>
        </w:rPr>
        <w:t> </w:t>
      </w:r>
      <w:r>
        <w:rPr>
          <w:w w:val="105"/>
        </w:rPr>
        <w:t>and</w:t>
      </w:r>
      <w:r>
        <w:rPr>
          <w:spacing w:val="-33"/>
          <w:w w:val="105"/>
        </w:rPr>
        <w:t> </w:t>
      </w:r>
      <w:r>
        <w:rPr>
          <w:w w:val="105"/>
        </w:rPr>
        <w:t>Aboriginal</w:t>
      </w:r>
      <w:r>
        <w:rPr>
          <w:spacing w:val="-33"/>
          <w:w w:val="105"/>
        </w:rPr>
        <w:t> </w:t>
      </w:r>
      <w:r>
        <w:rPr>
          <w:w w:val="105"/>
        </w:rPr>
        <w:t>and</w:t>
      </w:r>
      <w:r>
        <w:rPr>
          <w:spacing w:val="-33"/>
          <w:w w:val="105"/>
        </w:rPr>
        <w:t> </w:t>
      </w:r>
      <w:r>
        <w:rPr>
          <w:w w:val="105"/>
        </w:rPr>
        <w:t>Torres </w:t>
      </w:r>
      <w:r>
        <w:rPr/>
        <w:t>Strait</w:t>
      </w:r>
      <w:r>
        <w:rPr>
          <w:spacing w:val="-34"/>
        </w:rPr>
        <w:t> </w:t>
      </w:r>
      <w:r>
        <w:rPr/>
        <w:t>Islander</w:t>
      </w:r>
      <w:r>
        <w:rPr>
          <w:spacing w:val="-34"/>
        </w:rPr>
        <w:t> </w:t>
      </w:r>
      <w:r>
        <w:rPr/>
        <w:t>(ATSI)</w:t>
      </w:r>
      <w:r>
        <w:rPr>
          <w:spacing w:val="-34"/>
        </w:rPr>
        <w:t> </w:t>
      </w:r>
      <w:r>
        <w:rPr/>
        <w:t>Leadership</w:t>
      </w:r>
    </w:p>
    <w:p>
      <w:pPr>
        <w:pStyle w:val="BodyText"/>
        <w:spacing w:before="58"/>
        <w:ind w:left="107"/>
      </w:pPr>
      <w:r>
        <w:rPr>
          <w:rFonts w:ascii="Century Gothic" w:hAnsi="Century Gothic"/>
          <w:b/>
          <w:w w:val="115"/>
        </w:rPr>
        <w:t>≥ </w:t>
      </w:r>
      <w:r>
        <w:rPr>
          <w:w w:val="105"/>
        </w:rPr>
        <w:t>the Library and Academic Support</w:t>
      </w:r>
    </w:p>
    <w:p>
      <w:pPr>
        <w:pStyle w:val="BodyText"/>
        <w:spacing w:before="60"/>
        <w:ind w:left="107"/>
      </w:pPr>
      <w:r>
        <w:rPr>
          <w:rFonts w:ascii="Century Gothic" w:hAnsi="Century Gothic"/>
          <w:b/>
          <w:w w:val="115"/>
        </w:rPr>
        <w:t>≥ </w:t>
      </w:r>
      <w:r>
        <w:rPr>
          <w:w w:val="105"/>
        </w:rPr>
        <w:t>the Office of Quality and Performance</w:t>
      </w:r>
    </w:p>
    <w:p>
      <w:pPr>
        <w:pStyle w:val="BodyText"/>
        <w:spacing w:before="60"/>
        <w:ind w:left="107"/>
      </w:pPr>
      <w:r>
        <w:rPr>
          <w:rFonts w:ascii="Century Gothic" w:hAnsi="Century Gothic"/>
          <w:b/>
          <w:w w:val="115"/>
        </w:rPr>
        <w:t>≥ </w:t>
      </w:r>
      <w:r>
        <w:rPr>
          <w:w w:val="110"/>
        </w:rPr>
        <w:t>The Academy</w:t>
      </w:r>
    </w:p>
    <w:p>
      <w:pPr>
        <w:pStyle w:val="BodyText"/>
        <w:spacing w:before="60"/>
        <w:ind w:left="107"/>
      </w:pPr>
      <w:r>
        <w:rPr>
          <w:rFonts w:ascii="Century Gothic" w:hAnsi="Century Gothic"/>
          <w:b/>
          <w:w w:val="115"/>
        </w:rPr>
        <w:t>≥ </w:t>
      </w:r>
      <w:r>
        <w:rPr>
          <w:w w:val="105"/>
        </w:rPr>
        <w:t>Western Sydney University The College</w:t>
      </w:r>
    </w:p>
    <w:p>
      <w:pPr>
        <w:pStyle w:val="BodyText"/>
        <w:spacing w:line="244" w:lineRule="auto" w:before="60"/>
        <w:ind w:left="305" w:right="330" w:hanging="199"/>
      </w:pPr>
      <w:r>
        <w:rPr>
          <w:rFonts w:ascii="Century Gothic" w:hAnsi="Century Gothic"/>
          <w:b/>
        </w:rPr>
        <w:t>≥ </w:t>
      </w:r>
      <w:r>
        <w:rPr/>
        <w:t>Western Sydney University International </w:t>
      </w:r>
      <w:r>
        <w:rPr>
          <w:w w:val="105"/>
        </w:rPr>
        <w:t>College</w:t>
      </w:r>
    </w:p>
    <w:p>
      <w:pPr>
        <w:pStyle w:val="BodyText"/>
        <w:spacing w:before="58"/>
        <w:ind w:left="107"/>
      </w:pPr>
      <w:r>
        <w:rPr>
          <w:rFonts w:ascii="Century Gothic" w:hAnsi="Century Gothic"/>
          <w:b/>
          <w:w w:val="115"/>
        </w:rPr>
        <w:t>≥ </w:t>
      </w:r>
      <w:r>
        <w:rPr>
          <w:w w:val="105"/>
        </w:rPr>
        <w:t>the Whitlam Institute.</w:t>
      </w:r>
    </w:p>
    <w:p>
      <w:pPr>
        <w:spacing w:after="0"/>
        <w:sectPr>
          <w:type w:val="continuous"/>
          <w:pgSz w:w="11910" w:h="16840"/>
          <w:pgMar w:top="1580" w:bottom="280" w:left="800" w:right="800"/>
          <w:cols w:num="3" w:equalWidth="0">
            <w:col w:w="3101" w:space="338"/>
            <w:col w:w="3112" w:space="327"/>
            <w:col w:w="3432"/>
          </w:cols>
        </w:sectPr>
      </w:pPr>
    </w:p>
    <w:p>
      <w:pPr>
        <w:pStyle w:val="BodyText"/>
        <w:rPr>
          <w:sz w:val="20"/>
        </w:rPr>
      </w:pPr>
    </w:p>
    <w:p>
      <w:pPr>
        <w:pStyle w:val="BodyText"/>
        <w:spacing w:before="3"/>
        <w:rPr>
          <w:sz w:val="20"/>
        </w:rPr>
      </w:pPr>
    </w:p>
    <w:p>
      <w:pPr>
        <w:pStyle w:val="BodyText"/>
        <w:ind w:left="1207"/>
        <w:rPr>
          <w:sz w:val="20"/>
        </w:rPr>
      </w:pPr>
      <w:r>
        <w:rPr>
          <w:sz w:val="20"/>
        </w:rPr>
        <w:pict>
          <v:group style="width:394.55pt;height:388.35pt;mso-position-horizontal-relative:char;mso-position-vertical-relative:line" coordorigin="0,0" coordsize="7891,7767">
            <v:line style="position:absolute" from="7528,3834" to="7528,4108" stroked="true" strokeweight="3.802pt" strokecolor="#dededd"/>
            <v:rect style="position:absolute;left:4097;top:3834;width:3243;height:274" filled="true" fillcolor="#dededd" stroked="false">
              <v:fill type="solid"/>
            </v:rect>
            <v:line style="position:absolute" from="3983,3834" to="3983,4108" stroked="true" strokeweight="3.802pt" strokecolor="#dededd"/>
            <v:line style="position:absolute" from="6875,1843" to="6813,1887" stroked="true" strokeweight="13.687pt" strokecolor="#dededd"/>
            <v:line style="position:absolute" from="6691,1976" to="4068,3882" stroked="true" strokeweight="13.687pt" strokecolor="#dededd">
              <v:stroke dashstyle="longDash"/>
            </v:line>
            <v:line style="position:absolute" from="4007,3926" to="3945,3971" stroked="true" strokeweight="13.687pt" strokecolor="#dededd"/>
            <v:line style="position:absolute" from="5064,527" to="5041,599" stroked="true" strokeweight="13.687pt" strokecolor="#dededd"/>
            <v:line style="position:absolute" from="4994,743" to="3992,3827" stroked="true" strokeweight="13.687pt" strokecolor="#dededd">
              <v:stroke dashstyle="longDash"/>
            </v:line>
            <v:line style="position:absolute" from="3969,3899" to="3945,3971" stroked="true" strokeweight="13.687pt" strokecolor="#dededd"/>
            <v:line style="position:absolute" from="2826,527" to="2850,599" stroked="true" strokeweight="13.687pt" strokecolor="#dededd"/>
            <v:line style="position:absolute" from="2896,743" to="3898,3827" stroked="true" strokeweight="13.687pt" strokecolor="#dededd">
              <v:stroke dashstyle="longDash"/>
            </v:line>
            <v:line style="position:absolute" from="3922,3899" to="3945,3971" stroked="true" strokeweight="13.687pt" strokecolor="#dededd"/>
            <v:line style="position:absolute" from="1015,1843" to="1077,1887" stroked="true" strokeweight="13.687pt" strokecolor="#dededd"/>
            <v:line style="position:absolute" from="1199,1976" to="3823,3882" stroked="true" strokeweight="13.687pt" strokecolor="#dededd">
              <v:stroke dashstyle="longDash"/>
            </v:line>
            <v:line style="position:absolute" from="3884,3926" to="3945,3971" stroked="true" strokeweight="13.687pt" strokecolor="#dededd"/>
            <v:rect style="position:absolute;left:551;top:3834;width:3243;height:274" filled="true" fillcolor="#dededd" stroked="false">
              <v:fill type="solid"/>
            </v:rect>
            <v:line style="position:absolute" from="3907,3834" to="3907,4108" stroked="true" strokeweight="3.802pt" strokecolor="#dededd"/>
            <v:line style="position:absolute" from="1015,6100" to="1077,6055" stroked="true" strokeweight="13.687pt" strokecolor="#dededd"/>
            <v:line style="position:absolute" from="1199,5966" to="3823,4060" stroked="true" strokeweight="13.687pt" strokecolor="#dededd">
              <v:stroke dashstyle="longDash"/>
            </v:line>
            <v:line style="position:absolute" from="3884,4016" to="3945,3971" stroked="true" strokeweight="13.687pt" strokecolor="#dededd"/>
            <v:line style="position:absolute" from="2826,7415" to="2850,7343" stroked="true" strokeweight="13.687pt" strokecolor="#dededd"/>
            <v:line style="position:absolute" from="2896,7199" to="3898,4115" stroked="true" strokeweight="13.687pt" strokecolor="#dededd">
              <v:stroke dashstyle="longDash"/>
            </v:line>
            <v:line style="position:absolute" from="3922,4043" to="3945,3971" stroked="true" strokeweight="13.687pt" strokecolor="#dededd"/>
            <v:line style="position:absolute" from="5064,7415" to="5041,7343" stroked="true" strokeweight="13.687pt" strokecolor="#dededd"/>
            <v:line style="position:absolute" from="4994,7199" to="3992,4115" stroked="true" strokeweight="13.687pt" strokecolor="#dededd">
              <v:stroke dashstyle="longDash"/>
            </v:line>
            <v:line style="position:absolute" from="362,3834" to="362,4108" stroked="true" strokeweight="3.802pt" strokecolor="#dededd"/>
            <v:shape style="position:absolute;left:0;top:0;width:7890;height:7767" type="#_x0000_t75" stroked="false">
              <v:imagedata r:id="rId35" o:title=""/>
            </v:shape>
            <v:shape style="position:absolute;left:3473;top:100;width:945;height:502" type="#_x0000_t202" filled="false" stroked="false">
              <v:textbox inset="0,0,0,0">
                <w:txbxContent>
                  <w:p>
                    <w:pPr>
                      <w:spacing w:line="234" w:lineRule="exact" w:before="0"/>
                      <w:ind w:left="67" w:right="-11" w:hanging="68"/>
                      <w:jc w:val="left"/>
                      <w:rPr>
                        <w:rFonts w:ascii="Gotham Narrow Bold"/>
                        <w:b/>
                        <w:sz w:val="24"/>
                      </w:rPr>
                    </w:pPr>
                    <w:r>
                      <w:rPr>
                        <w:rFonts w:ascii="Gotham Narrow Bold"/>
                        <w:b/>
                        <w:color w:val="FFFFFF"/>
                        <w:w w:val="95"/>
                        <w:sz w:val="24"/>
                      </w:rPr>
                      <w:t>Learning</w:t>
                    </w:r>
                  </w:p>
                  <w:p>
                    <w:pPr>
                      <w:spacing w:line="268" w:lineRule="exact" w:before="0"/>
                      <w:ind w:left="67" w:right="-11" w:firstLine="0"/>
                      <w:jc w:val="left"/>
                      <w:rPr>
                        <w:rFonts w:ascii="Gotham Narrow Bold"/>
                        <w:b/>
                        <w:sz w:val="24"/>
                      </w:rPr>
                    </w:pPr>
                    <w:r>
                      <w:rPr>
                        <w:rFonts w:ascii="Gotham Narrow Bold"/>
                        <w:b/>
                        <w:color w:val="FFFFFF"/>
                        <w:sz w:val="24"/>
                      </w:rPr>
                      <w:t>Futures</w:t>
                    </w:r>
                  </w:p>
                </w:txbxContent>
              </v:textbox>
              <w10:wrap type="none"/>
            </v:shape>
            <v:shape style="position:absolute;left:2684;top:844;width:607;height:381" type="#_x0000_t202" filled="false" stroked="false">
              <v:textbox inset="0,0,0,0">
                <w:txbxContent>
                  <w:p>
                    <w:pPr>
                      <w:spacing w:line="177" w:lineRule="exact" w:before="0"/>
                      <w:ind w:left="0" w:right="-18" w:firstLine="35"/>
                      <w:jc w:val="left"/>
                      <w:rPr>
                        <w:rFonts w:ascii="Gotham Narrow Bold"/>
                        <w:b/>
                        <w:sz w:val="18"/>
                      </w:rPr>
                    </w:pPr>
                    <w:r>
                      <w:rPr>
                        <w:rFonts w:ascii="Gotham Narrow Bold"/>
                        <w:b/>
                        <w:color w:val="FFFFFF"/>
                        <w:w w:val="95"/>
                        <w:sz w:val="18"/>
                      </w:rPr>
                      <w:t>Digital</w:t>
                    </w:r>
                  </w:p>
                  <w:p>
                    <w:pPr>
                      <w:spacing w:line="203" w:lineRule="exact" w:before="0"/>
                      <w:ind w:left="0" w:right="-18" w:firstLine="0"/>
                      <w:jc w:val="left"/>
                      <w:rPr>
                        <w:rFonts w:ascii="Gotham Narrow Bold"/>
                        <w:b/>
                        <w:sz w:val="18"/>
                      </w:rPr>
                    </w:pPr>
                    <w:r>
                      <w:rPr>
                        <w:rFonts w:ascii="Gotham Narrow Bold"/>
                        <w:b/>
                        <w:color w:val="FFFFFF"/>
                        <w:w w:val="95"/>
                        <w:sz w:val="18"/>
                      </w:rPr>
                      <w:t>Futures</w:t>
                    </w:r>
                  </w:p>
                </w:txbxContent>
              </v:textbox>
              <w10:wrap type="none"/>
            </v:shape>
            <v:shape style="position:absolute;left:4240;top:844;width:1307;height:381" type="#_x0000_t202" filled="false" stroked="false">
              <v:textbox inset="0,0,0,0">
                <w:txbxContent>
                  <w:p>
                    <w:pPr>
                      <w:spacing w:line="177" w:lineRule="exact" w:before="0"/>
                      <w:ind w:left="263" w:right="264" w:firstLine="0"/>
                      <w:jc w:val="center"/>
                      <w:rPr>
                        <w:rFonts w:ascii="Gotham Narrow Bold"/>
                        <w:b/>
                        <w:sz w:val="18"/>
                      </w:rPr>
                    </w:pPr>
                    <w:r>
                      <w:rPr>
                        <w:rFonts w:ascii="Gotham Narrow Bold"/>
                        <w:b/>
                        <w:color w:val="FFFFFF"/>
                        <w:sz w:val="18"/>
                      </w:rPr>
                      <w:t>Learning</w:t>
                    </w:r>
                  </w:p>
                  <w:p>
                    <w:pPr>
                      <w:spacing w:line="203" w:lineRule="exact" w:before="0"/>
                      <w:ind w:left="-1" w:right="0" w:firstLine="0"/>
                      <w:jc w:val="center"/>
                      <w:rPr>
                        <w:rFonts w:ascii="Gotham Narrow Bold"/>
                        <w:b/>
                        <w:sz w:val="18"/>
                      </w:rPr>
                    </w:pPr>
                    <w:r>
                      <w:rPr>
                        <w:rFonts w:ascii="Gotham Narrow Bold"/>
                        <w:b/>
                        <w:color w:val="FFFFFF"/>
                        <w:spacing w:val="-2"/>
                        <w:w w:val="95"/>
                        <w:sz w:val="18"/>
                      </w:rPr>
                      <w:t>Transformations</w:t>
                    </w:r>
                  </w:p>
                </w:txbxContent>
              </v:textbox>
              <w10:wrap type="none"/>
            </v:shape>
            <v:shape style="position:absolute;left:766;top:1973;width:1376;height:502" type="#_x0000_t202" filled="false" stroked="false">
              <v:textbox inset="0,0,0,0">
                <w:txbxContent>
                  <w:p>
                    <w:pPr>
                      <w:spacing w:line="234" w:lineRule="exact" w:before="0"/>
                      <w:ind w:left="0" w:right="-7" w:firstLine="68"/>
                      <w:jc w:val="left"/>
                      <w:rPr>
                        <w:rFonts w:ascii="Gotham Narrow Bold"/>
                        <w:b/>
                        <w:sz w:val="24"/>
                      </w:rPr>
                    </w:pPr>
                    <w:r>
                      <w:rPr>
                        <w:rFonts w:ascii="Gotham Narrow Bold"/>
                        <w:b/>
                        <w:color w:val="FFFFFF"/>
                        <w:w w:val="95"/>
                        <w:sz w:val="24"/>
                      </w:rPr>
                      <w:t>Quality and</w:t>
                    </w:r>
                  </w:p>
                  <w:p>
                    <w:pPr>
                      <w:spacing w:line="268" w:lineRule="exact" w:before="0"/>
                      <w:ind w:left="0" w:right="-7" w:firstLine="0"/>
                      <w:jc w:val="left"/>
                      <w:rPr>
                        <w:rFonts w:ascii="Gotham Narrow Bold"/>
                        <w:b/>
                        <w:sz w:val="24"/>
                      </w:rPr>
                    </w:pPr>
                    <w:r>
                      <w:rPr>
                        <w:rFonts w:ascii="Gotham Narrow Bold"/>
                        <w:b/>
                        <w:color w:val="FFFFFF"/>
                        <w:w w:val="95"/>
                        <w:sz w:val="24"/>
                      </w:rPr>
                      <w:t>Performance</w:t>
                    </w:r>
                  </w:p>
                </w:txbxContent>
              </v:textbox>
              <w10:wrap type="none"/>
            </v:shape>
            <v:shape style="position:absolute;left:5827;top:1860;width:1220;height:761" type="#_x0000_t202" filled="false" stroked="false">
              <v:textbox inset="0,0,0,0">
                <w:txbxContent>
                  <w:p>
                    <w:pPr>
                      <w:spacing w:line="234" w:lineRule="exact" w:before="0"/>
                      <w:ind w:left="79" w:right="-15" w:hanging="80"/>
                      <w:jc w:val="left"/>
                      <w:rPr>
                        <w:rFonts w:ascii="Gotham Narrow Bold"/>
                        <w:b/>
                        <w:sz w:val="24"/>
                      </w:rPr>
                    </w:pPr>
                    <w:r>
                      <w:rPr>
                        <w:rFonts w:ascii="Gotham Narrow Bold"/>
                        <w:b/>
                        <w:color w:val="FFFFFF"/>
                        <w:w w:val="95"/>
                        <w:sz w:val="24"/>
                      </w:rPr>
                      <w:t>Library and</w:t>
                    </w:r>
                  </w:p>
                  <w:p>
                    <w:pPr>
                      <w:spacing w:line="258" w:lineRule="exact" w:before="9"/>
                      <w:ind w:left="174" w:right="74" w:hanging="96"/>
                      <w:jc w:val="left"/>
                      <w:rPr>
                        <w:rFonts w:ascii="Gotham Narrow Bold"/>
                        <w:b/>
                        <w:sz w:val="24"/>
                      </w:rPr>
                    </w:pPr>
                    <w:r>
                      <w:rPr>
                        <w:rFonts w:ascii="Gotham Narrow Bold"/>
                        <w:b/>
                        <w:color w:val="FFFFFF"/>
                        <w:w w:val="95"/>
                        <w:sz w:val="24"/>
                      </w:rPr>
                      <w:t>Academic </w:t>
                    </w:r>
                    <w:r>
                      <w:rPr>
                        <w:rFonts w:ascii="Gotham Narrow Bold"/>
                        <w:b/>
                        <w:color w:val="FFFFFF"/>
                        <w:sz w:val="24"/>
                      </w:rPr>
                      <w:t>Support</w:t>
                    </w:r>
                  </w:p>
                </w:txbxContent>
              </v:textbox>
              <w10:wrap type="none"/>
            </v:shape>
            <v:shape style="position:absolute;left:193;top:3650;width:1392;height:757" type="#_x0000_t202" filled="false" stroked="false">
              <v:textbox inset="0,0,0,0">
                <w:txbxContent>
                  <w:p>
                    <w:pPr>
                      <w:spacing w:line="196" w:lineRule="exact" w:before="0"/>
                      <w:ind w:left="0" w:right="0" w:firstLine="0"/>
                      <w:jc w:val="center"/>
                      <w:rPr>
                        <w:sz w:val="19"/>
                      </w:rPr>
                    </w:pPr>
                    <w:r>
                      <w:rPr>
                        <w:spacing w:val="-3"/>
                        <w:w w:val="105"/>
                        <w:sz w:val="19"/>
                      </w:rPr>
                      <w:t>Western Sydney</w:t>
                    </w:r>
                  </w:p>
                  <w:p>
                    <w:pPr>
                      <w:spacing w:line="229" w:lineRule="exact" w:before="0"/>
                      <w:ind w:left="0" w:right="0" w:firstLine="0"/>
                      <w:jc w:val="center"/>
                      <w:rPr>
                        <w:sz w:val="19"/>
                      </w:rPr>
                    </w:pPr>
                    <w:r>
                      <w:rPr>
                        <w:w w:val="105"/>
                        <w:sz w:val="19"/>
                      </w:rPr>
                      <w:t>University</w:t>
                    </w:r>
                  </w:p>
                  <w:p>
                    <w:pPr>
                      <w:spacing w:line="283" w:lineRule="exact" w:before="49"/>
                      <w:ind w:left="1" w:right="0" w:firstLine="0"/>
                      <w:jc w:val="center"/>
                      <w:rPr>
                        <w:rFonts w:ascii="Gotham Narrow Bold"/>
                        <w:b/>
                        <w:sz w:val="24"/>
                      </w:rPr>
                    </w:pPr>
                    <w:r>
                      <w:rPr>
                        <w:rFonts w:ascii="Gotham Narrow Bold"/>
                        <w:b/>
                        <w:w w:val="95"/>
                        <w:sz w:val="24"/>
                      </w:rPr>
                      <w:t>The College</w:t>
                    </w:r>
                  </w:p>
                </w:txbxContent>
              </v:textbox>
              <w10:wrap type="none"/>
            </v:shape>
            <v:shape style="position:absolute;left:2950;top:3282;width:1991;height:1399" type="#_x0000_t202" filled="false" stroked="false">
              <v:textbox inset="0,0,0,0">
                <w:txbxContent>
                  <w:p>
                    <w:pPr>
                      <w:spacing w:line="431" w:lineRule="exact" w:before="0"/>
                      <w:ind w:left="0" w:right="14" w:firstLine="0"/>
                      <w:jc w:val="center"/>
                      <w:rPr>
                        <w:rFonts w:ascii="Gotham Narrow Bold"/>
                        <w:b/>
                        <w:sz w:val="45"/>
                      </w:rPr>
                    </w:pPr>
                    <w:r>
                      <w:rPr>
                        <w:rFonts w:ascii="Gotham Narrow Bold"/>
                        <w:b/>
                        <w:sz w:val="45"/>
                      </w:rPr>
                      <w:t>DVC</w:t>
                    </w:r>
                  </w:p>
                  <w:p>
                    <w:pPr>
                      <w:spacing w:line="472" w:lineRule="exact" w:before="20"/>
                      <w:ind w:left="0" w:right="0" w:firstLine="0"/>
                      <w:jc w:val="center"/>
                      <w:rPr>
                        <w:rFonts w:ascii="Gotham Narrow Bold"/>
                        <w:b/>
                        <w:sz w:val="45"/>
                      </w:rPr>
                    </w:pPr>
                    <w:r>
                      <w:rPr>
                        <w:rFonts w:ascii="Gotham Narrow Bold"/>
                        <w:b/>
                        <w:w w:val="95"/>
                        <w:sz w:val="45"/>
                      </w:rPr>
                      <w:t>Academic Portfolio</w:t>
                    </w:r>
                  </w:p>
                </w:txbxContent>
              </v:textbox>
              <w10:wrap type="none"/>
            </v:shape>
            <v:shape style="position:absolute;left:6344;top:3616;width:1367;height:761" type="#_x0000_t202" filled="false" stroked="false">
              <v:textbox inset="0,0,0,0">
                <w:txbxContent>
                  <w:p>
                    <w:pPr>
                      <w:spacing w:line="234" w:lineRule="exact" w:before="0"/>
                      <w:ind w:left="0" w:right="0" w:firstLine="0"/>
                      <w:jc w:val="center"/>
                      <w:rPr>
                        <w:rFonts w:ascii="Gotham Narrow Bold"/>
                        <w:b/>
                        <w:sz w:val="24"/>
                      </w:rPr>
                    </w:pPr>
                    <w:r>
                      <w:rPr>
                        <w:rFonts w:ascii="Gotham Narrow Bold"/>
                        <w:b/>
                        <w:color w:val="FFFFFF"/>
                        <w:w w:val="95"/>
                        <w:sz w:val="24"/>
                      </w:rPr>
                      <w:t>Engagement</w:t>
                    </w:r>
                  </w:p>
                  <w:p>
                    <w:pPr>
                      <w:spacing w:line="258" w:lineRule="exact" w:before="9"/>
                      <w:ind w:left="88" w:right="86" w:hanging="1"/>
                      <w:jc w:val="center"/>
                      <w:rPr>
                        <w:rFonts w:ascii="Gotham Narrow Bold"/>
                        <w:b/>
                        <w:sz w:val="24"/>
                      </w:rPr>
                    </w:pPr>
                    <w:r>
                      <w:rPr>
                        <w:rFonts w:ascii="Gotham Narrow Bold"/>
                        <w:b/>
                        <w:color w:val="FFFFFF"/>
                        <w:sz w:val="24"/>
                      </w:rPr>
                      <w:t>and ATSI </w:t>
                    </w:r>
                    <w:r>
                      <w:rPr>
                        <w:rFonts w:ascii="Gotham Narrow Bold"/>
                        <w:b/>
                        <w:color w:val="FFFFFF"/>
                        <w:w w:val="95"/>
                        <w:sz w:val="24"/>
                      </w:rPr>
                      <w:t>Leadership</w:t>
                    </w:r>
                  </w:p>
                </w:txbxContent>
              </v:textbox>
              <w10:wrap type="none"/>
            </v:shape>
            <v:shape style="position:absolute;left:912;top:5540;width:1004;height:502" type="#_x0000_t202" filled="false" stroked="false">
              <v:textbox inset="0,0,0,0">
                <w:txbxContent>
                  <w:p>
                    <w:pPr>
                      <w:spacing w:line="234" w:lineRule="exact" w:before="0"/>
                      <w:ind w:left="275" w:right="276" w:firstLine="0"/>
                      <w:jc w:val="center"/>
                      <w:rPr>
                        <w:rFonts w:ascii="Gotham Narrow Bold"/>
                        <w:b/>
                        <w:sz w:val="24"/>
                      </w:rPr>
                    </w:pPr>
                    <w:r>
                      <w:rPr>
                        <w:rFonts w:ascii="Gotham Narrow Bold"/>
                        <w:b/>
                        <w:color w:val="FFFFFF"/>
                        <w:sz w:val="24"/>
                      </w:rPr>
                      <w:t>The</w:t>
                    </w:r>
                  </w:p>
                  <w:p>
                    <w:pPr>
                      <w:spacing w:line="268" w:lineRule="exact" w:before="0"/>
                      <w:ind w:left="-1" w:right="0" w:firstLine="0"/>
                      <w:jc w:val="center"/>
                      <w:rPr>
                        <w:rFonts w:ascii="Gotham Narrow Bold"/>
                        <w:b/>
                        <w:sz w:val="24"/>
                      </w:rPr>
                    </w:pPr>
                    <w:r>
                      <w:rPr>
                        <w:rFonts w:ascii="Gotham Narrow Bold"/>
                        <w:b/>
                        <w:color w:val="FFFFFF"/>
                        <w:spacing w:val="-1"/>
                        <w:w w:val="95"/>
                        <w:sz w:val="24"/>
                      </w:rPr>
                      <w:t>Academy</w:t>
                    </w:r>
                  </w:p>
                </w:txbxContent>
              </v:textbox>
              <w10:wrap type="none"/>
            </v:shape>
            <v:shape style="position:absolute;left:5744;top:5669;width:1385;height:244" type="#_x0000_t202" filled="false" stroked="false">
              <v:textbox inset="0,0,0,0">
                <w:txbxContent>
                  <w:p>
                    <w:pPr>
                      <w:spacing w:line="243" w:lineRule="exact" w:before="0"/>
                      <w:ind w:left="0" w:right="-18" w:firstLine="0"/>
                      <w:jc w:val="left"/>
                      <w:rPr>
                        <w:rFonts w:ascii="Gotham Narrow Bold"/>
                        <w:b/>
                        <w:sz w:val="24"/>
                      </w:rPr>
                    </w:pPr>
                    <w:r>
                      <w:rPr>
                        <w:rFonts w:ascii="Gotham Narrow Bold"/>
                        <w:b/>
                        <w:color w:val="FFFFFF"/>
                        <w:w w:val="95"/>
                        <w:sz w:val="24"/>
                      </w:rPr>
                      <w:t>International</w:t>
                    </w:r>
                  </w:p>
                </w:txbxContent>
              </v:textbox>
              <w10:wrap type="none"/>
            </v:shape>
            <v:shape style="position:absolute;left:2540;top:6680;width:914;height:502" type="#_x0000_t202" filled="false" stroked="false">
              <v:textbox inset="0,0,0,0">
                <w:txbxContent>
                  <w:p>
                    <w:pPr>
                      <w:spacing w:line="234" w:lineRule="exact" w:before="0"/>
                      <w:ind w:left="7" w:right="-6" w:hanging="8"/>
                      <w:jc w:val="left"/>
                      <w:rPr>
                        <w:rFonts w:ascii="Gotham Narrow Bold"/>
                        <w:b/>
                        <w:sz w:val="24"/>
                      </w:rPr>
                    </w:pPr>
                    <w:r>
                      <w:rPr>
                        <w:rFonts w:ascii="Gotham Narrow Bold"/>
                        <w:b/>
                        <w:w w:val="95"/>
                        <w:sz w:val="24"/>
                      </w:rPr>
                      <w:t>Whitlam</w:t>
                    </w:r>
                  </w:p>
                  <w:p>
                    <w:pPr>
                      <w:spacing w:line="268" w:lineRule="exact" w:before="0"/>
                      <w:ind w:left="7" w:right="-16" w:firstLine="0"/>
                      <w:jc w:val="left"/>
                      <w:rPr>
                        <w:rFonts w:ascii="Gotham Narrow Bold"/>
                        <w:b/>
                        <w:sz w:val="24"/>
                      </w:rPr>
                    </w:pPr>
                    <w:r>
                      <w:rPr>
                        <w:rFonts w:ascii="Gotham Narrow Bold"/>
                        <w:b/>
                        <w:w w:val="95"/>
                        <w:sz w:val="24"/>
                      </w:rPr>
                      <w:t>Institute</w:t>
                    </w:r>
                  </w:p>
                </w:txbxContent>
              </v:textbox>
              <w10:wrap type="none"/>
            </v:shape>
            <v:shape style="position:absolute;left:4207;top:6471;width:1392;height:1012" type="#_x0000_t202" filled="false" stroked="false">
              <v:textbox inset="0,0,0,0">
                <w:txbxContent>
                  <w:p>
                    <w:pPr>
                      <w:spacing w:line="196" w:lineRule="exact" w:before="0"/>
                      <w:ind w:left="-1" w:right="0" w:firstLine="0"/>
                      <w:jc w:val="center"/>
                      <w:rPr>
                        <w:sz w:val="19"/>
                      </w:rPr>
                    </w:pPr>
                    <w:r>
                      <w:rPr>
                        <w:spacing w:val="-3"/>
                        <w:w w:val="105"/>
                        <w:sz w:val="19"/>
                      </w:rPr>
                      <w:t>Western</w:t>
                    </w:r>
                    <w:r>
                      <w:rPr>
                        <w:spacing w:val="-1"/>
                        <w:w w:val="105"/>
                        <w:sz w:val="19"/>
                      </w:rPr>
                      <w:t> </w:t>
                    </w:r>
                    <w:r>
                      <w:rPr>
                        <w:spacing w:val="-3"/>
                        <w:w w:val="105"/>
                        <w:sz w:val="19"/>
                      </w:rPr>
                      <w:t>Sydney</w:t>
                    </w:r>
                  </w:p>
                  <w:p>
                    <w:pPr>
                      <w:spacing w:line="229" w:lineRule="exact" w:before="0"/>
                      <w:ind w:left="0" w:right="0" w:firstLine="0"/>
                      <w:jc w:val="center"/>
                      <w:rPr>
                        <w:sz w:val="19"/>
                      </w:rPr>
                    </w:pPr>
                    <w:r>
                      <w:rPr>
                        <w:w w:val="105"/>
                        <w:sz w:val="19"/>
                      </w:rPr>
                      <w:t>University</w:t>
                    </w:r>
                  </w:p>
                  <w:p>
                    <w:pPr>
                      <w:spacing w:line="258" w:lineRule="exact" w:before="69"/>
                      <w:ind w:left="2" w:right="0" w:firstLine="0"/>
                      <w:jc w:val="center"/>
                      <w:rPr>
                        <w:rFonts w:ascii="Gotham Narrow Bold"/>
                        <w:b/>
                        <w:sz w:val="24"/>
                      </w:rPr>
                    </w:pPr>
                    <w:r>
                      <w:rPr>
                        <w:rFonts w:ascii="Gotham Narrow Bold"/>
                        <w:b/>
                        <w:w w:val="95"/>
                        <w:sz w:val="24"/>
                      </w:rPr>
                      <w:t>International </w:t>
                    </w:r>
                    <w:r>
                      <w:rPr>
                        <w:rFonts w:ascii="Gotham Narrow Bold"/>
                        <w:b/>
                        <w:sz w:val="24"/>
                      </w:rPr>
                      <w:t>College</w:t>
                    </w:r>
                  </w:p>
                </w:txbxContent>
              </v:textbox>
              <w10:wrap type="none"/>
            </v:shape>
          </v:group>
        </w:pict>
      </w:r>
      <w:r>
        <w:rPr>
          <w:sz w:val="20"/>
        </w:rPr>
      </w:r>
    </w:p>
    <w:p>
      <w:pPr>
        <w:spacing w:after="0"/>
        <w:rPr>
          <w:sz w:val="20"/>
        </w:rPr>
        <w:sectPr>
          <w:type w:val="continuous"/>
          <w:pgSz w:w="11910" w:h="16840"/>
          <w:pgMar w:top="1580" w:bottom="280" w:left="800" w:right="800"/>
        </w:sectPr>
      </w:pPr>
    </w:p>
    <w:p>
      <w:pPr>
        <w:pStyle w:val="BodyText"/>
        <w:spacing w:before="9"/>
        <w:rPr>
          <w:sz w:val="28"/>
        </w:rPr>
      </w:pPr>
    </w:p>
    <w:p>
      <w:pPr>
        <w:pStyle w:val="Heading2"/>
        <w:ind w:left="327" w:right="7611"/>
        <w:rPr>
          <w:b w:val="0"/>
        </w:rPr>
      </w:pPr>
      <w:r>
        <w:rPr>
          <w:b w:val="0"/>
        </w:rPr>
        <w:t>Quality and Consumer Response</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rPr>
      </w:pPr>
    </w:p>
    <w:p>
      <w:pPr>
        <w:spacing w:after="0"/>
        <w:rPr>
          <w:rFonts w:ascii="Chronicle Text G1"/>
        </w:rPr>
        <w:sectPr>
          <w:pgSz w:w="11910" w:h="16840"/>
          <w:pgMar w:header="496" w:footer="472" w:top="680" w:bottom="660" w:left="580" w:right="580"/>
        </w:sectPr>
      </w:pPr>
    </w:p>
    <w:p>
      <w:pPr>
        <w:pStyle w:val="Heading5"/>
        <w:spacing w:before="65"/>
        <w:ind w:left="327" w:right="-6"/>
      </w:pPr>
      <w:bookmarkStart w:name="_TOC_250047" w:id="7"/>
      <w:r>
        <w:rPr>
          <w:spacing w:val="-3"/>
          <w:w w:val="95"/>
        </w:rPr>
        <w:t>QUALITY </w:t>
      </w:r>
      <w:r>
        <w:rPr>
          <w:w w:val="95"/>
        </w:rPr>
        <w:t>AND </w:t>
      </w:r>
      <w:bookmarkEnd w:id="7"/>
      <w:r>
        <w:rPr>
          <w:spacing w:val="-3"/>
          <w:w w:val="95"/>
        </w:rPr>
        <w:t>PERFORMANCE</w:t>
      </w:r>
    </w:p>
    <w:p>
      <w:pPr>
        <w:pStyle w:val="BodyText"/>
        <w:spacing w:line="247" w:lineRule="auto" w:before="95"/>
        <w:ind w:left="327" w:right="249"/>
      </w:pPr>
      <w:r>
        <w:rPr/>
        <w:t>The Office of Quality and Performance (OQP)</w:t>
      </w:r>
      <w:r>
        <w:rPr>
          <w:spacing w:val="-15"/>
        </w:rPr>
        <w:t> </w:t>
      </w:r>
      <w:r>
        <w:rPr/>
        <w:t>played</w:t>
      </w:r>
      <w:r>
        <w:rPr>
          <w:spacing w:val="-15"/>
        </w:rPr>
        <w:t> </w:t>
      </w:r>
      <w:r>
        <w:rPr/>
        <w:t>a</w:t>
      </w:r>
      <w:r>
        <w:rPr>
          <w:spacing w:val="-15"/>
        </w:rPr>
        <w:t> </w:t>
      </w:r>
      <w:r>
        <w:rPr/>
        <w:t>key</w:t>
      </w:r>
      <w:r>
        <w:rPr>
          <w:spacing w:val="-15"/>
        </w:rPr>
        <w:t> </w:t>
      </w:r>
      <w:r>
        <w:rPr/>
        <w:t>role</w:t>
      </w:r>
      <w:r>
        <w:rPr>
          <w:spacing w:val="-15"/>
        </w:rPr>
        <w:t> </w:t>
      </w:r>
      <w:r>
        <w:rPr/>
        <w:t>in</w:t>
      </w:r>
      <w:r>
        <w:rPr>
          <w:spacing w:val="-15"/>
        </w:rPr>
        <w:t> </w:t>
      </w:r>
      <w:r>
        <w:rPr/>
        <w:t>reporting</w:t>
      </w:r>
      <w:r>
        <w:rPr>
          <w:spacing w:val="-15"/>
        </w:rPr>
        <w:t> </w:t>
      </w:r>
      <w:r>
        <w:rPr/>
        <w:t>on</w:t>
      </w:r>
      <w:r>
        <w:rPr>
          <w:spacing w:val="-15"/>
        </w:rPr>
        <w:t> </w:t>
      </w:r>
      <w:r>
        <w:rPr/>
        <w:t>the implementation of the strategic goals and objectives set in </w:t>
      </w:r>
      <w:r>
        <w:rPr>
          <w:rFonts w:ascii="Century Gothic"/>
          <w:i/>
        </w:rPr>
        <w:t>Securing Success</w:t>
      </w:r>
      <w:r>
        <w:rPr/>
        <w:t>. This included tracking performance</w:t>
      </w:r>
      <w:r>
        <w:rPr>
          <w:spacing w:val="-37"/>
        </w:rPr>
        <w:t> </w:t>
      </w:r>
      <w:r>
        <w:rPr/>
        <w:t>against</w:t>
      </w:r>
    </w:p>
    <w:p>
      <w:pPr>
        <w:pStyle w:val="BodyText"/>
        <w:spacing w:line="249" w:lineRule="auto" w:before="1"/>
        <w:ind w:left="327" w:right="288"/>
      </w:pPr>
      <w:r>
        <w:rPr/>
        <w:t>key performance indicators (KPIs) across the University and reporting to the Board of Trustees on initiatives that support Securing Success. A dashboard to track performance against targets has been included in the Vice-Chancellor’s annual</w:t>
      </w:r>
    </w:p>
    <w:p>
      <w:pPr>
        <w:pStyle w:val="BodyText"/>
        <w:spacing w:line="192" w:lineRule="exact"/>
        <w:ind w:left="327" w:right="-6"/>
      </w:pPr>
      <w:r>
        <w:rPr/>
        <w:t>end-of-year report to the Board of Trustees.</w:t>
      </w:r>
    </w:p>
    <w:p>
      <w:pPr>
        <w:pStyle w:val="BodyText"/>
        <w:spacing w:before="3"/>
        <w:rPr>
          <w:sz w:val="13"/>
        </w:rPr>
      </w:pPr>
    </w:p>
    <w:p>
      <w:pPr>
        <w:pStyle w:val="BodyText"/>
        <w:spacing w:line="249" w:lineRule="auto"/>
        <w:ind w:left="327" w:right="-6"/>
      </w:pPr>
      <w:r>
        <w:rPr>
          <w:w w:val="80"/>
        </w:rPr>
        <w:t>In</w:t>
      </w:r>
      <w:r>
        <w:rPr>
          <w:spacing w:val="-3"/>
          <w:w w:val="80"/>
        </w:rPr>
        <w:t> </w:t>
      </w:r>
      <w:r>
        <w:rPr>
          <w:w w:val="85"/>
        </w:rPr>
        <w:t>2016,</w:t>
      </w:r>
      <w:r>
        <w:rPr>
          <w:spacing w:val="-6"/>
          <w:w w:val="85"/>
        </w:rPr>
        <w:t> </w:t>
      </w:r>
      <w:r>
        <w:rPr>
          <w:w w:val="97"/>
        </w:rPr>
        <w:t>the</w:t>
      </w:r>
      <w:r>
        <w:rPr>
          <w:spacing w:val="-12"/>
          <w:w w:val="97"/>
        </w:rPr>
        <w:t> </w:t>
      </w:r>
      <w:r>
        <w:rPr>
          <w:spacing w:val="-1"/>
          <w:w w:val="97"/>
        </w:rPr>
        <w:t>University</w:t>
      </w:r>
      <w:r>
        <w:rPr>
          <w:spacing w:val="-12"/>
          <w:w w:val="97"/>
        </w:rPr>
        <w:t> </w:t>
      </w:r>
      <w:r>
        <w:rPr>
          <w:spacing w:val="-1"/>
          <w:w w:val="98"/>
        </w:rPr>
        <w:t>continued</w:t>
      </w:r>
      <w:r>
        <w:rPr>
          <w:spacing w:val="-12"/>
          <w:w w:val="98"/>
        </w:rPr>
        <w:t> </w:t>
      </w:r>
      <w:r>
        <w:rPr>
          <w:spacing w:val="-2"/>
          <w:w w:val="101"/>
        </w:rPr>
        <w:t>to</w:t>
      </w:r>
      <w:r>
        <w:rPr>
          <w:spacing w:val="-14"/>
          <w:w w:val="101"/>
        </w:rPr>
        <w:t> </w:t>
      </w:r>
      <w:r>
        <w:rPr>
          <w:spacing w:val="-1"/>
          <w:w w:val="95"/>
        </w:rPr>
        <w:t>ensure</w:t>
      </w:r>
      <w:r>
        <w:rPr>
          <w:spacing w:val="-11"/>
          <w:w w:val="95"/>
        </w:rPr>
        <w:t> </w:t>
      </w:r>
      <w:r>
        <w:rPr>
          <w:spacing w:val="-1"/>
          <w:w w:val="98"/>
        </w:rPr>
        <w:t>that</w:t>
      </w:r>
      <w:r>
        <w:rPr>
          <w:w w:val="98"/>
        </w:rPr>
        <w:t> </w:t>
      </w:r>
      <w:r>
        <w:rPr/>
        <w:t>its</w:t>
      </w:r>
      <w:r>
        <w:rPr>
          <w:spacing w:val="-26"/>
        </w:rPr>
        <w:t> </w:t>
      </w:r>
      <w:r>
        <w:rPr/>
        <w:t>quality</w:t>
      </w:r>
      <w:r>
        <w:rPr>
          <w:spacing w:val="-26"/>
        </w:rPr>
        <w:t> </w:t>
      </w:r>
      <w:r>
        <w:rPr/>
        <w:t>management</w:t>
      </w:r>
      <w:r>
        <w:rPr>
          <w:spacing w:val="-26"/>
        </w:rPr>
        <w:t> </w:t>
      </w:r>
      <w:r>
        <w:rPr/>
        <w:t>processes</w:t>
      </w:r>
      <w:r>
        <w:rPr>
          <w:spacing w:val="-26"/>
        </w:rPr>
        <w:t> </w:t>
      </w:r>
      <w:r>
        <w:rPr/>
        <w:t>aligned</w:t>
      </w:r>
      <w:r>
        <w:rPr>
          <w:spacing w:val="-26"/>
        </w:rPr>
        <w:t> </w:t>
      </w:r>
      <w:r>
        <w:rPr/>
        <w:t>with the Tertiary Education Quality and Standards Agency (TEQSA) Higher Education Standards (HES)</w:t>
      </w:r>
      <w:r>
        <w:rPr>
          <w:spacing w:val="-30"/>
        </w:rPr>
        <w:t> </w:t>
      </w:r>
      <w:r>
        <w:rPr/>
        <w:t>Framework,</w:t>
      </w:r>
      <w:r>
        <w:rPr>
          <w:spacing w:val="-30"/>
        </w:rPr>
        <w:t> </w:t>
      </w:r>
      <w:r>
        <w:rPr/>
        <w:t>guaranteeing</w:t>
      </w:r>
      <w:r>
        <w:rPr>
          <w:spacing w:val="-30"/>
        </w:rPr>
        <w:t> </w:t>
      </w:r>
      <w:r>
        <w:rPr/>
        <w:t>that</w:t>
      </w:r>
      <w:r>
        <w:rPr>
          <w:spacing w:val="-30"/>
        </w:rPr>
        <w:t> </w:t>
      </w:r>
      <w:r>
        <w:rPr/>
        <w:t>it</w:t>
      </w:r>
      <w:r>
        <w:rPr>
          <w:spacing w:val="-30"/>
        </w:rPr>
        <w:t> </w:t>
      </w:r>
      <w:r>
        <w:rPr/>
        <w:t>fulfils</w:t>
      </w:r>
      <w:r>
        <w:rPr>
          <w:spacing w:val="-30"/>
        </w:rPr>
        <w:t> </w:t>
      </w:r>
      <w:r>
        <w:rPr/>
        <w:t>its obligations</w:t>
      </w:r>
      <w:r>
        <w:rPr>
          <w:spacing w:val="-32"/>
        </w:rPr>
        <w:t> </w:t>
      </w:r>
      <w:r>
        <w:rPr/>
        <w:t>as</w:t>
      </w:r>
      <w:r>
        <w:rPr>
          <w:spacing w:val="-32"/>
        </w:rPr>
        <w:t> </w:t>
      </w:r>
      <w:r>
        <w:rPr/>
        <w:t>a</w:t>
      </w:r>
      <w:r>
        <w:rPr>
          <w:spacing w:val="-32"/>
        </w:rPr>
        <w:t> </w:t>
      </w:r>
      <w:r>
        <w:rPr/>
        <w:t>self-accrediting</w:t>
      </w:r>
      <w:r>
        <w:rPr>
          <w:spacing w:val="-32"/>
        </w:rPr>
        <w:t> </w:t>
      </w:r>
      <w:r>
        <w:rPr/>
        <w:t>institution.</w:t>
      </w:r>
      <w:r>
        <w:rPr>
          <w:spacing w:val="-32"/>
        </w:rPr>
        <w:t> </w:t>
      </w:r>
      <w:r>
        <w:rPr/>
        <w:t>The OQP</w:t>
      </w:r>
      <w:r>
        <w:rPr>
          <w:spacing w:val="-22"/>
        </w:rPr>
        <w:t> </w:t>
      </w:r>
      <w:r>
        <w:rPr/>
        <w:t>conducted</w:t>
      </w:r>
      <w:r>
        <w:rPr>
          <w:spacing w:val="-22"/>
        </w:rPr>
        <w:t> </w:t>
      </w:r>
      <w:r>
        <w:rPr/>
        <w:t>an</w:t>
      </w:r>
      <w:r>
        <w:rPr>
          <w:spacing w:val="-22"/>
        </w:rPr>
        <w:t> </w:t>
      </w:r>
      <w:r>
        <w:rPr/>
        <w:t>audit</w:t>
      </w:r>
      <w:r>
        <w:rPr>
          <w:spacing w:val="-22"/>
        </w:rPr>
        <w:t> </w:t>
      </w:r>
      <w:r>
        <w:rPr/>
        <w:t>to</w:t>
      </w:r>
      <w:r>
        <w:rPr>
          <w:spacing w:val="-22"/>
        </w:rPr>
        <w:t> </w:t>
      </w:r>
      <w:r>
        <w:rPr/>
        <w:t>determine</w:t>
      </w:r>
      <w:r>
        <w:rPr>
          <w:spacing w:val="-22"/>
        </w:rPr>
        <w:t> </w:t>
      </w:r>
      <w:r>
        <w:rPr/>
        <w:t>the</w:t>
      </w:r>
      <w:r>
        <w:rPr>
          <w:spacing w:val="-22"/>
        </w:rPr>
        <w:t> </w:t>
      </w:r>
      <w:r>
        <w:rPr/>
        <w:t>level of the University’s compliance with the HES </w:t>
      </w:r>
      <w:r>
        <w:rPr>
          <w:spacing w:val="-1"/>
          <w:w w:val="98"/>
        </w:rPr>
        <w:t>Framework</w:t>
      </w:r>
      <w:r>
        <w:rPr>
          <w:spacing w:val="-13"/>
          <w:w w:val="98"/>
        </w:rPr>
        <w:t> </w:t>
      </w:r>
      <w:r>
        <w:rPr>
          <w:spacing w:val="-1"/>
          <w:w w:val="91"/>
        </w:rPr>
        <w:t>(2015)</w:t>
      </w:r>
      <w:r>
        <w:rPr>
          <w:spacing w:val="-9"/>
          <w:w w:val="91"/>
        </w:rPr>
        <w:t> </w:t>
      </w:r>
      <w:r>
        <w:rPr>
          <w:w w:val="97"/>
        </w:rPr>
        <w:t>and</w:t>
      </w:r>
      <w:r>
        <w:rPr>
          <w:spacing w:val="-13"/>
          <w:w w:val="97"/>
        </w:rPr>
        <w:t> </w:t>
      </w:r>
      <w:r>
        <w:rPr>
          <w:w w:val="97"/>
        </w:rPr>
        <w:t>led</w:t>
      </w:r>
      <w:r>
        <w:rPr>
          <w:spacing w:val="-13"/>
          <w:w w:val="97"/>
        </w:rPr>
        <w:t> </w:t>
      </w:r>
      <w:r>
        <w:rPr>
          <w:w w:val="94"/>
        </w:rPr>
        <w:t>a</w:t>
      </w:r>
      <w:r>
        <w:rPr>
          <w:spacing w:val="-11"/>
          <w:w w:val="94"/>
        </w:rPr>
        <w:t> </w:t>
      </w:r>
      <w:r>
        <w:rPr>
          <w:spacing w:val="-1"/>
          <w:w w:val="98"/>
        </w:rPr>
        <w:t>process</w:t>
      </w:r>
      <w:r>
        <w:rPr>
          <w:spacing w:val="-13"/>
          <w:w w:val="98"/>
        </w:rPr>
        <w:t> </w:t>
      </w:r>
      <w:r>
        <w:rPr>
          <w:w w:val="97"/>
        </w:rPr>
        <w:t>and</w:t>
      </w:r>
      <w:r>
        <w:rPr>
          <w:spacing w:val="-13"/>
          <w:w w:val="97"/>
        </w:rPr>
        <w:t> </w:t>
      </w:r>
      <w:r>
        <w:rPr>
          <w:w w:val="99"/>
        </w:rPr>
        <w:t>policy </w:t>
      </w:r>
      <w:r>
        <w:rPr/>
        <w:t>review</w:t>
      </w:r>
      <w:r>
        <w:rPr>
          <w:spacing w:val="-24"/>
        </w:rPr>
        <w:t> </w:t>
      </w:r>
      <w:r>
        <w:rPr/>
        <w:t>to</w:t>
      </w:r>
      <w:r>
        <w:rPr>
          <w:spacing w:val="-24"/>
        </w:rPr>
        <w:t> </w:t>
      </w:r>
      <w:r>
        <w:rPr/>
        <w:t>ensure</w:t>
      </w:r>
      <w:r>
        <w:rPr>
          <w:spacing w:val="-24"/>
        </w:rPr>
        <w:t> </w:t>
      </w:r>
      <w:r>
        <w:rPr/>
        <w:t>the</w:t>
      </w:r>
      <w:r>
        <w:rPr>
          <w:spacing w:val="-24"/>
        </w:rPr>
        <w:t> </w:t>
      </w:r>
      <w:r>
        <w:rPr/>
        <w:t>University</w:t>
      </w:r>
      <w:r>
        <w:rPr>
          <w:spacing w:val="-24"/>
        </w:rPr>
        <w:t> </w:t>
      </w:r>
      <w:r>
        <w:rPr/>
        <w:t>was</w:t>
      </w:r>
      <w:r>
        <w:rPr>
          <w:spacing w:val="-24"/>
        </w:rPr>
        <w:t> </w:t>
      </w:r>
      <w:r>
        <w:rPr/>
        <w:t>compliant </w:t>
      </w:r>
      <w:r>
        <w:rPr>
          <w:spacing w:val="-2"/>
          <w:w w:val="102"/>
        </w:rPr>
        <w:t>by</w:t>
      </w:r>
      <w:r>
        <w:rPr>
          <w:w w:val="102"/>
        </w:rPr>
        <w:t> </w:t>
      </w:r>
      <w:r>
        <w:rPr>
          <w:w w:val="54"/>
        </w:rPr>
        <w:t>1 </w:t>
      </w:r>
      <w:r>
        <w:rPr>
          <w:w w:val="98"/>
        </w:rPr>
        <w:t>January </w:t>
      </w:r>
      <w:r>
        <w:rPr>
          <w:spacing w:val="-3"/>
          <w:w w:val="83"/>
        </w:rPr>
        <w:t>2017.</w:t>
      </w:r>
      <w:r>
        <w:rPr>
          <w:w w:val="83"/>
        </w:rPr>
        <w:t> </w:t>
      </w:r>
      <w:r>
        <w:rPr>
          <w:w w:val="94"/>
        </w:rPr>
        <w:t>The </w:t>
      </w:r>
      <w:r>
        <w:rPr>
          <w:spacing w:val="1"/>
          <w:w w:val="102"/>
        </w:rPr>
        <w:t>OQP</w:t>
      </w:r>
      <w:r>
        <w:rPr>
          <w:w w:val="102"/>
        </w:rPr>
        <w:t> </w:t>
      </w:r>
      <w:r>
        <w:rPr>
          <w:spacing w:val="-1"/>
          <w:w w:val="96"/>
        </w:rPr>
        <w:t>also</w:t>
      </w:r>
      <w:r>
        <w:rPr>
          <w:w w:val="96"/>
        </w:rPr>
        <w:t> </w:t>
      </w:r>
      <w:r>
        <w:rPr>
          <w:w w:val="98"/>
        </w:rPr>
        <w:t>began </w:t>
      </w:r>
      <w:r>
        <w:rPr/>
        <w:t>preparing for the University’s submission to TEQSA for renewal of its registration as an </w:t>
      </w:r>
      <w:r>
        <w:rPr>
          <w:spacing w:val="-1"/>
          <w:w w:val="97"/>
        </w:rPr>
        <w:t>Australian</w:t>
      </w:r>
      <w:r>
        <w:rPr>
          <w:spacing w:val="-12"/>
          <w:w w:val="97"/>
        </w:rPr>
        <w:t> </w:t>
      </w:r>
      <w:r>
        <w:rPr>
          <w:spacing w:val="-1"/>
          <w:w w:val="95"/>
        </w:rPr>
        <w:t>University,</w:t>
      </w:r>
      <w:r>
        <w:rPr>
          <w:spacing w:val="-10"/>
          <w:w w:val="95"/>
        </w:rPr>
        <w:t> </w:t>
      </w:r>
      <w:r>
        <w:rPr>
          <w:w w:val="97"/>
        </w:rPr>
        <w:t>due</w:t>
      </w:r>
      <w:r>
        <w:rPr>
          <w:spacing w:val="-12"/>
          <w:w w:val="97"/>
        </w:rPr>
        <w:t> </w:t>
      </w:r>
      <w:r>
        <w:rPr>
          <w:spacing w:val="-1"/>
          <w:w w:val="98"/>
        </w:rPr>
        <w:t>at</w:t>
      </w:r>
      <w:r>
        <w:rPr>
          <w:spacing w:val="-12"/>
          <w:w w:val="98"/>
        </w:rPr>
        <w:t> </w:t>
      </w:r>
      <w:r>
        <w:rPr>
          <w:w w:val="97"/>
        </w:rPr>
        <w:t>the</w:t>
      </w:r>
      <w:r>
        <w:rPr>
          <w:spacing w:val="-12"/>
          <w:w w:val="97"/>
        </w:rPr>
        <w:t> </w:t>
      </w:r>
      <w:r>
        <w:rPr>
          <w:w w:val="97"/>
        </w:rPr>
        <w:t>end</w:t>
      </w:r>
      <w:r>
        <w:rPr>
          <w:spacing w:val="-12"/>
          <w:w w:val="97"/>
        </w:rPr>
        <w:t> </w:t>
      </w:r>
      <w:r>
        <w:rPr>
          <w:spacing w:val="-1"/>
          <w:w w:val="99"/>
        </w:rPr>
        <w:t>of</w:t>
      </w:r>
      <w:r>
        <w:rPr>
          <w:spacing w:val="-13"/>
          <w:w w:val="99"/>
        </w:rPr>
        <w:t> </w:t>
      </w:r>
      <w:r>
        <w:rPr>
          <w:spacing w:val="-3"/>
          <w:w w:val="83"/>
        </w:rPr>
        <w:t>2017.</w:t>
      </w:r>
    </w:p>
    <w:p>
      <w:pPr>
        <w:pStyle w:val="BodyText"/>
        <w:spacing w:before="7"/>
        <w:rPr>
          <w:sz w:val="12"/>
        </w:rPr>
      </w:pPr>
    </w:p>
    <w:p>
      <w:pPr>
        <w:pStyle w:val="BodyText"/>
        <w:spacing w:line="249" w:lineRule="auto"/>
        <w:ind w:left="327" w:right="223"/>
      </w:pPr>
      <w:r>
        <w:rPr/>
        <w:t>The</w:t>
      </w:r>
      <w:r>
        <w:rPr>
          <w:spacing w:val="-18"/>
        </w:rPr>
        <w:t> </w:t>
      </w:r>
      <w:r>
        <w:rPr>
          <w:spacing w:val="2"/>
        </w:rPr>
        <w:t>OQP</w:t>
      </w:r>
      <w:r>
        <w:rPr>
          <w:spacing w:val="-18"/>
        </w:rPr>
        <w:t> </w:t>
      </w:r>
      <w:r>
        <w:rPr/>
        <w:t>ensures</w:t>
      </w:r>
      <w:r>
        <w:rPr>
          <w:spacing w:val="-18"/>
        </w:rPr>
        <w:t> </w:t>
      </w:r>
      <w:r>
        <w:rPr/>
        <w:t>that</w:t>
      </w:r>
      <w:r>
        <w:rPr>
          <w:spacing w:val="-18"/>
        </w:rPr>
        <w:t> </w:t>
      </w:r>
      <w:r>
        <w:rPr/>
        <w:t>quality</w:t>
      </w:r>
      <w:r>
        <w:rPr>
          <w:spacing w:val="-18"/>
        </w:rPr>
        <w:t> </w:t>
      </w:r>
      <w:r>
        <w:rPr/>
        <w:t>management is </w:t>
      </w:r>
      <w:r>
        <w:rPr>
          <w:spacing w:val="2"/>
        </w:rPr>
        <w:t>embedded </w:t>
      </w:r>
      <w:r>
        <w:rPr/>
        <w:t>in strategic and operational planning, accreditation, reporting and review</w:t>
      </w:r>
      <w:r>
        <w:rPr>
          <w:spacing w:val="-23"/>
        </w:rPr>
        <w:t> </w:t>
      </w:r>
      <w:r>
        <w:rPr/>
        <w:t>processes</w:t>
      </w:r>
      <w:r>
        <w:rPr>
          <w:spacing w:val="-23"/>
        </w:rPr>
        <w:t> </w:t>
      </w:r>
      <w:r>
        <w:rPr/>
        <w:t>across</w:t>
      </w:r>
      <w:r>
        <w:rPr>
          <w:spacing w:val="-23"/>
        </w:rPr>
        <w:t> </w:t>
      </w:r>
      <w:r>
        <w:rPr/>
        <w:t>the</w:t>
      </w:r>
      <w:r>
        <w:rPr>
          <w:spacing w:val="-23"/>
        </w:rPr>
        <w:t> </w:t>
      </w:r>
      <w:r>
        <w:rPr/>
        <w:t>University.</w:t>
      </w:r>
      <w:r>
        <w:rPr>
          <w:spacing w:val="-23"/>
        </w:rPr>
        <w:t> </w:t>
      </w:r>
      <w:r>
        <w:rPr/>
        <w:t>The</w:t>
      </w:r>
    </w:p>
    <w:p>
      <w:pPr>
        <w:pStyle w:val="BodyText"/>
        <w:spacing w:line="249" w:lineRule="auto" w:before="71"/>
        <w:ind w:left="187" w:right="-2"/>
      </w:pPr>
      <w:r>
        <w:rPr/>
        <w:br w:type="column"/>
      </w:r>
      <w:r>
        <w:rPr/>
        <w:t>University has well-developed processes to track</w:t>
      </w:r>
      <w:r>
        <w:rPr>
          <w:spacing w:val="-13"/>
        </w:rPr>
        <w:t> </w:t>
      </w:r>
      <w:r>
        <w:rPr/>
        <w:t>student</w:t>
      </w:r>
      <w:r>
        <w:rPr>
          <w:spacing w:val="-13"/>
        </w:rPr>
        <w:t> </w:t>
      </w:r>
      <w:r>
        <w:rPr/>
        <w:t>performance</w:t>
      </w:r>
      <w:r>
        <w:rPr>
          <w:spacing w:val="-13"/>
        </w:rPr>
        <w:t> </w:t>
      </w:r>
      <w:r>
        <w:rPr/>
        <w:t>and</w:t>
      </w:r>
      <w:r>
        <w:rPr>
          <w:spacing w:val="-13"/>
        </w:rPr>
        <w:t> </w:t>
      </w:r>
      <w:r>
        <w:rPr/>
        <w:t>for</w:t>
      </w:r>
      <w:r>
        <w:rPr>
          <w:spacing w:val="-13"/>
        </w:rPr>
        <w:t> </w:t>
      </w:r>
      <w:r>
        <w:rPr/>
        <w:t>students</w:t>
      </w:r>
      <w:r>
        <w:rPr>
          <w:spacing w:val="-13"/>
        </w:rPr>
        <w:t> </w:t>
      </w:r>
      <w:r>
        <w:rPr/>
        <w:t>to provide</w:t>
      </w:r>
      <w:r>
        <w:rPr>
          <w:spacing w:val="-17"/>
        </w:rPr>
        <w:t> </w:t>
      </w:r>
      <w:r>
        <w:rPr/>
        <w:t>feedback</w:t>
      </w:r>
      <w:r>
        <w:rPr>
          <w:spacing w:val="-17"/>
        </w:rPr>
        <w:t> </w:t>
      </w:r>
      <w:r>
        <w:rPr/>
        <w:t>on</w:t>
      </w:r>
      <w:r>
        <w:rPr>
          <w:spacing w:val="-17"/>
        </w:rPr>
        <w:t> </w:t>
      </w:r>
      <w:r>
        <w:rPr/>
        <w:t>their</w:t>
      </w:r>
      <w:r>
        <w:rPr>
          <w:spacing w:val="-17"/>
        </w:rPr>
        <w:t> </w:t>
      </w:r>
      <w:r>
        <w:rPr/>
        <w:t>experience,</w:t>
      </w:r>
      <w:r>
        <w:rPr>
          <w:spacing w:val="-17"/>
        </w:rPr>
        <w:t> </w:t>
      </w:r>
      <w:r>
        <w:rPr/>
        <w:t>which</w:t>
      </w:r>
    </w:p>
    <w:p>
      <w:pPr>
        <w:pStyle w:val="BodyText"/>
        <w:spacing w:line="192" w:lineRule="exact"/>
        <w:ind w:left="187" w:right="-2"/>
      </w:pPr>
      <w:r>
        <w:rPr/>
        <w:t>is</w:t>
      </w:r>
      <w:r>
        <w:rPr>
          <w:spacing w:val="-26"/>
        </w:rPr>
        <w:t> </w:t>
      </w:r>
      <w:r>
        <w:rPr/>
        <w:t>benchmarked</w:t>
      </w:r>
      <w:r>
        <w:rPr>
          <w:spacing w:val="-26"/>
        </w:rPr>
        <w:t> </w:t>
      </w:r>
      <w:r>
        <w:rPr/>
        <w:t>nationally</w:t>
      </w:r>
      <w:r>
        <w:rPr>
          <w:spacing w:val="-26"/>
        </w:rPr>
        <w:t> </w:t>
      </w:r>
      <w:r>
        <w:rPr/>
        <w:t>and</w:t>
      </w:r>
      <w:r>
        <w:rPr>
          <w:spacing w:val="-26"/>
        </w:rPr>
        <w:t> </w:t>
      </w:r>
      <w:r>
        <w:rPr/>
        <w:t>internationally.</w:t>
      </w:r>
    </w:p>
    <w:p>
      <w:pPr>
        <w:pStyle w:val="BodyText"/>
        <w:spacing w:line="249" w:lineRule="auto" w:before="7"/>
        <w:ind w:left="187" w:right="281"/>
      </w:pPr>
      <w:r>
        <w:rPr/>
        <w:t>The University uses standardised surveys to gather feedback from students on teaching, their learning experience in units of study, course experience and overall experience at the University.</w:t>
      </w:r>
    </w:p>
    <w:p>
      <w:pPr>
        <w:pStyle w:val="BodyText"/>
        <w:spacing w:before="7"/>
        <w:rPr>
          <w:sz w:val="12"/>
        </w:rPr>
      </w:pPr>
    </w:p>
    <w:p>
      <w:pPr>
        <w:pStyle w:val="BodyText"/>
        <w:spacing w:line="249" w:lineRule="auto"/>
        <w:ind w:left="187" w:right="-2"/>
      </w:pPr>
      <w:r>
        <w:rPr/>
        <w:t>The University is collaborating with the University of Tasmania, Deakin University, Monash University, Swinburne University of Technology</w:t>
      </w:r>
      <w:r>
        <w:rPr>
          <w:spacing w:val="-17"/>
        </w:rPr>
        <w:t> </w:t>
      </w:r>
      <w:r>
        <w:rPr/>
        <w:t>and</w:t>
      </w:r>
      <w:r>
        <w:rPr>
          <w:spacing w:val="-17"/>
        </w:rPr>
        <w:t> </w:t>
      </w:r>
      <w:r>
        <w:rPr/>
        <w:t>the</w:t>
      </w:r>
      <w:r>
        <w:rPr>
          <w:spacing w:val="-17"/>
        </w:rPr>
        <w:t> </w:t>
      </w:r>
      <w:r>
        <w:rPr/>
        <w:t>University</w:t>
      </w:r>
      <w:r>
        <w:rPr>
          <w:spacing w:val="-17"/>
        </w:rPr>
        <w:t> </w:t>
      </w:r>
      <w:r>
        <w:rPr/>
        <w:t>of</w:t>
      </w:r>
      <w:r>
        <w:rPr>
          <w:spacing w:val="-17"/>
        </w:rPr>
        <w:t> </w:t>
      </w:r>
      <w:r>
        <w:rPr/>
        <w:t>Queensland on peer review of </w:t>
      </w:r>
      <w:r>
        <w:rPr>
          <w:spacing w:val="2"/>
        </w:rPr>
        <w:t>assessments. </w:t>
      </w:r>
      <w:r>
        <w:rPr/>
        <w:t>Schools oversee the outcomes and report emerging themes to the federal Senate Education </w:t>
      </w:r>
      <w:r>
        <w:rPr>
          <w:spacing w:val="1"/>
          <w:w w:val="96"/>
        </w:rPr>
        <w:t>Committee.</w:t>
      </w:r>
      <w:r>
        <w:rPr>
          <w:w w:val="96"/>
        </w:rPr>
        <w:t> </w:t>
      </w:r>
      <w:r>
        <w:rPr>
          <w:spacing w:val="1"/>
          <w:w w:val="80"/>
        </w:rPr>
        <w:t>In</w:t>
      </w:r>
      <w:r>
        <w:rPr>
          <w:w w:val="80"/>
        </w:rPr>
        <w:t> </w:t>
      </w:r>
      <w:r>
        <w:rPr>
          <w:spacing w:val="2"/>
          <w:w w:val="85"/>
        </w:rPr>
        <w:t>2016,</w:t>
      </w:r>
      <w:r>
        <w:rPr>
          <w:w w:val="85"/>
        </w:rPr>
        <w:t> </w:t>
      </w:r>
      <w:r>
        <w:rPr>
          <w:w w:val="97"/>
        </w:rPr>
        <w:t>the </w:t>
      </w:r>
      <w:r>
        <w:rPr>
          <w:spacing w:val="2"/>
          <w:w w:val="102"/>
        </w:rPr>
        <w:t>OQP</w:t>
      </w:r>
      <w:r>
        <w:rPr>
          <w:w w:val="102"/>
        </w:rPr>
        <w:t> </w:t>
      </w:r>
      <w:r>
        <w:rPr>
          <w:spacing w:val="1"/>
          <w:w w:val="98"/>
        </w:rPr>
        <w:t>participated</w:t>
      </w:r>
      <w:r>
        <w:rPr>
          <w:w w:val="98"/>
        </w:rPr>
        <w:t> </w:t>
      </w:r>
      <w:r>
        <w:rPr>
          <w:w w:val="95"/>
        </w:rPr>
        <w:t>in </w:t>
      </w:r>
      <w:r>
        <w:rPr/>
        <w:t>developing an online benchmarking tool to streamline</w:t>
      </w:r>
      <w:r>
        <w:rPr>
          <w:spacing w:val="-22"/>
        </w:rPr>
        <w:t> </w:t>
      </w:r>
      <w:r>
        <w:rPr/>
        <w:t>the</w:t>
      </w:r>
      <w:r>
        <w:rPr>
          <w:spacing w:val="-22"/>
        </w:rPr>
        <w:t> </w:t>
      </w:r>
      <w:r>
        <w:rPr/>
        <w:t>administration</w:t>
      </w:r>
      <w:r>
        <w:rPr>
          <w:spacing w:val="-22"/>
        </w:rPr>
        <w:t> </w:t>
      </w:r>
      <w:r>
        <w:rPr/>
        <w:t>of</w:t>
      </w:r>
      <w:r>
        <w:rPr>
          <w:spacing w:val="-22"/>
        </w:rPr>
        <w:t> </w:t>
      </w:r>
      <w:r>
        <w:rPr/>
        <w:t>peer</w:t>
      </w:r>
      <w:r>
        <w:rPr>
          <w:spacing w:val="-22"/>
        </w:rPr>
        <w:t> </w:t>
      </w:r>
      <w:r>
        <w:rPr/>
        <w:t>reviews, resulting in a more sustainable model. The </w:t>
      </w:r>
      <w:r>
        <w:rPr>
          <w:spacing w:val="1"/>
          <w:w w:val="96"/>
        </w:rPr>
        <w:t>online</w:t>
      </w:r>
      <w:r>
        <w:rPr>
          <w:spacing w:val="-6"/>
          <w:w w:val="96"/>
        </w:rPr>
        <w:t> </w:t>
      </w:r>
      <w:r>
        <w:rPr>
          <w:w w:val="99"/>
        </w:rPr>
        <w:t>tool</w:t>
      </w:r>
      <w:r>
        <w:rPr>
          <w:spacing w:val="-8"/>
          <w:w w:val="99"/>
        </w:rPr>
        <w:t> </w:t>
      </w:r>
      <w:r>
        <w:rPr>
          <w:spacing w:val="1"/>
          <w:w w:val="97"/>
        </w:rPr>
        <w:t>should</w:t>
      </w:r>
      <w:r>
        <w:rPr>
          <w:spacing w:val="-7"/>
          <w:w w:val="97"/>
        </w:rPr>
        <w:t> </w:t>
      </w:r>
      <w:r>
        <w:rPr>
          <w:spacing w:val="1"/>
          <w:w w:val="99"/>
        </w:rPr>
        <w:t>be</w:t>
      </w:r>
      <w:r>
        <w:rPr>
          <w:spacing w:val="-8"/>
          <w:w w:val="99"/>
        </w:rPr>
        <w:t> </w:t>
      </w:r>
      <w:r>
        <w:rPr>
          <w:w w:val="96"/>
        </w:rPr>
        <w:t>available</w:t>
      </w:r>
      <w:r>
        <w:rPr>
          <w:spacing w:val="-6"/>
          <w:w w:val="96"/>
        </w:rPr>
        <w:t> </w:t>
      </w:r>
      <w:r>
        <w:rPr>
          <w:w w:val="95"/>
        </w:rPr>
        <w:t>in</w:t>
      </w:r>
      <w:r>
        <w:rPr>
          <w:spacing w:val="-6"/>
          <w:w w:val="95"/>
        </w:rPr>
        <w:t> </w:t>
      </w:r>
      <w:r>
        <w:rPr>
          <w:spacing w:val="-2"/>
          <w:w w:val="83"/>
        </w:rPr>
        <w:t>2017.</w:t>
      </w:r>
    </w:p>
    <w:p>
      <w:pPr>
        <w:pStyle w:val="BodyText"/>
        <w:spacing w:before="7"/>
        <w:rPr>
          <w:sz w:val="12"/>
        </w:rPr>
      </w:pPr>
    </w:p>
    <w:p>
      <w:pPr>
        <w:pStyle w:val="BodyText"/>
        <w:spacing w:line="249" w:lineRule="auto"/>
        <w:ind w:left="187" w:right="203"/>
      </w:pPr>
      <w:r>
        <w:rPr>
          <w:spacing w:val="1"/>
          <w:w w:val="80"/>
        </w:rPr>
        <w:t>In</w:t>
      </w:r>
      <w:r>
        <w:rPr>
          <w:w w:val="80"/>
        </w:rPr>
        <w:t> </w:t>
      </w:r>
      <w:r>
        <w:rPr>
          <w:spacing w:val="2"/>
          <w:w w:val="98"/>
        </w:rPr>
        <w:t>February</w:t>
      </w:r>
      <w:r>
        <w:rPr>
          <w:w w:val="98"/>
        </w:rPr>
        <w:t> </w:t>
      </w:r>
      <w:r>
        <w:rPr>
          <w:spacing w:val="2"/>
          <w:w w:val="85"/>
        </w:rPr>
        <w:t>2016,</w:t>
      </w:r>
      <w:r>
        <w:rPr>
          <w:w w:val="85"/>
        </w:rPr>
        <w:t> </w:t>
      </w:r>
      <w:r>
        <w:rPr>
          <w:w w:val="97"/>
        </w:rPr>
        <w:t>the </w:t>
      </w:r>
      <w:r>
        <w:rPr>
          <w:spacing w:val="1"/>
          <w:w w:val="97"/>
        </w:rPr>
        <w:t>University</w:t>
      </w:r>
      <w:r>
        <w:rPr>
          <w:w w:val="97"/>
        </w:rPr>
        <w:t> </w:t>
      </w:r>
      <w:r>
        <w:rPr>
          <w:w w:val="98"/>
        </w:rPr>
        <w:t>Executive </w:t>
      </w:r>
      <w:r>
        <w:rPr/>
        <w:t>Committee approved new guidelines for School reviews, which include standard terms of reference reflecting the six pillars of</w:t>
      </w:r>
      <w:r>
        <w:rPr>
          <w:spacing w:val="-17"/>
        </w:rPr>
        <w:t> </w:t>
      </w:r>
      <w:r>
        <w:rPr/>
        <w:t>Securing</w:t>
      </w:r>
      <w:r>
        <w:rPr>
          <w:spacing w:val="-17"/>
        </w:rPr>
        <w:t> </w:t>
      </w:r>
      <w:r>
        <w:rPr/>
        <w:t>Success</w:t>
      </w:r>
      <w:r>
        <w:rPr>
          <w:spacing w:val="-17"/>
        </w:rPr>
        <w:t> </w:t>
      </w:r>
      <w:r>
        <w:rPr/>
        <w:t>and</w:t>
      </w:r>
      <w:r>
        <w:rPr>
          <w:spacing w:val="-17"/>
        </w:rPr>
        <w:t> </w:t>
      </w:r>
      <w:r>
        <w:rPr/>
        <w:t>a</w:t>
      </w:r>
      <w:r>
        <w:rPr>
          <w:spacing w:val="-17"/>
        </w:rPr>
        <w:t> </w:t>
      </w:r>
      <w:r>
        <w:rPr/>
        <w:t>requirement</w:t>
      </w:r>
      <w:r>
        <w:rPr>
          <w:spacing w:val="-17"/>
        </w:rPr>
        <w:t> </w:t>
      </w:r>
      <w:r>
        <w:rPr/>
        <w:t>that a student representative be included on the review panel. The School of Medicine and the School of Social Sciences and </w:t>
      </w:r>
      <w:r>
        <w:rPr>
          <w:spacing w:val="1"/>
          <w:w w:val="100"/>
        </w:rPr>
        <w:t>Psychology</w:t>
      </w:r>
      <w:r>
        <w:rPr>
          <w:w w:val="100"/>
        </w:rPr>
        <w:t> </w:t>
      </w:r>
      <w:r>
        <w:rPr>
          <w:w w:val="97"/>
        </w:rPr>
        <w:t>were </w:t>
      </w:r>
      <w:r>
        <w:rPr>
          <w:w w:val="97"/>
        </w:rPr>
        <w:t>reviewed </w:t>
      </w:r>
      <w:r>
        <w:rPr>
          <w:w w:val="95"/>
        </w:rPr>
        <w:t>in</w:t>
      </w:r>
      <w:r>
        <w:rPr>
          <w:spacing w:val="-25"/>
          <w:w w:val="95"/>
        </w:rPr>
        <w:t> </w:t>
      </w:r>
      <w:r>
        <w:rPr>
          <w:spacing w:val="2"/>
          <w:w w:val="85"/>
        </w:rPr>
        <w:t>2016.</w:t>
      </w:r>
    </w:p>
    <w:p>
      <w:pPr>
        <w:pStyle w:val="BodyText"/>
        <w:spacing w:before="7"/>
        <w:rPr>
          <w:sz w:val="12"/>
        </w:rPr>
      </w:pPr>
    </w:p>
    <w:p>
      <w:pPr>
        <w:pStyle w:val="BodyText"/>
        <w:spacing w:line="249" w:lineRule="auto"/>
        <w:ind w:left="187" w:right="89"/>
      </w:pPr>
      <w:r>
        <w:rPr/>
        <w:pict>
          <v:group style="position:absolute;margin-left:34.015999pt;margin-top:26.583912pt;width:527.25pt;height:206.95pt;mso-position-horizontal-relative:page;mso-position-vertical-relative:paragraph;z-index:-336184" coordorigin="680,532" coordsize="10545,4139">
            <v:rect style="position:absolute;left:680;top:532;width:10545;height:4139" filled="true" fillcolor="#e9e9e9" stroked="false">
              <v:fill type="solid"/>
            </v:rect>
            <v:shape style="position:absolute;left:907;top:765;width:2569;height:240" type="#_x0000_t202" filled="false" stroked="false">
              <v:textbox inset="0,0,0,0">
                <w:txbxContent>
                  <w:p>
                    <w:pPr>
                      <w:spacing w:line="240" w:lineRule="exact" w:before="0"/>
                      <w:ind w:left="0" w:right="-12" w:firstLine="0"/>
                      <w:jc w:val="left"/>
                      <w:rPr>
                        <w:rFonts w:ascii="Gotham Narrow Bold"/>
                        <w:b/>
                        <w:sz w:val="24"/>
                      </w:rPr>
                    </w:pPr>
                    <w:r>
                      <w:rPr>
                        <w:rFonts w:ascii="Gotham Narrow Bold"/>
                        <w:b/>
                        <w:spacing w:val="-3"/>
                        <w:w w:val="95"/>
                        <w:sz w:val="24"/>
                      </w:rPr>
                      <w:t>2016 </w:t>
                    </w:r>
                    <w:r>
                      <w:rPr>
                        <w:rFonts w:ascii="Gotham Narrow Bold"/>
                        <w:b/>
                        <w:w w:val="95"/>
                        <w:sz w:val="24"/>
                      </w:rPr>
                      <w:t>RANKING </w:t>
                    </w:r>
                    <w:r>
                      <w:rPr>
                        <w:rFonts w:ascii="Gotham Narrow Bold"/>
                        <w:b/>
                        <w:spacing w:val="-4"/>
                        <w:w w:val="95"/>
                        <w:sz w:val="24"/>
                      </w:rPr>
                      <w:t>RESULTS</w:t>
                    </w:r>
                  </w:p>
                </w:txbxContent>
              </v:textbox>
              <w10:wrap type="none"/>
            </v:shape>
            <w10:wrap type="none"/>
          </v:group>
        </w:pict>
      </w:r>
      <w:r>
        <w:rPr/>
        <w:t>The OQP supported the Schools’ annual reviews of undergraduate and postgraduate</w:t>
      </w:r>
    </w:p>
    <w:p>
      <w:pPr>
        <w:pStyle w:val="BodyText"/>
        <w:spacing w:line="249" w:lineRule="auto" w:before="71"/>
        <w:ind w:left="191" w:right="523"/>
      </w:pPr>
      <w:r>
        <w:rPr/>
        <w:br w:type="column"/>
      </w:r>
      <w:r>
        <w:rPr/>
        <w:t>courses by providing performance data. This process identifies course-related issues</w:t>
      </w:r>
      <w:r>
        <w:rPr>
          <w:spacing w:val="-13"/>
        </w:rPr>
        <w:t> </w:t>
      </w:r>
      <w:r>
        <w:rPr/>
        <w:t>and</w:t>
      </w:r>
      <w:r>
        <w:rPr>
          <w:spacing w:val="-13"/>
        </w:rPr>
        <w:t> </w:t>
      </w:r>
      <w:r>
        <w:rPr/>
        <w:t>reports</w:t>
      </w:r>
      <w:r>
        <w:rPr>
          <w:spacing w:val="-13"/>
        </w:rPr>
        <w:t> </w:t>
      </w:r>
      <w:r>
        <w:rPr/>
        <w:t>on</w:t>
      </w:r>
      <w:r>
        <w:rPr>
          <w:spacing w:val="-13"/>
        </w:rPr>
        <w:t> </w:t>
      </w:r>
      <w:r>
        <w:rPr/>
        <w:t>programs</w:t>
      </w:r>
      <w:r>
        <w:rPr>
          <w:spacing w:val="-13"/>
        </w:rPr>
        <w:t> </w:t>
      </w:r>
      <w:r>
        <w:rPr/>
        <w:t>and</w:t>
      </w:r>
      <w:r>
        <w:rPr>
          <w:spacing w:val="-13"/>
        </w:rPr>
        <w:t> </w:t>
      </w:r>
      <w:r>
        <w:rPr/>
        <w:t>quality improvement</w:t>
      </w:r>
      <w:r>
        <w:rPr>
          <w:spacing w:val="-19"/>
        </w:rPr>
        <w:t> </w:t>
      </w:r>
      <w:r>
        <w:rPr/>
        <w:t>initiatives</w:t>
      </w:r>
      <w:r>
        <w:rPr>
          <w:spacing w:val="-19"/>
        </w:rPr>
        <w:t> </w:t>
      </w:r>
      <w:r>
        <w:rPr/>
        <w:t>introduced</w:t>
      </w:r>
      <w:r>
        <w:rPr>
          <w:spacing w:val="-19"/>
        </w:rPr>
        <w:t> </w:t>
      </w:r>
      <w:r>
        <w:rPr/>
        <w:t>at</w:t>
      </w:r>
      <w:r>
        <w:rPr>
          <w:spacing w:val="-19"/>
        </w:rPr>
        <w:t> </w:t>
      </w:r>
      <w:r>
        <w:rPr/>
        <w:t>the</w:t>
      </w:r>
    </w:p>
    <w:p>
      <w:pPr>
        <w:pStyle w:val="BodyText"/>
        <w:spacing w:line="249" w:lineRule="auto"/>
        <w:ind w:left="191" w:right="337"/>
      </w:pPr>
      <w:r>
        <w:rPr/>
        <w:t>Schools to improve KPIs. The DVCA oversees the annual review process and reports</w:t>
      </w:r>
    </w:p>
    <w:p>
      <w:pPr>
        <w:pStyle w:val="BodyText"/>
        <w:spacing w:line="192" w:lineRule="exact"/>
        <w:ind w:left="191" w:right="523"/>
      </w:pPr>
      <w:r>
        <w:rPr/>
        <w:t>to the Senate Education Committee.</w:t>
      </w:r>
    </w:p>
    <w:p>
      <w:pPr>
        <w:pStyle w:val="BodyText"/>
        <w:spacing w:before="3"/>
        <w:rPr>
          <w:sz w:val="13"/>
        </w:rPr>
      </w:pPr>
    </w:p>
    <w:p>
      <w:pPr>
        <w:pStyle w:val="BodyText"/>
        <w:spacing w:line="249" w:lineRule="auto"/>
        <w:ind w:left="191" w:right="546"/>
      </w:pPr>
      <w:r>
        <w:rPr/>
        <w:t>The OQP also supports student load planning</w:t>
      </w:r>
      <w:r>
        <w:rPr>
          <w:spacing w:val="-34"/>
        </w:rPr>
        <w:t> </w:t>
      </w:r>
      <w:r>
        <w:rPr/>
        <w:t>and</w:t>
      </w:r>
      <w:r>
        <w:rPr>
          <w:spacing w:val="-34"/>
        </w:rPr>
        <w:t> </w:t>
      </w:r>
      <w:r>
        <w:rPr/>
        <w:t>provides</w:t>
      </w:r>
      <w:r>
        <w:rPr>
          <w:spacing w:val="-34"/>
        </w:rPr>
        <w:t> </w:t>
      </w:r>
      <w:r>
        <w:rPr/>
        <w:t>strategic</w:t>
      </w:r>
      <w:r>
        <w:rPr>
          <w:spacing w:val="-34"/>
        </w:rPr>
        <w:t> </w:t>
      </w:r>
      <w:r>
        <w:rPr/>
        <w:t>information, analysis and advice, business intelligence and</w:t>
      </w:r>
      <w:r>
        <w:rPr>
          <w:spacing w:val="-31"/>
        </w:rPr>
        <w:t> </w:t>
      </w:r>
      <w:r>
        <w:rPr/>
        <w:t>institutional</w:t>
      </w:r>
      <w:r>
        <w:rPr>
          <w:spacing w:val="-31"/>
        </w:rPr>
        <w:t> </w:t>
      </w:r>
      <w:r>
        <w:rPr/>
        <w:t>survey</w:t>
      </w:r>
      <w:r>
        <w:rPr>
          <w:spacing w:val="-31"/>
        </w:rPr>
        <w:t> </w:t>
      </w:r>
      <w:r>
        <w:rPr/>
        <w:t>services</w:t>
      </w:r>
      <w:r>
        <w:rPr>
          <w:spacing w:val="-31"/>
        </w:rPr>
        <w:t> </w:t>
      </w:r>
      <w:r>
        <w:rPr/>
        <w:t>for</w:t>
      </w:r>
      <w:r>
        <w:rPr>
          <w:spacing w:val="-31"/>
        </w:rPr>
        <w:t> </w:t>
      </w:r>
      <w:r>
        <w:rPr/>
        <w:t>the</w:t>
      </w:r>
    </w:p>
    <w:p>
      <w:pPr>
        <w:pStyle w:val="BodyText"/>
        <w:spacing w:line="249" w:lineRule="auto"/>
        <w:ind w:left="191" w:right="422"/>
      </w:pPr>
      <w:r>
        <w:rPr>
          <w:spacing w:val="-1"/>
          <w:w w:val="95"/>
        </w:rPr>
        <w:t>University.</w:t>
      </w:r>
      <w:r>
        <w:rPr>
          <w:spacing w:val="-10"/>
          <w:w w:val="95"/>
        </w:rPr>
        <w:t> </w:t>
      </w:r>
      <w:r>
        <w:rPr>
          <w:w w:val="80"/>
        </w:rPr>
        <w:t>In</w:t>
      </w:r>
      <w:r>
        <w:rPr>
          <w:spacing w:val="-3"/>
          <w:w w:val="80"/>
        </w:rPr>
        <w:t> </w:t>
      </w:r>
      <w:r>
        <w:rPr>
          <w:w w:val="85"/>
        </w:rPr>
        <w:t>2016,</w:t>
      </w:r>
      <w:r>
        <w:rPr>
          <w:spacing w:val="-5"/>
          <w:w w:val="85"/>
        </w:rPr>
        <w:t> </w:t>
      </w:r>
      <w:r>
        <w:rPr>
          <w:w w:val="97"/>
        </w:rPr>
        <w:t>the</w:t>
      </w:r>
      <w:r>
        <w:rPr>
          <w:spacing w:val="-11"/>
          <w:w w:val="97"/>
        </w:rPr>
        <w:t> </w:t>
      </w:r>
      <w:r>
        <w:rPr>
          <w:spacing w:val="1"/>
          <w:w w:val="102"/>
        </w:rPr>
        <w:t>OQP</w:t>
      </w:r>
      <w:r>
        <w:rPr>
          <w:spacing w:val="-13"/>
          <w:w w:val="102"/>
        </w:rPr>
        <w:t> </w:t>
      </w:r>
      <w:r>
        <w:rPr>
          <w:w w:val="98"/>
        </w:rPr>
        <w:t>began</w:t>
      </w:r>
      <w:r>
        <w:rPr>
          <w:spacing w:val="-12"/>
          <w:w w:val="98"/>
        </w:rPr>
        <w:t> </w:t>
      </w:r>
      <w:r>
        <w:rPr>
          <w:w w:val="94"/>
        </w:rPr>
        <w:t>a</w:t>
      </w:r>
      <w:r>
        <w:rPr>
          <w:spacing w:val="-10"/>
          <w:w w:val="94"/>
        </w:rPr>
        <w:t> </w:t>
      </w:r>
      <w:r>
        <w:rPr>
          <w:spacing w:val="-1"/>
          <w:w w:val="98"/>
        </w:rPr>
        <w:t>program</w:t>
      </w:r>
      <w:r>
        <w:rPr>
          <w:w w:val="98"/>
        </w:rPr>
        <w:t> </w:t>
      </w:r>
      <w:r>
        <w:rPr/>
        <w:t>of enhanced reporting on student load. It delivers</w:t>
      </w:r>
      <w:r>
        <w:rPr>
          <w:spacing w:val="-25"/>
        </w:rPr>
        <w:t> </w:t>
      </w:r>
      <w:r>
        <w:rPr/>
        <w:t>a</w:t>
      </w:r>
      <w:r>
        <w:rPr>
          <w:spacing w:val="-25"/>
        </w:rPr>
        <w:t> </w:t>
      </w:r>
      <w:r>
        <w:rPr/>
        <w:t>reporting</w:t>
      </w:r>
      <w:r>
        <w:rPr>
          <w:spacing w:val="-25"/>
        </w:rPr>
        <w:t> </w:t>
      </w:r>
      <w:r>
        <w:rPr/>
        <w:t>framework</w:t>
      </w:r>
      <w:r>
        <w:rPr>
          <w:spacing w:val="-25"/>
        </w:rPr>
        <w:t> </w:t>
      </w:r>
      <w:r>
        <w:rPr/>
        <w:t>and</w:t>
      </w:r>
      <w:r>
        <w:rPr>
          <w:spacing w:val="-25"/>
        </w:rPr>
        <w:t> </w:t>
      </w:r>
      <w:r>
        <w:rPr/>
        <w:t>calendar of reporting outputs to the executive leadership</w:t>
      </w:r>
      <w:r>
        <w:rPr>
          <w:spacing w:val="-25"/>
        </w:rPr>
        <w:t> </w:t>
      </w:r>
      <w:r>
        <w:rPr/>
        <w:t>group</w:t>
      </w:r>
      <w:r>
        <w:rPr>
          <w:spacing w:val="-25"/>
        </w:rPr>
        <w:t> </w:t>
      </w:r>
      <w:r>
        <w:rPr/>
        <w:t>and</w:t>
      </w:r>
      <w:r>
        <w:rPr>
          <w:spacing w:val="-25"/>
        </w:rPr>
        <w:t> </w:t>
      </w:r>
      <w:r>
        <w:rPr/>
        <w:t>committees</w:t>
      </w:r>
      <w:r>
        <w:rPr>
          <w:spacing w:val="-25"/>
        </w:rPr>
        <w:t> </w:t>
      </w:r>
      <w:r>
        <w:rPr/>
        <w:t>to</w:t>
      </w:r>
      <w:r>
        <w:rPr>
          <w:spacing w:val="-25"/>
        </w:rPr>
        <w:t> </w:t>
      </w:r>
      <w:r>
        <w:rPr/>
        <w:t>improve decision making. It has also developed an information portal and information analysis tools</w:t>
      </w:r>
      <w:r>
        <w:rPr>
          <w:spacing w:val="-27"/>
        </w:rPr>
        <w:t> </w:t>
      </w:r>
      <w:r>
        <w:rPr/>
        <w:t>to</w:t>
      </w:r>
      <w:r>
        <w:rPr>
          <w:spacing w:val="-27"/>
        </w:rPr>
        <w:t> </w:t>
      </w:r>
      <w:r>
        <w:rPr/>
        <w:t>support</w:t>
      </w:r>
      <w:r>
        <w:rPr>
          <w:spacing w:val="-27"/>
        </w:rPr>
        <w:t> </w:t>
      </w:r>
      <w:r>
        <w:rPr/>
        <w:t>Schools</w:t>
      </w:r>
      <w:r>
        <w:rPr>
          <w:spacing w:val="-27"/>
        </w:rPr>
        <w:t> </w:t>
      </w:r>
      <w:r>
        <w:rPr/>
        <w:t>and</w:t>
      </w:r>
      <w:r>
        <w:rPr>
          <w:spacing w:val="-27"/>
        </w:rPr>
        <w:t> </w:t>
      </w:r>
      <w:r>
        <w:rPr/>
        <w:t>Divisions.</w:t>
      </w:r>
    </w:p>
    <w:p>
      <w:pPr>
        <w:pStyle w:val="BodyText"/>
        <w:spacing w:line="249" w:lineRule="auto"/>
        <w:ind w:left="191" w:right="337"/>
      </w:pPr>
      <w:r>
        <w:rPr/>
        <w:t>The student load planning model has been successfully migrated to an online software environment. It includes a new statistical modelling</w:t>
      </w:r>
      <w:r>
        <w:rPr>
          <w:spacing w:val="-26"/>
        </w:rPr>
        <w:t> </w:t>
      </w:r>
      <w:r>
        <w:rPr/>
        <w:t>process</w:t>
      </w:r>
      <w:r>
        <w:rPr>
          <w:spacing w:val="-26"/>
        </w:rPr>
        <w:t> </w:t>
      </w:r>
      <w:r>
        <w:rPr/>
        <w:t>that</w:t>
      </w:r>
      <w:r>
        <w:rPr>
          <w:spacing w:val="-26"/>
        </w:rPr>
        <w:t> </w:t>
      </w:r>
      <w:r>
        <w:rPr/>
        <w:t>forecasts</w:t>
      </w:r>
      <w:r>
        <w:rPr>
          <w:spacing w:val="-26"/>
        </w:rPr>
        <w:t> </w:t>
      </w:r>
      <w:r>
        <w:rPr/>
        <w:t>student</w:t>
      </w:r>
      <w:r>
        <w:rPr>
          <w:spacing w:val="-26"/>
        </w:rPr>
        <w:t> </w:t>
      </w:r>
      <w:r>
        <w:rPr/>
        <w:t>loads </w:t>
      </w:r>
      <w:r>
        <w:rPr>
          <w:w w:val="95"/>
        </w:rPr>
        <w:t>and provides enhanced scenario</w:t>
      </w:r>
      <w:r>
        <w:rPr>
          <w:spacing w:val="-10"/>
          <w:w w:val="95"/>
        </w:rPr>
        <w:t> </w:t>
      </w:r>
      <w:r>
        <w:rPr>
          <w:w w:val="95"/>
        </w:rPr>
        <w:t>analysis.</w:t>
      </w:r>
    </w:p>
    <w:p>
      <w:pPr>
        <w:pStyle w:val="BodyText"/>
        <w:spacing w:before="7"/>
        <w:rPr>
          <w:sz w:val="12"/>
        </w:rPr>
      </w:pPr>
    </w:p>
    <w:p>
      <w:pPr>
        <w:pStyle w:val="BodyText"/>
        <w:spacing w:line="249" w:lineRule="auto"/>
        <w:ind w:left="191" w:right="608"/>
      </w:pPr>
      <w:r>
        <w:rPr/>
        <w:t>The Office advised the Lead Dean for Global</w:t>
      </w:r>
      <w:r>
        <w:rPr>
          <w:spacing w:val="-20"/>
        </w:rPr>
        <w:t> </w:t>
      </w:r>
      <w:r>
        <w:rPr/>
        <w:t>Rankings,</w:t>
      </w:r>
      <w:r>
        <w:rPr>
          <w:spacing w:val="-20"/>
        </w:rPr>
        <w:t> </w:t>
      </w:r>
      <w:r>
        <w:rPr/>
        <w:t>Professor</w:t>
      </w:r>
      <w:r>
        <w:rPr>
          <w:spacing w:val="-20"/>
        </w:rPr>
        <w:t> </w:t>
      </w:r>
      <w:r>
        <w:rPr/>
        <w:t>Kevin</w:t>
      </w:r>
      <w:r>
        <w:rPr>
          <w:spacing w:val="-20"/>
        </w:rPr>
        <w:t> </w:t>
      </w:r>
      <w:r>
        <w:rPr/>
        <w:t>Dunn,</w:t>
      </w:r>
      <w:r>
        <w:rPr>
          <w:spacing w:val="-20"/>
        </w:rPr>
        <w:t> </w:t>
      </w:r>
      <w:r>
        <w:rPr/>
        <w:t>on ranking</w:t>
      </w:r>
      <w:r>
        <w:rPr>
          <w:spacing w:val="-17"/>
        </w:rPr>
        <w:t> </w:t>
      </w:r>
      <w:r>
        <w:rPr/>
        <w:t>outcomes,</w:t>
      </w:r>
      <w:r>
        <w:rPr>
          <w:spacing w:val="-17"/>
        </w:rPr>
        <w:t> </w:t>
      </w:r>
      <w:r>
        <w:rPr/>
        <w:t>standing</w:t>
      </w:r>
      <w:r>
        <w:rPr>
          <w:spacing w:val="-17"/>
        </w:rPr>
        <w:t> </w:t>
      </w:r>
      <w:r>
        <w:rPr/>
        <w:t>and</w:t>
      </w:r>
      <w:r>
        <w:rPr>
          <w:spacing w:val="-17"/>
        </w:rPr>
        <w:t> </w:t>
      </w:r>
      <w:r>
        <w:rPr/>
        <w:t>quality</w:t>
      </w:r>
    </w:p>
    <w:p>
      <w:pPr>
        <w:pStyle w:val="BodyText"/>
        <w:spacing w:line="249" w:lineRule="auto"/>
        <w:ind w:left="191" w:right="613"/>
      </w:pPr>
      <w:r>
        <w:rPr/>
        <w:t>of rankings, to identify opportunities to improve the University’s performance. The OQP also enhanced the University’s data collection and submission processes for the various rankings organisations.</w:t>
      </w:r>
    </w:p>
    <w:p>
      <w:pPr>
        <w:spacing w:after="0" w:line="249" w:lineRule="auto"/>
        <w:sectPr>
          <w:type w:val="continuous"/>
          <w:pgSz w:w="11910" w:h="16840"/>
          <w:pgMar w:top="1580" w:bottom="280" w:left="580" w:right="580"/>
          <w:cols w:num="3" w:equalWidth="0">
            <w:col w:w="3539" w:space="40"/>
            <w:col w:w="3396" w:space="40"/>
            <w:col w:w="3735"/>
          </w:cols>
        </w:sectPr>
      </w:pPr>
    </w:p>
    <w:p>
      <w:pPr>
        <w:pStyle w:val="BodyText"/>
        <w:rPr>
          <w:sz w:val="20"/>
        </w:rPr>
      </w:pPr>
    </w:p>
    <w:p>
      <w:pPr>
        <w:pStyle w:val="BodyText"/>
        <w:rPr>
          <w:sz w:val="20"/>
        </w:rPr>
      </w:pPr>
    </w:p>
    <w:p>
      <w:pPr>
        <w:pStyle w:val="BodyText"/>
        <w:spacing w:before="9"/>
        <w:rPr>
          <w:sz w:val="12"/>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624"/>
        <w:gridCol w:w="624"/>
        <w:gridCol w:w="680"/>
        <w:gridCol w:w="624"/>
        <w:gridCol w:w="794"/>
        <w:gridCol w:w="1077"/>
        <w:gridCol w:w="680"/>
        <w:gridCol w:w="680"/>
        <w:gridCol w:w="680"/>
        <w:gridCol w:w="907"/>
        <w:gridCol w:w="1020"/>
        <w:gridCol w:w="964"/>
        <w:gridCol w:w="737"/>
      </w:tblGrid>
      <w:tr>
        <w:trPr>
          <w:trHeight w:val="1059" w:hRule="exact"/>
        </w:trPr>
        <w:tc>
          <w:tcPr>
            <w:tcW w:w="1247" w:type="dxa"/>
            <w:gridSpan w:val="2"/>
            <w:tcBorders>
              <w:top w:val="nil"/>
              <w:left w:val="nil"/>
              <w:bottom w:val="nil"/>
              <w:right w:val="single" w:sz="4" w:space="0" w:color="FFFFFF"/>
            </w:tcBorders>
            <w:shd w:val="clear" w:color="auto" w:fill="949290"/>
          </w:tcPr>
          <w:p>
            <w:pPr>
              <w:pStyle w:val="TableParagraph"/>
              <w:spacing w:line="256" w:lineRule="auto" w:before="91"/>
              <w:ind w:left="156" w:right="149"/>
              <w:jc w:val="center"/>
              <w:rPr>
                <w:rFonts w:ascii="Gotham Narrow Bold"/>
                <w:b/>
                <w:sz w:val="14"/>
              </w:rPr>
            </w:pPr>
            <w:r>
              <w:rPr>
                <w:rFonts w:ascii="Gotham Narrow Bold"/>
                <w:b/>
                <w:color w:val="FFFFFF"/>
                <w:w w:val="95"/>
                <w:sz w:val="14"/>
              </w:rPr>
              <w:t>TIMES HIGHER </w:t>
            </w:r>
            <w:r>
              <w:rPr>
                <w:rFonts w:ascii="Gotham Narrow Bold"/>
                <w:b/>
                <w:color w:val="FFFFFF"/>
                <w:sz w:val="14"/>
              </w:rPr>
              <w:t>EDUCATION WORLD UNIVERSITY RANKINGS</w:t>
            </w:r>
          </w:p>
        </w:tc>
        <w:tc>
          <w:tcPr>
            <w:tcW w:w="6123" w:type="dxa"/>
            <w:gridSpan w:val="8"/>
            <w:tcBorders>
              <w:top w:val="nil"/>
              <w:left w:val="single" w:sz="4" w:space="0" w:color="FFFFFF"/>
              <w:bottom w:val="nil"/>
              <w:right w:val="single" w:sz="4" w:space="0" w:color="FFFFFF"/>
            </w:tcBorders>
            <w:shd w:val="clear" w:color="auto" w:fill="949290"/>
          </w:tcPr>
          <w:p>
            <w:pPr>
              <w:pStyle w:val="TableParagraph"/>
              <w:spacing w:before="0"/>
              <w:jc w:val="left"/>
              <w:rPr>
                <w:sz w:val="14"/>
              </w:rPr>
            </w:pPr>
          </w:p>
          <w:p>
            <w:pPr>
              <w:pStyle w:val="TableParagraph"/>
              <w:spacing w:before="11"/>
              <w:jc w:val="left"/>
              <w:rPr>
                <w:sz w:val="15"/>
              </w:rPr>
            </w:pPr>
          </w:p>
          <w:p>
            <w:pPr>
              <w:pStyle w:val="TableParagraph"/>
              <w:spacing w:line="256" w:lineRule="auto" w:before="0"/>
              <w:ind w:left="2021" w:right="1694" w:firstLine="170"/>
              <w:jc w:val="left"/>
              <w:rPr>
                <w:rFonts w:ascii="Gotham Narrow Bold"/>
                <w:b/>
                <w:sz w:val="14"/>
              </w:rPr>
            </w:pPr>
            <w:r>
              <w:rPr>
                <w:rFonts w:ascii="Gotham Narrow Bold"/>
                <w:b/>
                <w:color w:val="FFFFFF"/>
                <w:sz w:val="14"/>
              </w:rPr>
              <w:t>QUACQUARELLI SYMONDS </w:t>
            </w:r>
            <w:r>
              <w:rPr>
                <w:rFonts w:ascii="Gotham Narrow Bold"/>
                <w:b/>
                <w:color w:val="FFFFFF"/>
                <w:w w:val="95"/>
                <w:sz w:val="14"/>
              </w:rPr>
              <w:t>WORLD UNIVERSITY RANKINGS</w:t>
            </w:r>
          </w:p>
        </w:tc>
        <w:tc>
          <w:tcPr>
            <w:tcW w:w="1020" w:type="dxa"/>
            <w:tcBorders>
              <w:top w:val="nil"/>
              <w:left w:val="single" w:sz="4" w:space="0" w:color="FFFFFF"/>
              <w:bottom w:val="nil"/>
              <w:right w:val="single" w:sz="4" w:space="0" w:color="FFFFFF"/>
            </w:tcBorders>
            <w:shd w:val="clear" w:color="auto" w:fill="949290"/>
          </w:tcPr>
          <w:p>
            <w:pPr>
              <w:pStyle w:val="TableParagraph"/>
              <w:spacing w:before="0"/>
              <w:jc w:val="left"/>
              <w:rPr>
                <w:sz w:val="15"/>
              </w:rPr>
            </w:pPr>
          </w:p>
          <w:p>
            <w:pPr>
              <w:pStyle w:val="TableParagraph"/>
              <w:spacing w:line="256" w:lineRule="auto" w:before="0"/>
              <w:ind w:left="147" w:right="145" w:firstLine="5"/>
              <w:jc w:val="both"/>
              <w:rPr>
                <w:rFonts w:ascii="Gotham Narrow Bold"/>
                <w:b/>
                <w:sz w:val="14"/>
              </w:rPr>
            </w:pPr>
            <w:r>
              <w:rPr>
                <w:rFonts w:ascii="Gotham Narrow Bold"/>
                <w:b/>
                <w:color w:val="FFFFFF"/>
                <w:spacing w:val="2"/>
                <w:w w:val="95"/>
                <w:sz w:val="14"/>
              </w:rPr>
              <w:t>ACADEMIC </w:t>
            </w:r>
            <w:r>
              <w:rPr>
                <w:rFonts w:ascii="Gotham Narrow Bold"/>
                <w:b/>
                <w:color w:val="FFFFFF"/>
                <w:spacing w:val="3"/>
                <w:sz w:val="14"/>
              </w:rPr>
              <w:t>RANKING </w:t>
            </w:r>
            <w:r>
              <w:rPr>
                <w:rFonts w:ascii="Gotham Narrow Bold"/>
                <w:b/>
                <w:color w:val="FFFFFF"/>
                <w:sz w:val="14"/>
              </w:rPr>
              <w:t>OF</w:t>
            </w:r>
            <w:r>
              <w:rPr>
                <w:rFonts w:ascii="Gotham Narrow Bold"/>
                <w:b/>
                <w:color w:val="FFFFFF"/>
                <w:spacing w:val="-20"/>
                <w:sz w:val="14"/>
              </w:rPr>
              <w:t> </w:t>
            </w:r>
            <w:r>
              <w:rPr>
                <w:rFonts w:ascii="Gotham Narrow Bold"/>
                <w:b/>
                <w:color w:val="FFFFFF"/>
                <w:sz w:val="14"/>
              </w:rPr>
              <w:t>WORLD</w:t>
            </w:r>
          </w:p>
          <w:p>
            <w:pPr>
              <w:pStyle w:val="TableParagraph"/>
              <w:spacing w:before="0"/>
              <w:ind w:left="46"/>
              <w:jc w:val="left"/>
              <w:rPr>
                <w:rFonts w:ascii="Gotham Narrow Bold"/>
                <w:b/>
                <w:sz w:val="14"/>
              </w:rPr>
            </w:pPr>
            <w:r>
              <w:rPr>
                <w:rFonts w:ascii="Gotham Narrow Bold"/>
                <w:b/>
                <w:color w:val="FFFFFF"/>
                <w:w w:val="95"/>
                <w:sz w:val="14"/>
              </w:rPr>
              <w:t>UNIVERSITIES</w:t>
            </w:r>
          </w:p>
        </w:tc>
        <w:tc>
          <w:tcPr>
            <w:tcW w:w="1701" w:type="dxa"/>
            <w:gridSpan w:val="2"/>
            <w:tcBorders>
              <w:top w:val="nil"/>
              <w:left w:val="single" w:sz="4" w:space="0" w:color="FFFFFF"/>
              <w:bottom w:val="nil"/>
              <w:right w:val="nil"/>
            </w:tcBorders>
            <w:shd w:val="clear" w:color="auto" w:fill="949290"/>
          </w:tcPr>
          <w:p>
            <w:pPr>
              <w:pStyle w:val="TableParagraph"/>
              <w:spacing w:before="5"/>
              <w:jc w:val="left"/>
              <w:rPr>
                <w:sz w:val="22"/>
              </w:rPr>
            </w:pPr>
          </w:p>
          <w:p>
            <w:pPr>
              <w:pStyle w:val="TableParagraph"/>
              <w:tabs>
                <w:tab w:pos="1132" w:val="left" w:leader="none"/>
              </w:tabs>
              <w:spacing w:line="219" w:lineRule="exact" w:before="1"/>
              <w:ind w:left="123" w:right="51"/>
              <w:jc w:val="left"/>
              <w:rPr>
                <w:rFonts w:ascii="Gotham Narrow Bold"/>
                <w:b/>
                <w:sz w:val="14"/>
              </w:rPr>
            </w:pPr>
            <w:r>
              <w:rPr>
                <w:rFonts w:ascii="Gotham Narrow Bold"/>
                <w:b/>
                <w:color w:val="FFFFFF"/>
                <w:spacing w:val="2"/>
                <w:sz w:val="14"/>
              </w:rPr>
              <w:t>SHANGHAI</w:t>
              <w:tab/>
            </w:r>
            <w:r>
              <w:rPr>
                <w:rFonts w:ascii="Gotham Narrow Bold"/>
                <w:b/>
                <w:color w:val="FFFFFF"/>
                <w:spacing w:val="3"/>
                <w:position w:val="9"/>
                <w:sz w:val="14"/>
              </w:rPr>
              <w:t>CWTS</w:t>
            </w:r>
          </w:p>
          <w:p>
            <w:pPr>
              <w:pStyle w:val="TableParagraph"/>
              <w:tabs>
                <w:tab w:pos="1085" w:val="left" w:leader="none"/>
              </w:tabs>
              <w:spacing w:line="129" w:lineRule="auto" w:before="23"/>
              <w:ind w:left="1016" w:right="51" w:hanging="851"/>
              <w:jc w:val="left"/>
              <w:rPr>
                <w:rFonts w:ascii="Gotham Narrow Bold"/>
                <w:b/>
                <w:sz w:val="14"/>
              </w:rPr>
            </w:pPr>
            <w:r>
              <w:rPr>
                <w:rFonts w:ascii="Gotham Narrow Bold"/>
                <w:b/>
                <w:color w:val="FFFFFF"/>
                <w:spacing w:val="3"/>
                <w:sz w:val="14"/>
              </w:rPr>
              <w:t>RANKING</w:t>
              <w:tab/>
              <w:tab/>
            </w:r>
            <w:r>
              <w:rPr>
                <w:rFonts w:ascii="Gotham Narrow Bold"/>
                <w:b/>
                <w:color w:val="FFFFFF"/>
                <w:spacing w:val="2"/>
                <w:position w:val="9"/>
                <w:sz w:val="14"/>
              </w:rPr>
              <w:t>LEIDEN </w:t>
            </w:r>
            <w:r>
              <w:rPr>
                <w:rFonts w:ascii="Gotham Narrow Bold"/>
                <w:b/>
                <w:color w:val="FFFFFF"/>
                <w:spacing w:val="3"/>
                <w:w w:val="95"/>
                <w:sz w:val="14"/>
              </w:rPr>
              <w:t>RANKING</w:t>
            </w:r>
          </w:p>
        </w:tc>
      </w:tr>
      <w:tr>
        <w:trPr>
          <w:trHeight w:val="519" w:hRule="exact"/>
        </w:trPr>
        <w:tc>
          <w:tcPr>
            <w:tcW w:w="624" w:type="dxa"/>
            <w:vMerge w:val="restart"/>
            <w:tcBorders>
              <w:top w:val="nil"/>
            </w:tcBorders>
            <w:shd w:val="clear" w:color="auto" w:fill="E9E9E9"/>
          </w:tcPr>
          <w:p>
            <w:pPr>
              <w:pStyle w:val="TableParagraph"/>
              <w:spacing w:before="0"/>
              <w:jc w:val="left"/>
              <w:rPr>
                <w:sz w:val="14"/>
              </w:rPr>
            </w:pPr>
          </w:p>
          <w:p>
            <w:pPr>
              <w:pStyle w:val="TableParagraph"/>
              <w:spacing w:before="7"/>
              <w:jc w:val="left"/>
              <w:rPr>
                <w:sz w:val="14"/>
              </w:rPr>
            </w:pPr>
          </w:p>
          <w:p>
            <w:pPr>
              <w:pStyle w:val="TableParagraph"/>
              <w:spacing w:line="256" w:lineRule="auto" w:before="0"/>
              <w:ind w:left="46" w:right="25" w:firstLine="73"/>
              <w:jc w:val="left"/>
              <w:rPr>
                <w:sz w:val="14"/>
              </w:rPr>
            </w:pPr>
            <w:r>
              <w:rPr>
                <w:sz w:val="14"/>
              </w:rPr>
              <w:t>World rankings</w:t>
            </w:r>
          </w:p>
        </w:tc>
        <w:tc>
          <w:tcPr>
            <w:tcW w:w="624" w:type="dxa"/>
            <w:vMerge w:val="restart"/>
            <w:tcBorders>
              <w:top w:val="nil"/>
            </w:tcBorders>
            <w:shd w:val="clear" w:color="auto" w:fill="E9E9E9"/>
          </w:tcPr>
          <w:p>
            <w:pPr>
              <w:pStyle w:val="TableParagraph"/>
              <w:spacing w:before="0"/>
              <w:jc w:val="left"/>
              <w:rPr>
                <w:sz w:val="14"/>
              </w:rPr>
            </w:pPr>
          </w:p>
          <w:p>
            <w:pPr>
              <w:pStyle w:val="TableParagraph"/>
              <w:spacing w:before="86"/>
              <w:ind w:left="73" w:right="25"/>
              <w:jc w:val="left"/>
              <w:rPr>
                <w:sz w:val="14"/>
              </w:rPr>
            </w:pPr>
            <w:r>
              <w:rPr>
                <w:spacing w:val="-7"/>
                <w:w w:val="92"/>
                <w:sz w:val="14"/>
              </w:rPr>
              <w:t>T</w:t>
            </w:r>
            <w:r>
              <w:rPr>
                <w:spacing w:val="2"/>
                <w:w w:val="100"/>
                <w:sz w:val="14"/>
              </w:rPr>
              <w:t>o</w:t>
            </w:r>
            <w:r>
              <w:rPr>
                <w:w w:val="102"/>
                <w:sz w:val="14"/>
              </w:rPr>
              <w:t>p</w:t>
            </w:r>
            <w:r>
              <w:rPr>
                <w:spacing w:val="-11"/>
                <w:sz w:val="14"/>
              </w:rPr>
              <w:t> </w:t>
            </w:r>
            <w:r>
              <w:rPr>
                <w:spacing w:val="3"/>
                <w:w w:val="54"/>
                <w:sz w:val="14"/>
              </w:rPr>
              <w:t>1</w:t>
            </w:r>
            <w:r>
              <w:rPr>
                <w:spacing w:val="3"/>
                <w:w w:val="95"/>
                <w:sz w:val="14"/>
              </w:rPr>
              <w:t>5</w:t>
            </w:r>
            <w:r>
              <w:rPr>
                <w:w w:val="111"/>
                <w:sz w:val="14"/>
              </w:rPr>
              <w:t>0</w:t>
            </w:r>
          </w:p>
          <w:p>
            <w:pPr>
              <w:pStyle w:val="TableParagraph"/>
              <w:spacing w:line="256" w:lineRule="auto" w:before="11"/>
              <w:ind w:left="46" w:right="10" w:hanging="17"/>
              <w:jc w:val="left"/>
              <w:rPr>
                <w:sz w:val="14"/>
              </w:rPr>
            </w:pPr>
            <w:r>
              <w:rPr>
                <w:sz w:val="14"/>
              </w:rPr>
              <w:t>under 50 rankings</w:t>
            </w:r>
          </w:p>
        </w:tc>
        <w:tc>
          <w:tcPr>
            <w:tcW w:w="680" w:type="dxa"/>
            <w:vMerge w:val="restart"/>
            <w:tcBorders>
              <w:top w:val="nil"/>
            </w:tcBorders>
            <w:shd w:val="clear" w:color="auto" w:fill="E9E9E9"/>
          </w:tcPr>
          <w:p>
            <w:pPr>
              <w:pStyle w:val="TableParagraph"/>
              <w:spacing w:before="0"/>
              <w:jc w:val="left"/>
              <w:rPr>
                <w:sz w:val="14"/>
              </w:rPr>
            </w:pPr>
          </w:p>
          <w:p>
            <w:pPr>
              <w:pStyle w:val="TableParagraph"/>
              <w:spacing w:before="7"/>
              <w:jc w:val="left"/>
              <w:rPr>
                <w:sz w:val="14"/>
              </w:rPr>
            </w:pPr>
          </w:p>
          <w:p>
            <w:pPr>
              <w:pStyle w:val="TableParagraph"/>
              <w:spacing w:line="256" w:lineRule="auto" w:before="0"/>
              <w:ind w:left="74" w:right="54" w:firstLine="73"/>
              <w:jc w:val="left"/>
              <w:rPr>
                <w:sz w:val="14"/>
              </w:rPr>
            </w:pPr>
            <w:r>
              <w:rPr>
                <w:sz w:val="14"/>
              </w:rPr>
              <w:t>World rankings</w:t>
            </w:r>
          </w:p>
        </w:tc>
        <w:tc>
          <w:tcPr>
            <w:tcW w:w="4535" w:type="dxa"/>
            <w:gridSpan w:val="6"/>
            <w:tcBorders>
              <w:top w:val="nil"/>
            </w:tcBorders>
            <w:shd w:val="clear" w:color="auto" w:fill="E9E9E9"/>
          </w:tcPr>
          <w:p>
            <w:pPr>
              <w:pStyle w:val="TableParagraph"/>
              <w:spacing w:before="6"/>
              <w:jc w:val="left"/>
              <w:rPr>
                <w:sz w:val="14"/>
              </w:rPr>
            </w:pPr>
          </w:p>
          <w:p>
            <w:pPr>
              <w:pStyle w:val="TableParagraph"/>
              <w:spacing w:before="1"/>
              <w:ind w:left="1731" w:right="1731"/>
              <w:jc w:val="center"/>
              <w:rPr>
                <w:sz w:val="14"/>
              </w:rPr>
            </w:pPr>
            <w:r>
              <w:rPr>
                <w:sz w:val="14"/>
              </w:rPr>
              <w:t>Subject rankings</w:t>
            </w:r>
          </w:p>
        </w:tc>
        <w:tc>
          <w:tcPr>
            <w:tcW w:w="907" w:type="dxa"/>
            <w:tcBorders>
              <w:top w:val="nil"/>
            </w:tcBorders>
            <w:shd w:val="clear" w:color="auto" w:fill="E9E9E9"/>
          </w:tcPr>
          <w:p>
            <w:pPr>
              <w:pStyle w:val="TableParagraph"/>
              <w:spacing w:line="256" w:lineRule="auto" w:before="86"/>
              <w:ind w:left="188" w:right="167" w:firstLine="36"/>
              <w:jc w:val="left"/>
              <w:rPr>
                <w:sz w:val="14"/>
              </w:rPr>
            </w:pPr>
            <w:r>
              <w:rPr>
                <w:sz w:val="14"/>
              </w:rPr>
              <w:t>Faculty rankings</w:t>
            </w:r>
          </w:p>
        </w:tc>
        <w:tc>
          <w:tcPr>
            <w:tcW w:w="1020" w:type="dxa"/>
            <w:vMerge w:val="restart"/>
            <w:tcBorders>
              <w:top w:val="nil"/>
            </w:tcBorders>
            <w:shd w:val="clear" w:color="auto" w:fill="E9E9E9"/>
          </w:tcPr>
          <w:p>
            <w:pPr>
              <w:pStyle w:val="TableParagraph"/>
              <w:spacing w:before="0"/>
              <w:jc w:val="left"/>
              <w:rPr>
                <w:sz w:val="14"/>
              </w:rPr>
            </w:pPr>
          </w:p>
          <w:p>
            <w:pPr>
              <w:pStyle w:val="TableParagraph"/>
              <w:spacing w:before="7"/>
              <w:jc w:val="left"/>
              <w:rPr>
                <w:sz w:val="14"/>
              </w:rPr>
            </w:pPr>
          </w:p>
          <w:p>
            <w:pPr>
              <w:pStyle w:val="TableParagraph"/>
              <w:spacing w:line="256" w:lineRule="auto" w:before="0"/>
              <w:ind w:left="244" w:right="224" w:firstLine="73"/>
              <w:jc w:val="left"/>
              <w:rPr>
                <w:sz w:val="14"/>
              </w:rPr>
            </w:pPr>
            <w:r>
              <w:rPr>
                <w:sz w:val="14"/>
              </w:rPr>
              <w:t>World rankings</w:t>
            </w:r>
          </w:p>
        </w:tc>
        <w:tc>
          <w:tcPr>
            <w:tcW w:w="964" w:type="dxa"/>
            <w:tcBorders>
              <w:top w:val="nil"/>
            </w:tcBorders>
            <w:shd w:val="clear" w:color="auto" w:fill="E9E9E9"/>
          </w:tcPr>
          <w:p>
            <w:pPr>
              <w:pStyle w:val="TableParagraph"/>
              <w:spacing w:line="256" w:lineRule="auto" w:before="86"/>
              <w:ind w:left="216" w:right="196" w:firstLine="29"/>
              <w:jc w:val="left"/>
              <w:rPr>
                <w:sz w:val="14"/>
              </w:rPr>
            </w:pPr>
            <w:r>
              <w:rPr>
                <w:sz w:val="14"/>
              </w:rPr>
              <w:t>Subject rankings</w:t>
            </w:r>
          </w:p>
        </w:tc>
        <w:tc>
          <w:tcPr>
            <w:tcW w:w="737" w:type="dxa"/>
            <w:tcBorders>
              <w:top w:val="nil"/>
            </w:tcBorders>
            <w:shd w:val="clear" w:color="auto" w:fill="E9E9E9"/>
          </w:tcPr>
          <w:p>
            <w:pPr>
              <w:pStyle w:val="TableParagraph"/>
              <w:spacing w:line="256" w:lineRule="auto" w:before="86"/>
              <w:ind w:left="103" w:right="82" w:firstLine="46"/>
              <w:jc w:val="left"/>
              <w:rPr>
                <w:sz w:val="14"/>
              </w:rPr>
            </w:pPr>
            <w:r>
              <w:rPr>
                <w:sz w:val="14"/>
              </w:rPr>
              <w:t>Impact rankings</w:t>
            </w:r>
          </w:p>
        </w:tc>
      </w:tr>
      <w:tr>
        <w:trPr>
          <w:trHeight w:val="519" w:hRule="exact"/>
        </w:trPr>
        <w:tc>
          <w:tcPr>
            <w:tcW w:w="624" w:type="dxa"/>
            <w:vMerge/>
            <w:shd w:val="clear" w:color="auto" w:fill="E9E9E9"/>
          </w:tcPr>
          <w:p>
            <w:pPr/>
          </w:p>
        </w:tc>
        <w:tc>
          <w:tcPr>
            <w:tcW w:w="624" w:type="dxa"/>
            <w:vMerge/>
            <w:shd w:val="clear" w:color="auto" w:fill="E9E9E9"/>
          </w:tcPr>
          <w:p>
            <w:pPr/>
          </w:p>
        </w:tc>
        <w:tc>
          <w:tcPr>
            <w:tcW w:w="680" w:type="dxa"/>
            <w:vMerge/>
            <w:shd w:val="clear" w:color="auto" w:fill="E9E9E9"/>
          </w:tcPr>
          <w:p>
            <w:pPr/>
          </w:p>
        </w:tc>
        <w:tc>
          <w:tcPr>
            <w:tcW w:w="624" w:type="dxa"/>
            <w:shd w:val="clear" w:color="auto" w:fill="E9E9E9"/>
          </w:tcPr>
          <w:p>
            <w:pPr>
              <w:pStyle w:val="TableParagraph"/>
              <w:spacing w:before="2"/>
              <w:jc w:val="left"/>
              <w:rPr>
                <w:sz w:val="14"/>
              </w:rPr>
            </w:pPr>
          </w:p>
          <w:p>
            <w:pPr>
              <w:pStyle w:val="TableParagraph"/>
              <w:spacing w:before="0"/>
              <w:ind w:left="95" w:right="25"/>
              <w:jc w:val="left"/>
              <w:rPr>
                <w:sz w:val="14"/>
              </w:rPr>
            </w:pPr>
            <w:r>
              <w:rPr>
                <w:sz w:val="14"/>
              </w:rPr>
              <w:t>Top 50</w:t>
            </w:r>
          </w:p>
        </w:tc>
        <w:tc>
          <w:tcPr>
            <w:tcW w:w="794" w:type="dxa"/>
            <w:shd w:val="clear" w:color="auto" w:fill="E9E9E9"/>
          </w:tcPr>
          <w:p>
            <w:pPr>
              <w:pStyle w:val="TableParagraph"/>
              <w:spacing w:before="2"/>
              <w:jc w:val="left"/>
              <w:rPr>
                <w:sz w:val="14"/>
              </w:rPr>
            </w:pPr>
          </w:p>
          <w:p>
            <w:pPr>
              <w:pStyle w:val="TableParagraph"/>
              <w:spacing w:before="0"/>
              <w:ind w:left="37" w:right="37"/>
              <w:jc w:val="center"/>
              <w:rPr>
                <w:sz w:val="14"/>
              </w:rPr>
            </w:pPr>
            <w:r>
              <w:rPr>
                <w:spacing w:val="-7"/>
                <w:w w:val="96"/>
                <w:sz w:val="14"/>
              </w:rPr>
              <w:t>T</w:t>
            </w:r>
            <w:r>
              <w:rPr>
                <w:spacing w:val="2"/>
                <w:w w:val="96"/>
                <w:sz w:val="14"/>
              </w:rPr>
              <w:t>o</w:t>
            </w:r>
            <w:r>
              <w:rPr>
                <w:w w:val="102"/>
                <w:sz w:val="14"/>
              </w:rPr>
              <w:t>p</w:t>
            </w:r>
            <w:r>
              <w:rPr>
                <w:spacing w:val="-11"/>
                <w:sz w:val="14"/>
              </w:rPr>
              <w:t> </w:t>
            </w:r>
            <w:r>
              <w:rPr>
                <w:spacing w:val="4"/>
                <w:w w:val="54"/>
                <w:sz w:val="14"/>
              </w:rPr>
              <w:t>1</w:t>
            </w:r>
            <w:r>
              <w:rPr>
                <w:spacing w:val="5"/>
                <w:w w:val="111"/>
                <w:sz w:val="14"/>
              </w:rPr>
              <w:t>0</w:t>
            </w:r>
            <w:r>
              <w:rPr>
                <w:w w:val="111"/>
                <w:sz w:val="14"/>
              </w:rPr>
              <w:t>0</w:t>
            </w:r>
          </w:p>
        </w:tc>
        <w:tc>
          <w:tcPr>
            <w:tcW w:w="1077" w:type="dxa"/>
            <w:shd w:val="clear" w:color="auto" w:fill="E9E9E9"/>
          </w:tcPr>
          <w:p>
            <w:pPr>
              <w:pStyle w:val="TableParagraph"/>
              <w:spacing w:before="2"/>
              <w:jc w:val="left"/>
              <w:rPr>
                <w:sz w:val="14"/>
              </w:rPr>
            </w:pPr>
          </w:p>
          <w:p>
            <w:pPr>
              <w:pStyle w:val="TableParagraph"/>
              <w:spacing w:before="0"/>
              <w:ind w:left="278"/>
              <w:jc w:val="left"/>
              <w:rPr>
                <w:sz w:val="14"/>
              </w:rPr>
            </w:pPr>
            <w:r>
              <w:rPr>
                <w:sz w:val="14"/>
              </w:rPr>
              <w:t>Top 200</w:t>
            </w:r>
          </w:p>
        </w:tc>
        <w:tc>
          <w:tcPr>
            <w:tcW w:w="680" w:type="dxa"/>
            <w:shd w:val="clear" w:color="auto" w:fill="E9E9E9"/>
          </w:tcPr>
          <w:p>
            <w:pPr>
              <w:pStyle w:val="TableParagraph"/>
              <w:spacing w:before="2"/>
              <w:jc w:val="left"/>
              <w:rPr>
                <w:sz w:val="14"/>
              </w:rPr>
            </w:pPr>
          </w:p>
          <w:p>
            <w:pPr>
              <w:pStyle w:val="TableParagraph"/>
              <w:spacing w:before="0"/>
              <w:ind w:left="86"/>
              <w:jc w:val="left"/>
              <w:rPr>
                <w:sz w:val="14"/>
              </w:rPr>
            </w:pPr>
            <w:r>
              <w:rPr>
                <w:sz w:val="14"/>
              </w:rPr>
              <w:t>Top 250</w:t>
            </w:r>
          </w:p>
        </w:tc>
        <w:tc>
          <w:tcPr>
            <w:tcW w:w="680" w:type="dxa"/>
            <w:shd w:val="clear" w:color="auto" w:fill="E9E9E9"/>
          </w:tcPr>
          <w:p>
            <w:pPr>
              <w:pStyle w:val="TableParagraph"/>
              <w:spacing w:before="2"/>
              <w:jc w:val="left"/>
              <w:rPr>
                <w:sz w:val="14"/>
              </w:rPr>
            </w:pPr>
          </w:p>
          <w:p>
            <w:pPr>
              <w:pStyle w:val="TableParagraph"/>
              <w:spacing w:before="0"/>
              <w:ind w:left="11" w:right="11"/>
              <w:jc w:val="center"/>
              <w:rPr>
                <w:sz w:val="14"/>
              </w:rPr>
            </w:pPr>
            <w:r>
              <w:rPr>
                <w:sz w:val="14"/>
              </w:rPr>
              <w:t>Top 300</w:t>
            </w:r>
          </w:p>
        </w:tc>
        <w:tc>
          <w:tcPr>
            <w:tcW w:w="680" w:type="dxa"/>
            <w:shd w:val="clear" w:color="auto" w:fill="E9E9E9"/>
          </w:tcPr>
          <w:p>
            <w:pPr>
              <w:pStyle w:val="TableParagraph"/>
              <w:spacing w:before="2"/>
              <w:jc w:val="left"/>
              <w:rPr>
                <w:sz w:val="14"/>
              </w:rPr>
            </w:pPr>
          </w:p>
          <w:p>
            <w:pPr>
              <w:pStyle w:val="TableParagraph"/>
              <w:spacing w:before="0"/>
              <w:ind w:left="76"/>
              <w:jc w:val="left"/>
              <w:rPr>
                <w:sz w:val="14"/>
              </w:rPr>
            </w:pPr>
            <w:r>
              <w:rPr>
                <w:w w:val="105"/>
                <w:sz w:val="14"/>
              </w:rPr>
              <w:t>Top 400</w:t>
            </w:r>
          </w:p>
        </w:tc>
        <w:tc>
          <w:tcPr>
            <w:tcW w:w="907" w:type="dxa"/>
            <w:shd w:val="clear" w:color="auto" w:fill="E9E9E9"/>
          </w:tcPr>
          <w:p>
            <w:pPr>
              <w:pStyle w:val="TableParagraph"/>
              <w:spacing w:before="2"/>
              <w:jc w:val="left"/>
              <w:rPr>
                <w:sz w:val="14"/>
              </w:rPr>
            </w:pPr>
          </w:p>
          <w:p>
            <w:pPr>
              <w:pStyle w:val="TableParagraph"/>
              <w:spacing w:before="0"/>
              <w:ind w:left="193"/>
              <w:jc w:val="left"/>
              <w:rPr>
                <w:sz w:val="14"/>
              </w:rPr>
            </w:pPr>
            <w:r>
              <w:rPr>
                <w:sz w:val="14"/>
              </w:rPr>
              <w:t>Top 300</w:t>
            </w:r>
          </w:p>
        </w:tc>
        <w:tc>
          <w:tcPr>
            <w:tcW w:w="1020" w:type="dxa"/>
            <w:vMerge/>
            <w:shd w:val="clear" w:color="auto" w:fill="E9E9E9"/>
          </w:tcPr>
          <w:p>
            <w:pPr/>
          </w:p>
        </w:tc>
        <w:tc>
          <w:tcPr>
            <w:tcW w:w="964" w:type="dxa"/>
            <w:shd w:val="clear" w:color="auto" w:fill="E9E9E9"/>
          </w:tcPr>
          <w:p>
            <w:pPr>
              <w:pStyle w:val="TableParagraph"/>
              <w:spacing w:before="2"/>
              <w:jc w:val="left"/>
              <w:rPr>
                <w:sz w:val="14"/>
              </w:rPr>
            </w:pPr>
          </w:p>
          <w:p>
            <w:pPr>
              <w:pStyle w:val="TableParagraph"/>
              <w:spacing w:before="0"/>
              <w:ind w:left="217" w:right="32"/>
              <w:jc w:val="left"/>
              <w:rPr>
                <w:sz w:val="14"/>
              </w:rPr>
            </w:pPr>
            <w:r>
              <w:rPr>
                <w:w w:val="105"/>
                <w:sz w:val="14"/>
              </w:rPr>
              <w:t>Top 400</w:t>
            </w:r>
          </w:p>
        </w:tc>
        <w:tc>
          <w:tcPr>
            <w:tcW w:w="737" w:type="dxa"/>
            <w:shd w:val="clear" w:color="auto" w:fill="E9E9E9"/>
          </w:tcPr>
          <w:p>
            <w:pPr>
              <w:pStyle w:val="TableParagraph"/>
              <w:spacing w:line="256" w:lineRule="auto" w:before="81"/>
              <w:ind w:left="92" w:right="82" w:firstLine="142"/>
              <w:jc w:val="left"/>
              <w:rPr>
                <w:sz w:val="14"/>
              </w:rPr>
            </w:pPr>
            <w:r>
              <w:rPr>
                <w:sz w:val="14"/>
              </w:rPr>
              <w:t>13 in Australia</w:t>
            </w:r>
          </w:p>
        </w:tc>
      </w:tr>
      <w:tr>
        <w:trPr>
          <w:trHeight w:val="1304" w:hRule="exact"/>
        </w:trPr>
        <w:tc>
          <w:tcPr>
            <w:tcW w:w="624"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8"/>
              <w:jc w:val="left"/>
              <w:rPr>
                <w:sz w:val="18"/>
              </w:rPr>
            </w:pPr>
          </w:p>
          <w:p>
            <w:pPr>
              <w:pStyle w:val="TableParagraph"/>
              <w:spacing w:before="0"/>
              <w:ind w:left="37"/>
              <w:jc w:val="left"/>
              <w:rPr>
                <w:sz w:val="14"/>
              </w:rPr>
            </w:pPr>
            <w:r>
              <w:rPr>
                <w:sz w:val="14"/>
              </w:rPr>
              <w:t>401–500</w:t>
            </w:r>
          </w:p>
        </w:tc>
        <w:tc>
          <w:tcPr>
            <w:tcW w:w="624"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8"/>
              <w:jc w:val="left"/>
              <w:rPr>
                <w:sz w:val="18"/>
              </w:rPr>
            </w:pPr>
          </w:p>
          <w:p>
            <w:pPr>
              <w:pStyle w:val="TableParagraph"/>
              <w:spacing w:before="0"/>
              <w:ind w:left="212" w:right="207"/>
              <w:jc w:val="center"/>
              <w:rPr>
                <w:sz w:val="14"/>
              </w:rPr>
            </w:pPr>
            <w:r>
              <w:rPr>
                <w:sz w:val="14"/>
              </w:rPr>
              <w:t>86</w:t>
            </w:r>
          </w:p>
        </w:tc>
        <w:tc>
          <w:tcPr>
            <w:tcW w:w="680"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8"/>
              <w:jc w:val="left"/>
              <w:rPr>
                <w:sz w:val="18"/>
              </w:rPr>
            </w:pPr>
          </w:p>
          <w:p>
            <w:pPr>
              <w:pStyle w:val="TableParagraph"/>
              <w:spacing w:before="0"/>
              <w:ind w:left="69"/>
              <w:jc w:val="left"/>
              <w:rPr>
                <w:sz w:val="14"/>
              </w:rPr>
            </w:pPr>
            <w:r>
              <w:rPr>
                <w:spacing w:val="2"/>
                <w:w w:val="95"/>
                <w:sz w:val="14"/>
              </w:rPr>
              <w:t>5</w:t>
            </w:r>
            <w:r>
              <w:rPr>
                <w:spacing w:val="4"/>
                <w:w w:val="95"/>
                <w:sz w:val="14"/>
              </w:rPr>
              <w:t>5</w:t>
            </w:r>
            <w:r>
              <w:rPr>
                <w:spacing w:val="4"/>
                <w:w w:val="54"/>
                <w:sz w:val="14"/>
              </w:rPr>
              <w:t>1</w:t>
            </w:r>
            <w:r>
              <w:rPr>
                <w:spacing w:val="7"/>
                <w:w w:val="89"/>
                <w:sz w:val="14"/>
              </w:rPr>
              <w:t>–</w:t>
            </w:r>
            <w:r>
              <w:rPr>
                <w:spacing w:val="3"/>
                <w:w w:val="101"/>
                <w:sz w:val="14"/>
              </w:rPr>
              <w:t>6</w:t>
            </w:r>
            <w:r>
              <w:rPr>
                <w:spacing w:val="5"/>
                <w:w w:val="111"/>
                <w:sz w:val="14"/>
              </w:rPr>
              <w:t>0</w:t>
            </w:r>
            <w:r>
              <w:rPr>
                <w:w w:val="111"/>
                <w:sz w:val="14"/>
              </w:rPr>
              <w:t>0</w:t>
            </w:r>
          </w:p>
        </w:tc>
        <w:tc>
          <w:tcPr>
            <w:tcW w:w="624"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2"/>
              <w:jc w:val="left"/>
              <w:rPr>
                <w:sz w:val="11"/>
              </w:rPr>
            </w:pPr>
          </w:p>
          <w:p>
            <w:pPr>
              <w:pStyle w:val="TableParagraph"/>
              <w:spacing w:line="256" w:lineRule="auto" w:before="1"/>
              <w:ind w:left="180" w:right="53" w:hanging="112"/>
              <w:jc w:val="left"/>
              <w:rPr>
                <w:sz w:val="14"/>
              </w:rPr>
            </w:pPr>
            <w:r>
              <w:rPr>
                <w:sz w:val="14"/>
              </w:rPr>
              <w:t>Nursing (49)</w:t>
            </w:r>
          </w:p>
        </w:tc>
        <w:tc>
          <w:tcPr>
            <w:tcW w:w="794"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8"/>
              <w:jc w:val="left"/>
              <w:rPr>
                <w:sz w:val="18"/>
              </w:rPr>
            </w:pPr>
          </w:p>
          <w:p>
            <w:pPr>
              <w:pStyle w:val="TableParagraph"/>
              <w:spacing w:before="0"/>
              <w:ind w:left="37" w:right="37"/>
              <w:jc w:val="center"/>
              <w:rPr>
                <w:sz w:val="14"/>
              </w:rPr>
            </w:pPr>
            <w:r>
              <w:rPr>
                <w:sz w:val="14"/>
              </w:rPr>
              <w:t>Geography</w:t>
            </w:r>
          </w:p>
        </w:tc>
        <w:tc>
          <w:tcPr>
            <w:tcW w:w="1077" w:type="dxa"/>
            <w:shd w:val="clear" w:color="auto" w:fill="E9E9E9"/>
          </w:tcPr>
          <w:p>
            <w:pPr>
              <w:pStyle w:val="TableParagraph"/>
              <w:spacing w:line="256" w:lineRule="auto" w:before="113"/>
              <w:ind w:left="49" w:firstLine="142"/>
              <w:jc w:val="left"/>
              <w:rPr>
                <w:sz w:val="14"/>
              </w:rPr>
            </w:pPr>
            <w:r>
              <w:rPr>
                <w:sz w:val="14"/>
              </w:rPr>
              <w:t>Agriculture and Forestry,</w:t>
            </w:r>
          </w:p>
          <w:p>
            <w:pPr>
              <w:pStyle w:val="TableParagraph"/>
              <w:spacing w:line="256" w:lineRule="auto" w:before="0"/>
              <w:ind w:left="49" w:right="47"/>
              <w:jc w:val="center"/>
              <w:rPr>
                <w:sz w:val="14"/>
              </w:rPr>
            </w:pPr>
            <w:r>
              <w:rPr>
                <w:sz w:val="14"/>
              </w:rPr>
              <w:t>Communication and Media, Psychology, Sociology</w:t>
            </w:r>
          </w:p>
        </w:tc>
        <w:tc>
          <w:tcPr>
            <w:tcW w:w="680" w:type="dxa"/>
            <w:shd w:val="clear" w:color="auto" w:fill="E9E9E9"/>
          </w:tcPr>
          <w:p>
            <w:pPr>
              <w:pStyle w:val="TableParagraph"/>
              <w:spacing w:before="0"/>
              <w:jc w:val="left"/>
              <w:rPr>
                <w:sz w:val="14"/>
              </w:rPr>
            </w:pPr>
          </w:p>
          <w:p>
            <w:pPr>
              <w:pStyle w:val="TableParagraph"/>
              <w:spacing w:line="256" w:lineRule="auto" w:before="125"/>
              <w:ind w:left="30" w:right="25" w:hanging="2"/>
              <w:jc w:val="center"/>
              <w:rPr>
                <w:sz w:val="14"/>
              </w:rPr>
            </w:pPr>
            <w:r>
              <w:rPr>
                <w:sz w:val="14"/>
              </w:rPr>
              <w:t>English </w:t>
            </w:r>
            <w:r>
              <w:rPr>
                <w:w w:val="95"/>
                <w:sz w:val="14"/>
              </w:rPr>
              <w:t>Language </w:t>
            </w:r>
            <w:r>
              <w:rPr>
                <w:sz w:val="14"/>
              </w:rPr>
              <w:t>and Literature</w:t>
            </w:r>
          </w:p>
        </w:tc>
        <w:tc>
          <w:tcPr>
            <w:tcW w:w="680"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8"/>
              <w:jc w:val="left"/>
              <w:rPr>
                <w:sz w:val="18"/>
              </w:rPr>
            </w:pPr>
          </w:p>
          <w:p>
            <w:pPr>
              <w:pStyle w:val="TableParagraph"/>
              <w:spacing w:before="0"/>
              <w:ind w:left="14" w:right="11"/>
              <w:jc w:val="center"/>
              <w:rPr>
                <w:sz w:val="14"/>
              </w:rPr>
            </w:pPr>
            <w:r>
              <w:rPr>
                <w:sz w:val="14"/>
              </w:rPr>
              <w:t>Education</w:t>
            </w:r>
          </w:p>
        </w:tc>
        <w:tc>
          <w:tcPr>
            <w:tcW w:w="680" w:type="dxa"/>
            <w:shd w:val="clear" w:color="auto" w:fill="E9E9E9"/>
          </w:tcPr>
          <w:p>
            <w:pPr>
              <w:pStyle w:val="TableParagraph"/>
              <w:spacing w:before="0"/>
              <w:jc w:val="left"/>
              <w:rPr>
                <w:sz w:val="14"/>
              </w:rPr>
            </w:pPr>
          </w:p>
          <w:p>
            <w:pPr>
              <w:pStyle w:val="TableParagraph"/>
              <w:spacing w:before="9"/>
              <w:jc w:val="left"/>
              <w:rPr>
                <w:sz w:val="17"/>
              </w:rPr>
            </w:pPr>
          </w:p>
          <w:p>
            <w:pPr>
              <w:pStyle w:val="TableParagraph"/>
              <w:spacing w:line="256" w:lineRule="auto" w:before="0"/>
              <w:ind w:left="27" w:right="22" w:firstLine="18"/>
              <w:jc w:val="both"/>
              <w:rPr>
                <w:sz w:val="14"/>
              </w:rPr>
            </w:pPr>
            <w:r>
              <w:rPr>
                <w:sz w:val="14"/>
              </w:rPr>
              <w:t>Medicine, Computer Science</w:t>
            </w:r>
          </w:p>
        </w:tc>
        <w:tc>
          <w:tcPr>
            <w:tcW w:w="907" w:type="dxa"/>
            <w:shd w:val="clear" w:color="auto" w:fill="E9E9E9"/>
          </w:tcPr>
          <w:p>
            <w:pPr>
              <w:pStyle w:val="TableParagraph"/>
              <w:spacing w:line="256" w:lineRule="auto" w:before="114"/>
              <w:ind w:left="47" w:right="45"/>
              <w:jc w:val="center"/>
              <w:rPr>
                <w:sz w:val="14"/>
              </w:rPr>
            </w:pPr>
            <w:r>
              <w:rPr>
                <w:sz w:val="14"/>
              </w:rPr>
              <w:t>Arts and Humanities (279), Social Science and </w:t>
            </w:r>
            <w:r>
              <w:rPr>
                <w:w w:val="95"/>
                <w:sz w:val="14"/>
              </w:rPr>
              <w:t>Management </w:t>
            </w:r>
            <w:r>
              <w:rPr>
                <w:sz w:val="14"/>
              </w:rPr>
              <w:t>(275)</w:t>
            </w:r>
          </w:p>
        </w:tc>
        <w:tc>
          <w:tcPr>
            <w:tcW w:w="1020"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8"/>
              <w:jc w:val="left"/>
              <w:rPr>
                <w:sz w:val="18"/>
              </w:rPr>
            </w:pPr>
          </w:p>
          <w:p>
            <w:pPr>
              <w:pStyle w:val="TableParagraph"/>
              <w:spacing w:before="1"/>
              <w:ind w:left="235"/>
              <w:jc w:val="left"/>
              <w:rPr>
                <w:sz w:val="14"/>
              </w:rPr>
            </w:pPr>
            <w:r>
              <w:rPr>
                <w:spacing w:val="3"/>
                <w:w w:val="94"/>
                <w:sz w:val="14"/>
              </w:rPr>
              <w:t>3</w:t>
            </w:r>
            <w:r>
              <w:rPr>
                <w:spacing w:val="2"/>
                <w:w w:val="111"/>
                <w:sz w:val="14"/>
              </w:rPr>
              <w:t>0</w:t>
            </w:r>
            <w:r>
              <w:rPr>
                <w:spacing w:val="4"/>
                <w:w w:val="54"/>
                <w:sz w:val="14"/>
              </w:rPr>
              <w:t>1</w:t>
            </w:r>
            <w:r>
              <w:rPr>
                <w:spacing w:val="4"/>
                <w:w w:val="101"/>
                <w:sz w:val="14"/>
              </w:rPr>
              <w:t>–4</w:t>
            </w:r>
            <w:r>
              <w:rPr>
                <w:spacing w:val="5"/>
                <w:w w:val="101"/>
                <w:sz w:val="14"/>
              </w:rPr>
              <w:t>0</w:t>
            </w:r>
            <w:r>
              <w:rPr>
                <w:w w:val="111"/>
                <w:sz w:val="14"/>
              </w:rPr>
              <w:t>0</w:t>
            </w:r>
          </w:p>
        </w:tc>
        <w:tc>
          <w:tcPr>
            <w:tcW w:w="964" w:type="dxa"/>
            <w:shd w:val="clear" w:color="auto" w:fill="E9E9E9"/>
          </w:tcPr>
          <w:p>
            <w:pPr>
              <w:pStyle w:val="TableParagraph"/>
              <w:spacing w:before="11"/>
              <w:jc w:val="left"/>
              <w:rPr>
                <w:sz w:val="16"/>
              </w:rPr>
            </w:pPr>
          </w:p>
          <w:p>
            <w:pPr>
              <w:pStyle w:val="TableParagraph"/>
              <w:spacing w:line="256" w:lineRule="auto" w:before="0"/>
              <w:ind w:left="37" w:right="35"/>
              <w:jc w:val="center"/>
              <w:rPr>
                <w:sz w:val="14"/>
              </w:rPr>
            </w:pPr>
            <w:r>
              <w:rPr>
                <w:sz w:val="14"/>
              </w:rPr>
              <w:t>Electrical Engineering, </w:t>
            </w:r>
            <w:r>
              <w:rPr>
                <w:w w:val="95"/>
                <w:sz w:val="14"/>
              </w:rPr>
              <w:t>Environmental </w:t>
            </w:r>
            <w:r>
              <w:rPr>
                <w:sz w:val="14"/>
              </w:rPr>
              <w:t>Science and Engineering</w:t>
            </w:r>
          </w:p>
        </w:tc>
        <w:tc>
          <w:tcPr>
            <w:tcW w:w="737" w:type="dxa"/>
            <w:shd w:val="clear" w:color="auto" w:fill="E9E9E9"/>
          </w:tcPr>
          <w:p>
            <w:pPr>
              <w:pStyle w:val="TableParagraph"/>
              <w:spacing w:before="0"/>
              <w:jc w:val="left"/>
              <w:rPr>
                <w:sz w:val="14"/>
              </w:rPr>
            </w:pPr>
          </w:p>
          <w:p>
            <w:pPr>
              <w:pStyle w:val="TableParagraph"/>
              <w:spacing w:before="0"/>
              <w:jc w:val="left"/>
              <w:rPr>
                <w:sz w:val="14"/>
              </w:rPr>
            </w:pPr>
          </w:p>
          <w:p>
            <w:pPr>
              <w:pStyle w:val="TableParagraph"/>
              <w:spacing w:before="3"/>
              <w:jc w:val="left"/>
              <w:rPr>
                <w:sz w:val="11"/>
              </w:rPr>
            </w:pPr>
          </w:p>
          <w:p>
            <w:pPr>
              <w:pStyle w:val="TableParagraph"/>
              <w:spacing w:before="0"/>
              <w:ind w:left="100" w:right="100"/>
              <w:jc w:val="center"/>
              <w:rPr>
                <w:sz w:val="14"/>
              </w:rPr>
            </w:pPr>
            <w:r>
              <w:rPr>
                <w:sz w:val="14"/>
              </w:rPr>
              <w:t>272</w:t>
            </w:r>
          </w:p>
          <w:p>
            <w:pPr>
              <w:pStyle w:val="TableParagraph"/>
              <w:spacing w:before="11"/>
              <w:ind w:left="100" w:right="100"/>
              <w:jc w:val="center"/>
              <w:rPr>
                <w:sz w:val="14"/>
              </w:rPr>
            </w:pPr>
            <w:r>
              <w:rPr>
                <w:sz w:val="14"/>
              </w:rPr>
              <w:t>Globally</w:t>
            </w:r>
          </w:p>
        </w:tc>
      </w:tr>
    </w:tbl>
    <w:p>
      <w:pPr>
        <w:spacing w:after="0"/>
        <w:jc w:val="center"/>
        <w:rPr>
          <w:sz w:val="14"/>
        </w:rPr>
        <w:sectPr>
          <w:type w:val="continuous"/>
          <w:pgSz w:w="11910" w:h="16840"/>
          <w:pgMar w:top="15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even" r:id="rId36"/>
          <w:footerReference w:type="default" r:id="rId37"/>
          <w:pgSz w:w="11910" w:h="16840"/>
          <w:pgMar w:footer="472" w:header="496" w:top="680" w:bottom="660" w:left="800" w:right="800"/>
          <w:pgNumType w:start="12"/>
        </w:sectPr>
      </w:pPr>
    </w:p>
    <w:p>
      <w:pPr>
        <w:pStyle w:val="BodyText"/>
        <w:spacing w:before="7"/>
        <w:rPr>
          <w:sz w:val="19"/>
        </w:rPr>
      </w:pPr>
    </w:p>
    <w:p>
      <w:pPr>
        <w:pStyle w:val="Heading5"/>
        <w:ind w:right="32"/>
      </w:pPr>
      <w:bookmarkStart w:name="_TOC_250046" w:id="8"/>
      <w:bookmarkEnd w:id="8"/>
      <w:r>
        <w:rPr/>
        <w:t>LIBRARY</w:t>
      </w:r>
    </w:p>
    <w:p>
      <w:pPr>
        <w:pStyle w:val="BodyText"/>
        <w:spacing w:line="247" w:lineRule="auto" w:before="95"/>
        <w:ind w:left="107" w:right="32"/>
      </w:pPr>
      <w:r>
        <w:rPr>
          <w:w w:val="80"/>
        </w:rPr>
        <w:t>In </w:t>
      </w:r>
      <w:r>
        <w:rPr>
          <w:w w:val="85"/>
        </w:rPr>
        <w:t>2016, </w:t>
      </w:r>
      <w:r>
        <w:rPr>
          <w:w w:val="98"/>
        </w:rPr>
        <w:t>Western </w:t>
      </w:r>
      <w:r>
        <w:rPr>
          <w:w w:val="99"/>
        </w:rPr>
        <w:t>Sydney </w:t>
      </w:r>
      <w:r>
        <w:rPr>
          <w:w w:val="97"/>
        </w:rPr>
        <w:t>University </w:t>
      </w:r>
      <w:r>
        <w:rPr>
          <w:w w:val="98"/>
        </w:rPr>
        <w:t>Library </w:t>
      </w:r>
      <w:r>
        <w:rPr/>
        <w:t>cemented its position as a leader in student services, leading its category in the national student satisfaction benchmarking survey. This achievement recognises the Library’s commitment to providing high-quality student services and a culture of continuous improvement. The Library’s strategic framework is aligned with the </w:t>
      </w:r>
      <w:r>
        <w:rPr>
          <w:rFonts w:ascii="Century Gothic" w:hAnsi="Century Gothic"/>
          <w:i/>
        </w:rPr>
        <w:t>Securing </w:t>
      </w:r>
      <w:r>
        <w:rPr>
          <w:rFonts w:ascii="Century Gothic" w:hAnsi="Century Gothic"/>
          <w:i/>
        </w:rPr>
        <w:t>Success: 2015–2020 Strategic Plan </w:t>
      </w:r>
      <w:r>
        <w:rPr/>
        <w:t>and is underpinned by an operational plan, which ensures that activities are aligned with the University’s broader mission and goals. The Library’s quality management system is </w:t>
      </w:r>
      <w:r>
        <w:rPr>
          <w:w w:val="97"/>
        </w:rPr>
        <w:t>externally </w:t>
      </w:r>
      <w:r>
        <w:rPr>
          <w:w w:val="99"/>
        </w:rPr>
        <w:t>accredited </w:t>
      </w:r>
      <w:r>
        <w:rPr>
          <w:w w:val="97"/>
        </w:rPr>
        <w:t>under </w:t>
      </w:r>
      <w:r>
        <w:rPr>
          <w:w w:val="87"/>
        </w:rPr>
        <w:t>ISO </w:t>
      </w:r>
      <w:r>
        <w:rPr>
          <w:w w:val="92"/>
        </w:rPr>
        <w:t>9001:2008, </w:t>
      </w:r>
      <w:r>
        <w:rPr/>
        <w:t>ensuring excellence in all undertakings.</w:t>
      </w:r>
    </w:p>
    <w:p>
      <w:pPr>
        <w:pStyle w:val="BodyText"/>
        <w:spacing w:before="2"/>
        <w:rPr>
          <w:sz w:val="14"/>
        </w:rPr>
      </w:pPr>
    </w:p>
    <w:p>
      <w:pPr>
        <w:pStyle w:val="BodyText"/>
        <w:ind w:left="107" w:right="32"/>
      </w:pPr>
      <w:r>
        <w:rPr/>
        <w:t>Facts relating to the Library include:</w:t>
      </w:r>
    </w:p>
    <w:p>
      <w:pPr>
        <w:pStyle w:val="BodyText"/>
        <w:spacing w:before="62"/>
        <w:ind w:left="107" w:right="32"/>
      </w:pPr>
      <w:r>
        <w:rPr>
          <w:rFonts w:ascii="Century Gothic" w:hAnsi="Century Gothic"/>
          <w:b/>
          <w:w w:val="115"/>
        </w:rPr>
        <w:t>≥ </w:t>
      </w:r>
      <w:r>
        <w:rPr>
          <w:w w:val="105"/>
        </w:rPr>
        <w:t>it is spread over six locations</w:t>
      </w:r>
    </w:p>
    <w:p>
      <w:pPr>
        <w:pStyle w:val="BodyText"/>
        <w:spacing w:line="244" w:lineRule="auto" w:before="60"/>
        <w:ind w:left="305" w:right="32" w:hanging="199"/>
      </w:pPr>
      <w:r>
        <w:rPr>
          <w:rFonts w:ascii="Century Gothic" w:hAnsi="Century Gothic"/>
          <w:b/>
          <w:w w:val="115"/>
        </w:rPr>
        <w:t>≥</w:t>
      </w:r>
      <w:r>
        <w:rPr>
          <w:rFonts w:ascii="Century Gothic" w:hAnsi="Century Gothic"/>
          <w:b/>
          <w:spacing w:val="8"/>
          <w:w w:val="115"/>
        </w:rPr>
        <w:t> </w:t>
      </w:r>
      <w:r>
        <w:rPr/>
        <w:t>it</w:t>
      </w:r>
      <w:r>
        <w:rPr>
          <w:spacing w:val="-18"/>
        </w:rPr>
        <w:t> </w:t>
      </w:r>
      <w:r>
        <w:rPr/>
        <w:t>recorded</w:t>
      </w:r>
      <w:r>
        <w:rPr>
          <w:spacing w:val="-18"/>
        </w:rPr>
        <w:t> </w:t>
      </w:r>
      <w:r>
        <w:rPr/>
        <w:t>more</w:t>
      </w:r>
      <w:r>
        <w:rPr>
          <w:spacing w:val="-18"/>
        </w:rPr>
        <w:t> </w:t>
      </w:r>
      <w:r>
        <w:rPr/>
        <w:t>than</w:t>
      </w:r>
      <w:r>
        <w:rPr>
          <w:spacing w:val="-18"/>
        </w:rPr>
        <w:t> </w:t>
      </w:r>
      <w:r>
        <w:rPr>
          <w:spacing w:val="3"/>
        </w:rPr>
        <w:t>1.8</w:t>
      </w:r>
      <w:r>
        <w:rPr>
          <w:spacing w:val="-18"/>
        </w:rPr>
        <w:t> </w:t>
      </w:r>
      <w:r>
        <w:rPr/>
        <w:t>million</w:t>
      </w:r>
      <w:r>
        <w:rPr>
          <w:spacing w:val="-18"/>
        </w:rPr>
        <w:t> </w:t>
      </w:r>
      <w:r>
        <w:rPr/>
        <w:t>visits</w:t>
      </w:r>
      <w:r>
        <w:rPr>
          <w:spacing w:val="-18"/>
        </w:rPr>
        <w:t> </w:t>
      </w:r>
      <w:r>
        <w:rPr/>
        <w:t>in </w:t>
      </w:r>
      <w:r>
        <w:rPr>
          <w:spacing w:val="1"/>
          <w:w w:val="90"/>
        </w:rPr>
        <w:t>2016</w:t>
      </w:r>
    </w:p>
    <w:p>
      <w:pPr>
        <w:pStyle w:val="BodyText"/>
        <w:spacing w:line="244" w:lineRule="auto" w:before="58"/>
        <w:ind w:left="305" w:right="32" w:hanging="199"/>
      </w:pPr>
      <w:r>
        <w:rPr>
          <w:rFonts w:ascii="Century Gothic" w:hAnsi="Century Gothic"/>
          <w:b/>
          <w:w w:val="145"/>
        </w:rPr>
        <w:t>≥ </w:t>
      </w:r>
      <w:r>
        <w:rPr>
          <w:w w:val="97"/>
        </w:rPr>
        <w:t>staff </w:t>
      </w:r>
      <w:r>
        <w:rPr>
          <w:w w:val="97"/>
        </w:rPr>
        <w:t>members </w:t>
      </w:r>
      <w:r>
        <w:rPr>
          <w:w w:val="97"/>
        </w:rPr>
        <w:t>answered </w:t>
      </w:r>
      <w:r>
        <w:rPr>
          <w:w w:val="97"/>
        </w:rPr>
        <w:t>around </w:t>
      </w:r>
      <w:r>
        <w:rPr>
          <w:w w:val="93"/>
        </w:rPr>
        <w:t>165,000 </w:t>
      </w:r>
      <w:r>
        <w:rPr/>
        <w:t>student enquiries</w:t>
      </w:r>
    </w:p>
    <w:p>
      <w:pPr>
        <w:pStyle w:val="BodyText"/>
        <w:spacing w:line="244" w:lineRule="auto" w:before="58"/>
        <w:ind w:left="305" w:right="32" w:hanging="199"/>
      </w:pPr>
      <w:r>
        <w:rPr>
          <w:rFonts w:ascii="Century Gothic" w:hAnsi="Century Gothic"/>
          <w:b/>
          <w:w w:val="145"/>
        </w:rPr>
        <w:t>≥ </w:t>
      </w:r>
      <w:r>
        <w:rPr>
          <w:w w:val="92"/>
        </w:rPr>
        <w:t>19,000 </w:t>
      </w:r>
      <w:r>
        <w:rPr>
          <w:w w:val="97"/>
        </w:rPr>
        <w:t>students </w:t>
      </w:r>
      <w:r>
        <w:rPr>
          <w:w w:val="98"/>
        </w:rPr>
        <w:t>attended </w:t>
      </w:r>
      <w:r>
        <w:rPr>
          <w:w w:val="97"/>
        </w:rPr>
        <w:t>information </w:t>
      </w:r>
      <w:r>
        <w:rPr>
          <w:w w:val="105"/>
        </w:rPr>
        <w:t>sessions</w:t>
      </w:r>
    </w:p>
    <w:p>
      <w:pPr>
        <w:pStyle w:val="BodyText"/>
        <w:spacing w:line="244" w:lineRule="auto" w:before="58"/>
        <w:ind w:left="305" w:right="340" w:hanging="199"/>
      </w:pPr>
      <w:r>
        <w:rPr>
          <w:rFonts w:ascii="Century Gothic" w:hAnsi="Century Gothic"/>
          <w:b/>
          <w:w w:val="145"/>
        </w:rPr>
        <w:t>≥ </w:t>
      </w:r>
      <w:r>
        <w:rPr>
          <w:w w:val="91"/>
        </w:rPr>
        <w:t>137,000 </w:t>
      </w:r>
      <w:r>
        <w:rPr>
          <w:w w:val="99"/>
        </w:rPr>
        <w:t>books </w:t>
      </w:r>
      <w:r>
        <w:rPr>
          <w:w w:val="98"/>
        </w:rPr>
        <w:t>(digital </w:t>
      </w:r>
      <w:r>
        <w:rPr>
          <w:w w:val="97"/>
        </w:rPr>
        <w:t>and </w:t>
      </w:r>
      <w:r>
        <w:rPr>
          <w:w w:val="98"/>
        </w:rPr>
        <w:t>print) </w:t>
      </w:r>
      <w:r>
        <w:rPr>
          <w:w w:val="97"/>
        </w:rPr>
        <w:t>were </w:t>
      </w:r>
      <w:r>
        <w:rPr>
          <w:w w:val="105"/>
        </w:rPr>
        <w:t>added to the collection</w:t>
      </w:r>
    </w:p>
    <w:p>
      <w:pPr>
        <w:pStyle w:val="BodyText"/>
        <w:spacing w:before="58"/>
        <w:ind w:left="107" w:right="32"/>
      </w:pPr>
      <w:r>
        <w:rPr>
          <w:rFonts w:ascii="Century Gothic" w:hAnsi="Century Gothic"/>
          <w:b/>
          <w:w w:val="115"/>
        </w:rPr>
        <w:t>≥ </w:t>
      </w:r>
      <w:r>
        <w:rPr>
          <w:w w:val="105"/>
        </w:rPr>
        <w:t>370,000 books were borrowed</w:t>
      </w:r>
    </w:p>
    <w:p>
      <w:pPr>
        <w:pStyle w:val="BodyText"/>
        <w:spacing w:line="244" w:lineRule="auto" w:before="60"/>
        <w:ind w:left="305" w:hanging="199"/>
      </w:pPr>
      <w:r>
        <w:rPr>
          <w:rFonts w:ascii="Century Gothic" w:hAnsi="Century Gothic"/>
          <w:b/>
          <w:w w:val="115"/>
        </w:rPr>
        <w:t>≥</w:t>
      </w:r>
      <w:r>
        <w:rPr>
          <w:rFonts w:ascii="Century Gothic" w:hAnsi="Century Gothic"/>
          <w:b/>
          <w:spacing w:val="-6"/>
          <w:w w:val="115"/>
        </w:rPr>
        <w:t> </w:t>
      </w:r>
      <w:r>
        <w:rPr>
          <w:spacing w:val="3"/>
        </w:rPr>
        <w:t>18,815</w:t>
      </w:r>
      <w:r>
        <w:rPr>
          <w:spacing w:val="-26"/>
        </w:rPr>
        <w:t> </w:t>
      </w:r>
      <w:r>
        <w:rPr/>
        <w:t>unique</w:t>
      </w:r>
      <w:r>
        <w:rPr>
          <w:spacing w:val="-26"/>
        </w:rPr>
        <w:t> </w:t>
      </w:r>
      <w:r>
        <w:rPr/>
        <w:t>borrowers</w:t>
      </w:r>
      <w:r>
        <w:rPr>
          <w:spacing w:val="-26"/>
        </w:rPr>
        <w:t> </w:t>
      </w:r>
      <w:r>
        <w:rPr/>
        <w:t>took</w:t>
      </w:r>
      <w:r>
        <w:rPr>
          <w:spacing w:val="-26"/>
        </w:rPr>
        <w:t> </w:t>
      </w:r>
      <w:r>
        <w:rPr/>
        <w:t>out</w:t>
      </w:r>
      <w:r>
        <w:rPr>
          <w:spacing w:val="-26"/>
        </w:rPr>
        <w:t> </w:t>
      </w:r>
      <w:r>
        <w:rPr/>
        <w:t>materials on</w:t>
      </w:r>
      <w:r>
        <w:rPr>
          <w:spacing w:val="-18"/>
        </w:rPr>
        <w:t> </w:t>
      </w:r>
      <w:r>
        <w:rPr/>
        <w:t>loan</w:t>
      </w:r>
    </w:p>
    <w:p>
      <w:pPr>
        <w:pStyle w:val="BodyText"/>
        <w:spacing w:before="58"/>
        <w:ind w:left="107" w:right="32"/>
      </w:pPr>
      <w:r>
        <w:rPr>
          <w:rFonts w:ascii="Century Gothic" w:hAnsi="Century Gothic"/>
          <w:b/>
          <w:w w:val="145"/>
        </w:rPr>
        <w:t>≥</w:t>
      </w:r>
      <w:r>
        <w:rPr>
          <w:rFonts w:ascii="Century Gothic" w:hAnsi="Century Gothic"/>
          <w:b/>
        </w:rPr>
        <w:t> </w:t>
      </w:r>
      <w:r>
        <w:rPr>
          <w:rFonts w:ascii="Century Gothic" w:hAnsi="Century Gothic"/>
          <w:b/>
          <w:spacing w:val="-19"/>
        </w:rPr>
        <w:t> </w:t>
      </w:r>
      <w:r>
        <w:rPr>
          <w:w w:val="95"/>
        </w:rPr>
        <w:t>i</w:t>
      </w:r>
      <w:r>
        <w:rPr>
          <w:w w:val="102"/>
        </w:rPr>
        <w:t>t</w:t>
      </w:r>
      <w:r>
        <w:rPr>
          <w:spacing w:val="-12"/>
        </w:rPr>
        <w:t> </w:t>
      </w:r>
      <w:r>
        <w:rPr>
          <w:spacing w:val="-1"/>
          <w:w w:val="95"/>
        </w:rPr>
        <w:t>r</w:t>
      </w:r>
      <w:r>
        <w:rPr>
          <w:spacing w:val="3"/>
          <w:w w:val="95"/>
        </w:rPr>
        <w:t>e</w:t>
      </w:r>
      <w:r>
        <w:rPr>
          <w:w w:val="102"/>
        </w:rPr>
        <w:t>c</w:t>
      </w:r>
      <w:r>
        <w:rPr>
          <w:spacing w:val="2"/>
          <w:w w:val="100"/>
        </w:rPr>
        <w:t>o</w:t>
      </w:r>
      <w:r>
        <w:rPr>
          <w:spacing w:val="-1"/>
          <w:w w:val="95"/>
        </w:rPr>
        <w:t>r</w:t>
      </w:r>
      <w:r>
        <w:rPr>
          <w:spacing w:val="2"/>
          <w:w w:val="102"/>
        </w:rPr>
        <w:t>d</w:t>
      </w:r>
      <w:r>
        <w:rPr>
          <w:spacing w:val="3"/>
          <w:w w:val="95"/>
        </w:rPr>
        <w:t>e</w:t>
      </w:r>
      <w:r>
        <w:rPr>
          <w:w w:val="102"/>
        </w:rPr>
        <w:t>d</w:t>
      </w:r>
      <w:r>
        <w:rPr>
          <w:spacing w:val="-12"/>
        </w:rPr>
        <w:t> </w:t>
      </w:r>
      <w:r>
        <w:rPr>
          <w:spacing w:val="4"/>
          <w:w w:val="54"/>
        </w:rPr>
        <w:t>1</w:t>
      </w:r>
      <w:r>
        <w:rPr>
          <w:spacing w:val="2"/>
          <w:w w:val="111"/>
        </w:rPr>
        <w:t>0</w:t>
      </w:r>
      <w:r>
        <w:rPr>
          <w:w w:val="59"/>
        </w:rPr>
        <w:t>.1</w:t>
      </w:r>
      <w:r>
        <w:rPr>
          <w:spacing w:val="-12"/>
        </w:rPr>
        <w:t> </w:t>
      </w:r>
      <w:r>
        <w:rPr>
          <w:spacing w:val="1"/>
          <w:w w:val="98"/>
        </w:rPr>
        <w:t>m</w:t>
      </w:r>
      <w:r>
        <w:rPr>
          <w:w w:val="95"/>
        </w:rPr>
        <w:t>ill</w:t>
      </w:r>
      <w:r>
        <w:rPr>
          <w:spacing w:val="1"/>
          <w:w w:val="95"/>
        </w:rPr>
        <w:t>i</w:t>
      </w:r>
      <w:r>
        <w:rPr>
          <w:spacing w:val="2"/>
          <w:w w:val="100"/>
        </w:rPr>
        <w:t>o</w:t>
      </w:r>
      <w:r>
        <w:rPr>
          <w:w w:val="95"/>
        </w:rPr>
        <w:t>n</w:t>
      </w:r>
      <w:r>
        <w:rPr>
          <w:spacing w:val="-12"/>
        </w:rPr>
        <w:t> </w:t>
      </w:r>
      <w:r>
        <w:rPr>
          <w:spacing w:val="1"/>
          <w:w w:val="102"/>
        </w:rPr>
        <w:t>d</w:t>
      </w:r>
      <w:r>
        <w:rPr>
          <w:spacing w:val="1"/>
          <w:w w:val="95"/>
        </w:rPr>
        <w:t>i</w:t>
      </w:r>
      <w:r>
        <w:rPr>
          <w:spacing w:val="1"/>
          <w:w w:val="102"/>
        </w:rPr>
        <w:t>g</w:t>
      </w:r>
      <w:r>
        <w:rPr>
          <w:w w:val="95"/>
        </w:rPr>
        <w:t>i</w:t>
      </w:r>
      <w:r>
        <w:rPr>
          <w:spacing w:val="2"/>
          <w:w w:val="102"/>
        </w:rPr>
        <w:t>t</w:t>
      </w:r>
      <w:r>
        <w:rPr>
          <w:spacing w:val="2"/>
          <w:w w:val="94"/>
        </w:rPr>
        <w:t>a</w:t>
      </w:r>
      <w:r>
        <w:rPr>
          <w:w w:val="95"/>
        </w:rPr>
        <w:t>l</w:t>
      </w:r>
      <w:r>
        <w:rPr>
          <w:spacing w:val="-12"/>
        </w:rPr>
        <w:t> </w:t>
      </w:r>
      <w:r>
        <w:rPr>
          <w:spacing w:val="2"/>
          <w:w w:val="102"/>
        </w:rPr>
        <w:t>d</w:t>
      </w:r>
      <w:r>
        <w:rPr>
          <w:spacing w:val="-1"/>
          <w:w w:val="100"/>
        </w:rPr>
        <w:t>o</w:t>
      </w:r>
      <w:r>
        <w:rPr>
          <w:spacing w:val="1"/>
          <w:w w:val="101"/>
        </w:rPr>
        <w:t>w</w:t>
      </w:r>
      <w:r>
        <w:rPr>
          <w:spacing w:val="2"/>
          <w:w w:val="95"/>
        </w:rPr>
        <w:t>n</w:t>
      </w:r>
      <w:r>
        <w:rPr>
          <w:spacing w:val="1"/>
          <w:w w:val="95"/>
        </w:rPr>
        <w:t>l</w:t>
      </w:r>
      <w:r>
        <w:rPr>
          <w:spacing w:val="2"/>
          <w:w w:val="100"/>
        </w:rPr>
        <w:t>o</w:t>
      </w:r>
      <w:r>
        <w:rPr>
          <w:spacing w:val="2"/>
          <w:w w:val="94"/>
        </w:rPr>
        <w:t>a</w:t>
      </w:r>
      <w:r>
        <w:rPr>
          <w:spacing w:val="2"/>
          <w:w w:val="102"/>
        </w:rPr>
        <w:t>d</w:t>
      </w:r>
      <w:r>
        <w:rPr>
          <w:spacing w:val="4"/>
          <w:w w:val="95"/>
        </w:rPr>
        <w:t>s</w:t>
      </w:r>
      <w:r>
        <w:rPr>
          <w:w w:val="68"/>
        </w:rPr>
        <w:t>.</w:t>
      </w:r>
    </w:p>
    <w:p>
      <w:pPr>
        <w:pStyle w:val="BodyText"/>
        <w:spacing w:before="8"/>
        <w:rPr>
          <w:sz w:val="19"/>
        </w:rPr>
      </w:pPr>
    </w:p>
    <w:p>
      <w:pPr>
        <w:pStyle w:val="Heading7"/>
        <w:ind w:right="32"/>
      </w:pPr>
      <w:r>
        <w:rPr>
          <w:w w:val="95"/>
        </w:rPr>
        <w:t>STUDENT EXPERIENCE</w:t>
      </w:r>
    </w:p>
    <w:p>
      <w:pPr>
        <w:pStyle w:val="BodyText"/>
        <w:spacing w:line="249" w:lineRule="auto" w:before="58"/>
        <w:ind w:left="107" w:right="139"/>
      </w:pPr>
      <w:r>
        <w:rPr>
          <w:spacing w:val="1"/>
          <w:w w:val="80"/>
        </w:rPr>
        <w:t>In</w:t>
      </w:r>
      <w:r>
        <w:rPr>
          <w:w w:val="80"/>
        </w:rPr>
        <w:t> </w:t>
      </w:r>
      <w:r>
        <w:rPr>
          <w:spacing w:val="2"/>
          <w:w w:val="85"/>
        </w:rPr>
        <w:t>2016,</w:t>
      </w:r>
      <w:r>
        <w:rPr>
          <w:w w:val="85"/>
        </w:rPr>
        <w:t> </w:t>
      </w:r>
      <w:r>
        <w:rPr>
          <w:w w:val="97"/>
        </w:rPr>
        <w:t>the </w:t>
      </w:r>
      <w:r>
        <w:rPr>
          <w:spacing w:val="2"/>
          <w:w w:val="98"/>
        </w:rPr>
        <w:t>Library</w:t>
      </w:r>
      <w:r>
        <w:rPr>
          <w:w w:val="98"/>
        </w:rPr>
        <w:t> </w:t>
      </w:r>
      <w:r>
        <w:rPr>
          <w:spacing w:val="1"/>
          <w:w w:val="98"/>
        </w:rPr>
        <w:t>focused</w:t>
      </w:r>
      <w:r>
        <w:rPr>
          <w:w w:val="98"/>
        </w:rPr>
        <w:t> </w:t>
      </w:r>
      <w:r>
        <w:rPr>
          <w:spacing w:val="1"/>
          <w:w w:val="98"/>
        </w:rPr>
        <w:t>on</w:t>
      </w:r>
      <w:r>
        <w:rPr>
          <w:w w:val="98"/>
        </w:rPr>
        <w:t> </w:t>
      </w:r>
      <w:r>
        <w:rPr>
          <w:w w:val="98"/>
        </w:rPr>
        <w:t>improving </w:t>
      </w:r>
      <w:r>
        <w:rPr/>
        <w:t>its</w:t>
      </w:r>
      <w:r>
        <w:rPr>
          <w:spacing w:val="-18"/>
        </w:rPr>
        <w:t> </w:t>
      </w:r>
      <w:r>
        <w:rPr/>
        <w:t>service</w:t>
      </w:r>
      <w:r>
        <w:rPr>
          <w:spacing w:val="-18"/>
        </w:rPr>
        <w:t> </w:t>
      </w:r>
      <w:r>
        <w:rPr/>
        <w:t>culture</w:t>
      </w:r>
      <w:r>
        <w:rPr>
          <w:spacing w:val="-18"/>
        </w:rPr>
        <w:t> </w:t>
      </w:r>
      <w:r>
        <w:rPr/>
        <w:t>and</w:t>
      </w:r>
      <w:r>
        <w:rPr>
          <w:spacing w:val="-18"/>
        </w:rPr>
        <w:t> </w:t>
      </w:r>
      <w:r>
        <w:rPr/>
        <w:t>student</w:t>
      </w:r>
      <w:r>
        <w:rPr>
          <w:spacing w:val="-18"/>
        </w:rPr>
        <w:t> </w:t>
      </w:r>
      <w:r>
        <w:rPr/>
        <w:t>engagement, refining</w:t>
      </w:r>
      <w:r>
        <w:rPr>
          <w:spacing w:val="-16"/>
        </w:rPr>
        <w:t> </w:t>
      </w:r>
      <w:r>
        <w:rPr/>
        <w:t>previous</w:t>
      </w:r>
      <w:r>
        <w:rPr>
          <w:spacing w:val="-16"/>
        </w:rPr>
        <w:t> </w:t>
      </w:r>
      <w:r>
        <w:rPr/>
        <w:t>programs</w:t>
      </w:r>
      <w:r>
        <w:rPr>
          <w:spacing w:val="-16"/>
        </w:rPr>
        <w:t> </w:t>
      </w:r>
      <w:r>
        <w:rPr/>
        <w:t>and</w:t>
      </w:r>
      <w:r>
        <w:rPr>
          <w:spacing w:val="-16"/>
        </w:rPr>
        <w:t> </w:t>
      </w:r>
      <w:r>
        <w:rPr/>
        <w:t>introducing the </w:t>
      </w:r>
      <w:r>
        <w:rPr>
          <w:spacing w:val="3"/>
        </w:rPr>
        <w:t>‘WEST’ </w:t>
      </w:r>
      <w:r>
        <w:rPr/>
        <w:t>(Welcome, Engage, Solve and Thank with a smile) service ethos. Library staff</w:t>
      </w:r>
      <w:r>
        <w:rPr>
          <w:spacing w:val="-15"/>
        </w:rPr>
        <w:t> </w:t>
      </w:r>
      <w:r>
        <w:rPr/>
        <w:t>offer</w:t>
      </w:r>
      <w:r>
        <w:rPr>
          <w:spacing w:val="-15"/>
        </w:rPr>
        <w:t> </w:t>
      </w:r>
      <w:r>
        <w:rPr/>
        <w:t>consistent</w:t>
      </w:r>
      <w:r>
        <w:rPr>
          <w:spacing w:val="-15"/>
        </w:rPr>
        <w:t> </w:t>
      </w:r>
      <w:r>
        <w:rPr/>
        <w:t>service</w:t>
      </w:r>
      <w:r>
        <w:rPr>
          <w:spacing w:val="-15"/>
        </w:rPr>
        <w:t> </w:t>
      </w:r>
      <w:r>
        <w:rPr/>
        <w:t>delivery</w:t>
      </w:r>
      <w:r>
        <w:rPr>
          <w:spacing w:val="-15"/>
        </w:rPr>
        <w:t> </w:t>
      </w:r>
      <w:r>
        <w:rPr/>
        <w:t>across all</w:t>
      </w:r>
      <w:r>
        <w:rPr>
          <w:spacing w:val="-19"/>
        </w:rPr>
        <w:t> </w:t>
      </w:r>
      <w:r>
        <w:rPr/>
        <w:t>sites,</w:t>
      </w:r>
      <w:r>
        <w:rPr>
          <w:spacing w:val="-19"/>
        </w:rPr>
        <w:t> </w:t>
      </w:r>
      <w:r>
        <w:rPr/>
        <w:t>ensuring</w:t>
      </w:r>
      <w:r>
        <w:rPr>
          <w:spacing w:val="-19"/>
        </w:rPr>
        <w:t> </w:t>
      </w:r>
      <w:r>
        <w:rPr/>
        <w:t>equity</w:t>
      </w:r>
      <w:r>
        <w:rPr>
          <w:spacing w:val="-19"/>
        </w:rPr>
        <w:t> </w:t>
      </w:r>
      <w:r>
        <w:rPr/>
        <w:t>of</w:t>
      </w:r>
      <w:r>
        <w:rPr>
          <w:spacing w:val="-19"/>
        </w:rPr>
        <w:t> </w:t>
      </w:r>
      <w:r>
        <w:rPr/>
        <w:t>experience</w:t>
      </w:r>
      <w:r>
        <w:rPr>
          <w:spacing w:val="-19"/>
        </w:rPr>
        <w:t> </w:t>
      </w:r>
      <w:r>
        <w:rPr/>
        <w:t>and</w:t>
      </w:r>
    </w:p>
    <w:p>
      <w:pPr>
        <w:pStyle w:val="BodyText"/>
        <w:spacing w:line="249" w:lineRule="auto"/>
        <w:ind w:left="107"/>
      </w:pPr>
      <w:r>
        <w:rPr/>
        <w:t>superior</w:t>
      </w:r>
      <w:r>
        <w:rPr>
          <w:spacing w:val="-19"/>
        </w:rPr>
        <w:t> </w:t>
      </w:r>
      <w:r>
        <w:rPr/>
        <w:t>student</w:t>
      </w:r>
      <w:r>
        <w:rPr>
          <w:spacing w:val="-19"/>
        </w:rPr>
        <w:t> </w:t>
      </w:r>
      <w:r>
        <w:rPr/>
        <w:t>service</w:t>
      </w:r>
      <w:r>
        <w:rPr>
          <w:spacing w:val="-19"/>
        </w:rPr>
        <w:t> </w:t>
      </w:r>
      <w:r>
        <w:rPr/>
        <w:t>–</w:t>
      </w:r>
      <w:r>
        <w:rPr>
          <w:spacing w:val="-19"/>
        </w:rPr>
        <w:t> </w:t>
      </w:r>
      <w:r>
        <w:rPr/>
        <w:t>physical</w:t>
      </w:r>
      <w:r>
        <w:rPr>
          <w:spacing w:val="-19"/>
        </w:rPr>
        <w:t> </w:t>
      </w:r>
      <w:r>
        <w:rPr/>
        <w:t>and</w:t>
      </w:r>
      <w:r>
        <w:rPr>
          <w:spacing w:val="-19"/>
        </w:rPr>
        <w:t> </w:t>
      </w:r>
      <w:r>
        <w:rPr/>
        <w:t>online. This is now seen in the sector as an ideal approach, and is being adopted by several other</w:t>
      </w:r>
      <w:r>
        <w:rPr>
          <w:spacing w:val="-28"/>
        </w:rPr>
        <w:t> </w:t>
      </w:r>
      <w:r>
        <w:rPr/>
        <w:t>university</w:t>
      </w:r>
      <w:r>
        <w:rPr>
          <w:spacing w:val="-28"/>
        </w:rPr>
        <w:t> </w:t>
      </w:r>
      <w:r>
        <w:rPr/>
        <w:t>libraries.</w:t>
      </w:r>
    </w:p>
    <w:p>
      <w:pPr>
        <w:pStyle w:val="BodyText"/>
        <w:rPr>
          <w:sz w:val="20"/>
        </w:rPr>
      </w:pPr>
      <w:r>
        <w:rPr/>
        <w:br w:type="column"/>
      </w:r>
      <w:r>
        <w:rPr>
          <w:sz w:val="20"/>
        </w:rPr>
      </w:r>
    </w:p>
    <w:p>
      <w:pPr>
        <w:pStyle w:val="BodyText"/>
        <w:spacing w:line="249" w:lineRule="auto" w:before="1"/>
        <w:ind w:left="107" w:right="200"/>
      </w:pPr>
      <w:r>
        <w:rPr/>
        <w:t>The Library launched wireless printing for students on all campuses in response to student requests for more robust printing solutions and the ability to print from home</w:t>
      </w:r>
      <w:r>
        <w:rPr>
          <w:spacing w:val="-16"/>
        </w:rPr>
        <w:t> </w:t>
      </w:r>
      <w:r>
        <w:rPr/>
        <w:t>and</w:t>
      </w:r>
      <w:r>
        <w:rPr>
          <w:spacing w:val="-16"/>
        </w:rPr>
        <w:t> </w:t>
      </w:r>
      <w:r>
        <w:rPr/>
        <w:t>collect</w:t>
      </w:r>
      <w:r>
        <w:rPr>
          <w:spacing w:val="-16"/>
        </w:rPr>
        <w:t> </w:t>
      </w:r>
      <w:r>
        <w:rPr/>
        <w:t>on</w:t>
      </w:r>
      <w:r>
        <w:rPr>
          <w:spacing w:val="-16"/>
        </w:rPr>
        <w:t> </w:t>
      </w:r>
      <w:r>
        <w:rPr>
          <w:spacing w:val="2"/>
        </w:rPr>
        <w:t>campus.</w:t>
      </w:r>
      <w:r>
        <w:rPr>
          <w:spacing w:val="-16"/>
        </w:rPr>
        <w:t> </w:t>
      </w:r>
      <w:r>
        <w:rPr/>
        <w:t>Working</w:t>
      </w:r>
      <w:r>
        <w:rPr>
          <w:spacing w:val="-16"/>
        </w:rPr>
        <w:t> </w:t>
      </w:r>
      <w:r>
        <w:rPr/>
        <w:t>with</w:t>
      </w:r>
    </w:p>
    <w:p>
      <w:pPr>
        <w:pStyle w:val="BodyText"/>
        <w:spacing w:line="249" w:lineRule="auto"/>
        <w:ind w:left="107" w:right="25"/>
      </w:pPr>
      <w:r>
        <w:rPr/>
        <w:t>Information Technology and Digital Services (ITDS),</w:t>
      </w:r>
      <w:r>
        <w:rPr>
          <w:spacing w:val="-18"/>
        </w:rPr>
        <w:t> </w:t>
      </w:r>
      <w:r>
        <w:rPr/>
        <w:t>the</w:t>
      </w:r>
      <w:r>
        <w:rPr>
          <w:spacing w:val="-18"/>
        </w:rPr>
        <w:t> </w:t>
      </w:r>
      <w:r>
        <w:rPr/>
        <w:t>Library</w:t>
      </w:r>
      <w:r>
        <w:rPr>
          <w:spacing w:val="-18"/>
        </w:rPr>
        <w:t> </w:t>
      </w:r>
      <w:r>
        <w:rPr/>
        <w:t>led</w:t>
      </w:r>
      <w:r>
        <w:rPr>
          <w:spacing w:val="-18"/>
        </w:rPr>
        <w:t> </w:t>
      </w:r>
      <w:r>
        <w:rPr/>
        <w:t>the</w:t>
      </w:r>
      <w:r>
        <w:rPr>
          <w:spacing w:val="-18"/>
        </w:rPr>
        <w:t> </w:t>
      </w:r>
      <w:r>
        <w:rPr/>
        <w:t>implementation</w:t>
      </w:r>
      <w:r>
        <w:rPr>
          <w:spacing w:val="-18"/>
        </w:rPr>
        <w:t> </w:t>
      </w:r>
      <w:r>
        <w:rPr/>
        <w:t>of the</w:t>
      </w:r>
      <w:r>
        <w:rPr>
          <w:spacing w:val="-16"/>
        </w:rPr>
        <w:t> </w:t>
      </w:r>
      <w:r>
        <w:rPr/>
        <w:t>wireless</w:t>
      </w:r>
      <w:r>
        <w:rPr>
          <w:spacing w:val="-16"/>
        </w:rPr>
        <w:t> </w:t>
      </w:r>
      <w:r>
        <w:rPr/>
        <w:t>printing</w:t>
      </w:r>
      <w:r>
        <w:rPr>
          <w:spacing w:val="-16"/>
        </w:rPr>
        <w:t> </w:t>
      </w:r>
      <w:r>
        <w:rPr/>
        <w:t>service</w:t>
      </w:r>
      <w:r>
        <w:rPr>
          <w:spacing w:val="-16"/>
        </w:rPr>
        <w:t> </w:t>
      </w:r>
      <w:r>
        <w:rPr/>
        <w:t>in</w:t>
      </w:r>
      <w:r>
        <w:rPr>
          <w:spacing w:val="-16"/>
        </w:rPr>
        <w:t> </w:t>
      </w:r>
      <w:r>
        <w:rPr/>
        <w:t>preparation</w:t>
      </w:r>
      <w:r>
        <w:rPr>
          <w:spacing w:val="-16"/>
        </w:rPr>
        <w:t> </w:t>
      </w:r>
      <w:r>
        <w:rPr/>
        <w:t>for the</w:t>
      </w:r>
      <w:r>
        <w:rPr>
          <w:spacing w:val="-16"/>
        </w:rPr>
        <w:t> </w:t>
      </w:r>
      <w:r>
        <w:rPr/>
        <w:t>opening</w:t>
      </w:r>
      <w:r>
        <w:rPr>
          <w:spacing w:val="-16"/>
        </w:rPr>
        <w:t> </w:t>
      </w:r>
      <w:r>
        <w:rPr/>
        <w:t>of</w:t>
      </w:r>
      <w:r>
        <w:rPr>
          <w:spacing w:val="-16"/>
        </w:rPr>
        <w:t> </w:t>
      </w:r>
      <w:r>
        <w:rPr/>
        <w:t>the</w:t>
      </w:r>
      <w:r>
        <w:rPr>
          <w:spacing w:val="-16"/>
        </w:rPr>
        <w:t> </w:t>
      </w:r>
      <w:r>
        <w:rPr/>
        <w:t>Parramatta</w:t>
      </w:r>
      <w:r>
        <w:rPr>
          <w:spacing w:val="-16"/>
        </w:rPr>
        <w:t> </w:t>
      </w:r>
      <w:r>
        <w:rPr/>
        <w:t>City</w:t>
      </w:r>
      <w:r>
        <w:rPr>
          <w:spacing w:val="-16"/>
        </w:rPr>
        <w:t> </w:t>
      </w:r>
      <w:r>
        <w:rPr>
          <w:spacing w:val="2"/>
        </w:rPr>
        <w:t>campus.</w:t>
      </w:r>
    </w:p>
    <w:p>
      <w:pPr>
        <w:pStyle w:val="BodyText"/>
        <w:rPr>
          <w:sz w:val="14"/>
        </w:rPr>
      </w:pPr>
    </w:p>
    <w:p>
      <w:pPr>
        <w:pStyle w:val="BodyText"/>
        <w:spacing w:line="247" w:lineRule="auto"/>
        <w:ind w:left="107" w:right="108"/>
      </w:pPr>
      <w:r>
        <w:rPr/>
        <w:t>The Library was the first in the sector to provide students and staff with unlimited access</w:t>
      </w:r>
      <w:r>
        <w:rPr>
          <w:spacing w:val="-15"/>
        </w:rPr>
        <w:t> </w:t>
      </w:r>
      <w:r>
        <w:rPr/>
        <w:t>to</w:t>
      </w:r>
      <w:r>
        <w:rPr>
          <w:spacing w:val="-15"/>
        </w:rPr>
        <w:t> </w:t>
      </w:r>
      <w:r>
        <w:rPr/>
        <w:t>Fairfax</w:t>
      </w:r>
      <w:r>
        <w:rPr>
          <w:spacing w:val="-15"/>
        </w:rPr>
        <w:t> </w:t>
      </w:r>
      <w:r>
        <w:rPr/>
        <w:t>Media</w:t>
      </w:r>
      <w:r>
        <w:rPr>
          <w:spacing w:val="-15"/>
        </w:rPr>
        <w:t> </w:t>
      </w:r>
      <w:r>
        <w:rPr/>
        <w:t>newspapers.</w:t>
      </w:r>
      <w:r>
        <w:rPr>
          <w:spacing w:val="-15"/>
        </w:rPr>
        <w:t> </w:t>
      </w:r>
      <w:r>
        <w:rPr/>
        <w:t>All</w:t>
      </w:r>
      <w:r>
        <w:rPr>
          <w:spacing w:val="-15"/>
        </w:rPr>
        <w:t> </w:t>
      </w:r>
      <w:r>
        <w:rPr/>
        <w:t>staff and students can now access </w:t>
      </w:r>
      <w:r>
        <w:rPr>
          <w:rFonts w:ascii="Century Gothic"/>
          <w:i/>
        </w:rPr>
        <w:t>The Sydney </w:t>
      </w:r>
      <w:r>
        <w:rPr>
          <w:rFonts w:ascii="Century Gothic"/>
          <w:i/>
        </w:rPr>
        <w:t>Morning</w:t>
      </w:r>
      <w:r>
        <w:rPr>
          <w:rFonts w:ascii="Century Gothic"/>
          <w:i/>
          <w:spacing w:val="-32"/>
        </w:rPr>
        <w:t> </w:t>
      </w:r>
      <w:r>
        <w:rPr>
          <w:rFonts w:ascii="Century Gothic"/>
          <w:i/>
        </w:rPr>
        <w:t>Herald,</w:t>
      </w:r>
      <w:r>
        <w:rPr>
          <w:rFonts w:ascii="Century Gothic"/>
          <w:i/>
          <w:spacing w:val="-32"/>
        </w:rPr>
        <w:t> </w:t>
      </w:r>
      <w:r>
        <w:rPr>
          <w:rFonts w:ascii="Century Gothic"/>
          <w:i/>
        </w:rPr>
        <w:t>The</w:t>
      </w:r>
      <w:r>
        <w:rPr>
          <w:rFonts w:ascii="Century Gothic"/>
          <w:i/>
          <w:spacing w:val="-32"/>
        </w:rPr>
        <w:t> </w:t>
      </w:r>
      <w:r>
        <w:rPr>
          <w:rFonts w:ascii="Century Gothic"/>
          <w:i/>
        </w:rPr>
        <w:t>Australian</w:t>
      </w:r>
      <w:r>
        <w:rPr>
          <w:rFonts w:ascii="Century Gothic"/>
          <w:i/>
          <w:spacing w:val="-32"/>
        </w:rPr>
        <w:t> </w:t>
      </w:r>
      <w:r>
        <w:rPr>
          <w:rFonts w:ascii="Century Gothic"/>
          <w:i/>
        </w:rPr>
        <w:t>Financial Review</w:t>
      </w:r>
      <w:r>
        <w:rPr>
          <w:rFonts w:ascii="Century Gothic"/>
          <w:i/>
          <w:spacing w:val="-22"/>
        </w:rPr>
        <w:t> </w:t>
      </w:r>
      <w:r>
        <w:rPr/>
        <w:t>and</w:t>
      </w:r>
      <w:r>
        <w:rPr>
          <w:spacing w:val="-28"/>
        </w:rPr>
        <w:t> </w:t>
      </w:r>
      <w:r>
        <w:rPr>
          <w:rFonts w:ascii="Century Gothic"/>
          <w:i/>
        </w:rPr>
        <w:t>The</w:t>
      </w:r>
      <w:r>
        <w:rPr>
          <w:rFonts w:ascii="Century Gothic"/>
          <w:i/>
          <w:spacing w:val="-22"/>
        </w:rPr>
        <w:t> </w:t>
      </w:r>
      <w:r>
        <w:rPr>
          <w:rFonts w:ascii="Century Gothic"/>
          <w:i/>
        </w:rPr>
        <w:t>Age</w:t>
      </w:r>
      <w:r>
        <w:rPr/>
        <w:t>,</w:t>
      </w:r>
      <w:r>
        <w:rPr>
          <w:spacing w:val="-28"/>
        </w:rPr>
        <w:t> </w:t>
      </w:r>
      <w:r>
        <w:rPr/>
        <w:t>while</w:t>
      </w:r>
      <w:r>
        <w:rPr>
          <w:spacing w:val="-28"/>
        </w:rPr>
        <w:t> </w:t>
      </w:r>
      <w:r>
        <w:rPr/>
        <w:t>on</w:t>
      </w:r>
      <w:r>
        <w:rPr>
          <w:spacing w:val="-28"/>
        </w:rPr>
        <w:t> </w:t>
      </w:r>
      <w:r>
        <w:rPr/>
        <w:t>campus</w:t>
      </w:r>
      <w:r>
        <w:rPr>
          <w:spacing w:val="-28"/>
        </w:rPr>
        <w:t> </w:t>
      </w:r>
      <w:r>
        <w:rPr/>
        <w:t>or</w:t>
      </w:r>
      <w:r>
        <w:rPr>
          <w:spacing w:val="-28"/>
        </w:rPr>
        <w:t> </w:t>
      </w:r>
      <w:r>
        <w:rPr/>
        <w:t>at home. The Library worked with Fairfax to implement</w:t>
      </w:r>
      <w:r>
        <w:rPr>
          <w:spacing w:val="-15"/>
        </w:rPr>
        <w:t> </w:t>
      </w:r>
      <w:r>
        <w:rPr/>
        <w:t>access,</w:t>
      </w:r>
      <w:r>
        <w:rPr>
          <w:spacing w:val="-15"/>
        </w:rPr>
        <w:t> </w:t>
      </w:r>
      <w:r>
        <w:rPr/>
        <w:t>which</w:t>
      </w:r>
      <w:r>
        <w:rPr>
          <w:spacing w:val="-15"/>
        </w:rPr>
        <w:t> </w:t>
      </w:r>
      <w:r>
        <w:rPr/>
        <w:t>is</w:t>
      </w:r>
      <w:r>
        <w:rPr>
          <w:spacing w:val="-15"/>
        </w:rPr>
        <w:t> </w:t>
      </w:r>
      <w:r>
        <w:rPr/>
        <w:t>now</w:t>
      </w:r>
      <w:r>
        <w:rPr>
          <w:spacing w:val="-15"/>
        </w:rPr>
        <w:t> </w:t>
      </w:r>
      <w:r>
        <w:rPr/>
        <w:t>being</w:t>
      </w:r>
      <w:r>
        <w:rPr>
          <w:spacing w:val="-15"/>
        </w:rPr>
        <w:t> </w:t>
      </w:r>
      <w:r>
        <w:rPr/>
        <w:t>rolled out</w:t>
      </w:r>
      <w:r>
        <w:rPr>
          <w:spacing w:val="-22"/>
        </w:rPr>
        <w:t> </w:t>
      </w:r>
      <w:r>
        <w:rPr/>
        <w:t>across</w:t>
      </w:r>
      <w:r>
        <w:rPr>
          <w:spacing w:val="-22"/>
        </w:rPr>
        <w:t> </w:t>
      </w:r>
      <w:r>
        <w:rPr/>
        <w:t>the</w:t>
      </w:r>
      <w:r>
        <w:rPr>
          <w:spacing w:val="-22"/>
        </w:rPr>
        <w:t> </w:t>
      </w:r>
      <w:r>
        <w:rPr/>
        <w:t>sector.</w:t>
      </w:r>
    </w:p>
    <w:p>
      <w:pPr>
        <w:pStyle w:val="BodyText"/>
        <w:spacing w:before="2"/>
        <w:rPr>
          <w:sz w:val="14"/>
        </w:rPr>
      </w:pPr>
    </w:p>
    <w:p>
      <w:pPr>
        <w:pStyle w:val="BodyText"/>
        <w:spacing w:line="249" w:lineRule="auto"/>
        <w:ind w:left="107" w:right="11"/>
      </w:pPr>
      <w:r>
        <w:rPr/>
        <w:t>The Library delivered a new ‘follow me’ service in its multi-storey buildings. Adapting a concept used in the hospitality sector, ‘follow me’ services allow staff to find students needing help anywhere in the Library. Students using the service are able to move around the Library while waiting for support staff.</w:t>
      </w:r>
    </w:p>
    <w:p>
      <w:pPr>
        <w:pStyle w:val="BodyText"/>
        <w:spacing w:before="3"/>
        <w:rPr>
          <w:sz w:val="19"/>
        </w:rPr>
      </w:pPr>
    </w:p>
    <w:p>
      <w:pPr>
        <w:pStyle w:val="Heading7"/>
        <w:ind w:right="200"/>
      </w:pPr>
      <w:r>
        <w:rPr>
          <w:w w:val="95"/>
        </w:rPr>
        <w:t>SCHOLARLY SUPPORT</w:t>
      </w:r>
    </w:p>
    <w:p>
      <w:pPr>
        <w:pStyle w:val="BodyText"/>
        <w:spacing w:line="249" w:lineRule="auto" w:before="58"/>
        <w:ind w:left="107" w:right="69"/>
      </w:pPr>
      <w:r>
        <w:rPr>
          <w:spacing w:val="1"/>
          <w:w w:val="80"/>
        </w:rPr>
        <w:t>In</w:t>
      </w:r>
      <w:r>
        <w:rPr>
          <w:w w:val="80"/>
        </w:rPr>
        <w:t> </w:t>
      </w:r>
      <w:r>
        <w:rPr>
          <w:spacing w:val="2"/>
          <w:w w:val="85"/>
        </w:rPr>
        <w:t>2016,</w:t>
      </w:r>
      <w:r>
        <w:rPr>
          <w:w w:val="85"/>
        </w:rPr>
        <w:t> </w:t>
      </w:r>
      <w:r>
        <w:rPr>
          <w:w w:val="97"/>
        </w:rPr>
        <w:t>the </w:t>
      </w:r>
      <w:r>
        <w:rPr>
          <w:spacing w:val="2"/>
          <w:w w:val="98"/>
        </w:rPr>
        <w:t>Library</w:t>
      </w:r>
      <w:r>
        <w:rPr>
          <w:w w:val="98"/>
        </w:rPr>
        <w:t> </w:t>
      </w:r>
      <w:r>
        <w:rPr>
          <w:w w:val="99"/>
        </w:rPr>
        <w:t>provided </w:t>
      </w:r>
      <w:r>
        <w:rPr>
          <w:w w:val="98"/>
        </w:rPr>
        <w:t>literacy </w:t>
      </w:r>
      <w:r>
        <w:rPr>
          <w:spacing w:val="1"/>
          <w:w w:val="99"/>
        </w:rPr>
        <w:t>support</w:t>
      </w:r>
      <w:r>
        <w:rPr>
          <w:w w:val="99"/>
        </w:rPr>
        <w:t> </w:t>
      </w:r>
      <w:r>
        <w:rPr/>
        <w:t>to</w:t>
      </w:r>
      <w:r>
        <w:rPr>
          <w:spacing w:val="-18"/>
        </w:rPr>
        <w:t> </w:t>
      </w:r>
      <w:r>
        <w:rPr/>
        <w:t>all</w:t>
      </w:r>
      <w:r>
        <w:rPr>
          <w:spacing w:val="-18"/>
        </w:rPr>
        <w:t> </w:t>
      </w:r>
      <w:r>
        <w:rPr/>
        <w:t>students</w:t>
      </w:r>
      <w:r>
        <w:rPr>
          <w:spacing w:val="-18"/>
        </w:rPr>
        <w:t> </w:t>
      </w:r>
      <w:r>
        <w:rPr/>
        <w:t>at</w:t>
      </w:r>
      <w:r>
        <w:rPr>
          <w:spacing w:val="-18"/>
        </w:rPr>
        <w:t> </w:t>
      </w:r>
      <w:r>
        <w:rPr/>
        <w:t>the</w:t>
      </w:r>
      <w:r>
        <w:rPr>
          <w:spacing w:val="-18"/>
        </w:rPr>
        <w:t> </w:t>
      </w:r>
      <w:r>
        <w:rPr/>
        <w:t>University.</w:t>
      </w:r>
      <w:r>
        <w:rPr>
          <w:spacing w:val="-18"/>
        </w:rPr>
        <w:t> </w:t>
      </w:r>
      <w:r>
        <w:rPr/>
        <w:t>The</w:t>
      </w:r>
      <w:r>
        <w:rPr>
          <w:spacing w:val="-18"/>
        </w:rPr>
        <w:t> </w:t>
      </w:r>
      <w:r>
        <w:rPr/>
        <w:t>Library’s Study Smart service offers a multifaceted ecosystem that </w:t>
      </w:r>
      <w:r>
        <w:rPr>
          <w:spacing w:val="2"/>
        </w:rPr>
        <w:t>supports </w:t>
      </w:r>
      <w:r>
        <w:rPr/>
        <w:t>student’s literacy development, and awareness of academic integrity</w:t>
      </w:r>
      <w:r>
        <w:rPr>
          <w:spacing w:val="-20"/>
        </w:rPr>
        <w:t> </w:t>
      </w:r>
      <w:r>
        <w:rPr/>
        <w:t>and</w:t>
      </w:r>
      <w:r>
        <w:rPr>
          <w:spacing w:val="-20"/>
        </w:rPr>
        <w:t> </w:t>
      </w:r>
      <w:r>
        <w:rPr/>
        <w:t>ethical</w:t>
      </w:r>
      <w:r>
        <w:rPr>
          <w:spacing w:val="-20"/>
        </w:rPr>
        <w:t> </w:t>
      </w:r>
      <w:r>
        <w:rPr/>
        <w:t>scholarship.</w:t>
      </w:r>
    </w:p>
    <w:p>
      <w:pPr>
        <w:pStyle w:val="BodyText"/>
        <w:rPr>
          <w:sz w:val="14"/>
        </w:rPr>
      </w:pPr>
    </w:p>
    <w:p>
      <w:pPr>
        <w:pStyle w:val="BodyText"/>
        <w:spacing w:line="249" w:lineRule="auto"/>
        <w:ind w:left="107" w:right="-6"/>
      </w:pPr>
      <w:r>
        <w:rPr/>
        <w:t>The</w:t>
      </w:r>
      <w:r>
        <w:rPr>
          <w:spacing w:val="-15"/>
        </w:rPr>
        <w:t> </w:t>
      </w:r>
      <w:r>
        <w:rPr/>
        <w:t>Library’s</w:t>
      </w:r>
      <w:r>
        <w:rPr>
          <w:spacing w:val="-15"/>
        </w:rPr>
        <w:t> </w:t>
      </w:r>
      <w:r>
        <w:rPr/>
        <w:t>academic</w:t>
      </w:r>
      <w:r>
        <w:rPr>
          <w:spacing w:val="-15"/>
        </w:rPr>
        <w:t> </w:t>
      </w:r>
      <w:r>
        <w:rPr/>
        <w:t>roving</w:t>
      </w:r>
      <w:r>
        <w:rPr>
          <w:spacing w:val="-15"/>
        </w:rPr>
        <w:t> </w:t>
      </w:r>
      <w:r>
        <w:rPr/>
        <w:t>program,</w:t>
      </w:r>
      <w:r>
        <w:rPr>
          <w:spacing w:val="-15"/>
        </w:rPr>
        <w:t> </w:t>
      </w:r>
      <w:r>
        <w:rPr/>
        <w:t>which was</w:t>
      </w:r>
      <w:r>
        <w:rPr>
          <w:spacing w:val="-15"/>
        </w:rPr>
        <w:t> </w:t>
      </w:r>
      <w:r>
        <w:rPr/>
        <w:t>funded</w:t>
      </w:r>
      <w:r>
        <w:rPr>
          <w:spacing w:val="-15"/>
        </w:rPr>
        <w:t> </w:t>
      </w:r>
      <w:r>
        <w:rPr/>
        <w:t>through</w:t>
      </w:r>
      <w:r>
        <w:rPr>
          <w:spacing w:val="-15"/>
        </w:rPr>
        <w:t> </w:t>
      </w:r>
      <w:r>
        <w:rPr/>
        <w:t>the</w:t>
      </w:r>
      <w:r>
        <w:rPr>
          <w:spacing w:val="-15"/>
        </w:rPr>
        <w:t> </w:t>
      </w:r>
      <w:r>
        <w:rPr/>
        <w:t>Student</w:t>
      </w:r>
      <w:r>
        <w:rPr>
          <w:spacing w:val="-15"/>
        </w:rPr>
        <w:t> </w:t>
      </w:r>
      <w:r>
        <w:rPr/>
        <w:t>Services</w:t>
      </w:r>
    </w:p>
    <w:p>
      <w:pPr>
        <w:pStyle w:val="BodyText"/>
        <w:spacing w:line="249" w:lineRule="auto"/>
        <w:ind w:left="107" w:right="19"/>
      </w:pPr>
      <w:r>
        <w:rPr/>
        <w:t>and Amenities Fee, expanded to include a digital presence and targeted support within Schools.</w:t>
      </w:r>
      <w:r>
        <w:rPr>
          <w:spacing w:val="-16"/>
        </w:rPr>
        <w:t> </w:t>
      </w:r>
      <w:r>
        <w:rPr/>
        <w:t>Study</w:t>
      </w:r>
      <w:r>
        <w:rPr>
          <w:spacing w:val="-16"/>
        </w:rPr>
        <w:t> </w:t>
      </w:r>
      <w:r>
        <w:rPr/>
        <w:t>‘smart</w:t>
      </w:r>
      <w:r>
        <w:rPr>
          <w:spacing w:val="-16"/>
        </w:rPr>
        <w:t> </w:t>
      </w:r>
      <w:r>
        <w:rPr/>
        <w:t>zones’</w:t>
      </w:r>
      <w:r>
        <w:rPr>
          <w:spacing w:val="-16"/>
        </w:rPr>
        <w:t> </w:t>
      </w:r>
      <w:r>
        <w:rPr/>
        <w:t>were</w:t>
      </w:r>
      <w:r>
        <w:rPr>
          <w:spacing w:val="-16"/>
        </w:rPr>
        <w:t> </w:t>
      </w:r>
      <w:r>
        <w:rPr/>
        <w:t>established in each Library to </w:t>
      </w:r>
      <w:r>
        <w:rPr>
          <w:spacing w:val="2"/>
        </w:rPr>
        <w:t>act </w:t>
      </w:r>
      <w:r>
        <w:rPr/>
        <w:t>as hubs for scholarly support in a range of literacies. The physical zones were complemented by a new Library Study</w:t>
      </w:r>
      <w:r>
        <w:rPr>
          <w:spacing w:val="-17"/>
        </w:rPr>
        <w:t> </w:t>
      </w:r>
      <w:r>
        <w:rPr/>
        <w:t>Smart</w:t>
      </w:r>
      <w:r>
        <w:rPr>
          <w:spacing w:val="-17"/>
        </w:rPr>
        <w:t> </w:t>
      </w:r>
      <w:r>
        <w:rPr/>
        <w:t>digital</w:t>
      </w:r>
      <w:r>
        <w:rPr>
          <w:spacing w:val="-17"/>
        </w:rPr>
        <w:t> </w:t>
      </w:r>
      <w:r>
        <w:rPr/>
        <w:t>presence.</w:t>
      </w:r>
    </w:p>
    <w:p>
      <w:pPr>
        <w:pStyle w:val="BodyText"/>
        <w:rPr>
          <w:sz w:val="20"/>
        </w:rPr>
      </w:pPr>
      <w:r>
        <w:rPr/>
        <w:br w:type="column"/>
      </w:r>
      <w:r>
        <w:rPr>
          <w:sz w:val="20"/>
        </w:rPr>
      </w:r>
    </w:p>
    <w:p>
      <w:pPr>
        <w:pStyle w:val="BodyText"/>
        <w:spacing w:line="249" w:lineRule="auto"/>
        <w:ind w:left="107" w:right="616"/>
      </w:pPr>
      <w:r>
        <w:rPr/>
        <w:t>The</w:t>
      </w:r>
      <w:r>
        <w:rPr>
          <w:spacing w:val="-17"/>
        </w:rPr>
        <w:t> </w:t>
      </w:r>
      <w:r>
        <w:rPr/>
        <w:t>Library</w:t>
      </w:r>
      <w:r>
        <w:rPr>
          <w:spacing w:val="-17"/>
        </w:rPr>
        <w:t> </w:t>
      </w:r>
      <w:r>
        <w:rPr/>
        <w:t>liaison</w:t>
      </w:r>
      <w:r>
        <w:rPr>
          <w:spacing w:val="-17"/>
        </w:rPr>
        <w:t> </w:t>
      </w:r>
      <w:r>
        <w:rPr/>
        <w:t>services</w:t>
      </w:r>
      <w:r>
        <w:rPr>
          <w:spacing w:val="-17"/>
        </w:rPr>
        <w:t> </w:t>
      </w:r>
      <w:r>
        <w:rPr/>
        <w:t>teams</w:t>
      </w:r>
      <w:r>
        <w:rPr>
          <w:spacing w:val="-17"/>
        </w:rPr>
        <w:t> </w:t>
      </w:r>
      <w:r>
        <w:rPr/>
        <w:t>were reconfigured</w:t>
      </w:r>
      <w:r>
        <w:rPr>
          <w:spacing w:val="-21"/>
        </w:rPr>
        <w:t> </w:t>
      </w:r>
      <w:r>
        <w:rPr/>
        <w:t>as</w:t>
      </w:r>
      <w:r>
        <w:rPr>
          <w:spacing w:val="-21"/>
        </w:rPr>
        <w:t> </w:t>
      </w:r>
      <w:r>
        <w:rPr/>
        <w:t>Learning</w:t>
      </w:r>
      <w:r>
        <w:rPr>
          <w:spacing w:val="-21"/>
        </w:rPr>
        <w:t> </w:t>
      </w:r>
      <w:r>
        <w:rPr/>
        <w:t>Skills</w:t>
      </w:r>
      <w:r>
        <w:rPr>
          <w:spacing w:val="-21"/>
        </w:rPr>
        <w:t> </w:t>
      </w:r>
      <w:r>
        <w:rPr/>
        <w:t>Teams, adopting a School-based approach with a focus on integrated literacy, academic</w:t>
      </w:r>
      <w:r>
        <w:rPr>
          <w:spacing w:val="-11"/>
        </w:rPr>
        <w:t> </w:t>
      </w:r>
      <w:r>
        <w:rPr/>
        <w:t>integrity</w:t>
      </w:r>
      <w:r>
        <w:rPr>
          <w:spacing w:val="-11"/>
        </w:rPr>
        <w:t> </w:t>
      </w:r>
      <w:r>
        <w:rPr/>
        <w:t>support</w:t>
      </w:r>
      <w:r>
        <w:rPr>
          <w:spacing w:val="-11"/>
        </w:rPr>
        <w:t> </w:t>
      </w:r>
      <w:r>
        <w:rPr/>
        <w:t>and</w:t>
      </w:r>
      <w:r>
        <w:rPr>
          <w:spacing w:val="-11"/>
        </w:rPr>
        <w:t> </w:t>
      </w:r>
      <w:r>
        <w:rPr/>
        <w:t>the</w:t>
      </w:r>
    </w:p>
    <w:p>
      <w:pPr>
        <w:pStyle w:val="BodyText"/>
        <w:spacing w:line="249" w:lineRule="auto"/>
        <w:ind w:left="107" w:right="460"/>
      </w:pPr>
      <w:r>
        <w:rPr/>
        <w:t>development of School-based resources that are embedded in the curriculum.</w:t>
      </w:r>
    </w:p>
    <w:p>
      <w:pPr>
        <w:pStyle w:val="BodyText"/>
        <w:spacing w:before="3"/>
        <w:rPr>
          <w:sz w:val="19"/>
        </w:rPr>
      </w:pPr>
    </w:p>
    <w:p>
      <w:pPr>
        <w:pStyle w:val="Heading7"/>
        <w:ind w:right="460"/>
      </w:pPr>
      <w:r>
        <w:rPr/>
        <w:t>RESEARCH</w:t>
      </w:r>
    </w:p>
    <w:p>
      <w:pPr>
        <w:pStyle w:val="BodyText"/>
        <w:spacing w:line="249" w:lineRule="auto" w:before="58"/>
        <w:ind w:left="107" w:right="434"/>
      </w:pPr>
      <w:r>
        <w:rPr/>
        <w:t>In response to the University’s research data management policy, Western Library expanded ResearchDirect’s data management</w:t>
      </w:r>
      <w:r>
        <w:rPr>
          <w:spacing w:val="-20"/>
        </w:rPr>
        <w:t> </w:t>
      </w:r>
      <w:r>
        <w:rPr/>
        <w:t>capabilities,</w:t>
      </w:r>
      <w:r>
        <w:rPr>
          <w:spacing w:val="-20"/>
        </w:rPr>
        <w:t> </w:t>
      </w:r>
      <w:r>
        <w:rPr/>
        <w:t>with</w:t>
      </w:r>
      <w:r>
        <w:rPr>
          <w:spacing w:val="-20"/>
        </w:rPr>
        <w:t> </w:t>
      </w:r>
      <w:r>
        <w:rPr/>
        <w:t>the</w:t>
      </w:r>
      <w:r>
        <w:rPr>
          <w:spacing w:val="-20"/>
        </w:rPr>
        <w:t> </w:t>
      </w:r>
      <w:r>
        <w:rPr/>
        <w:t>launch of the Researcher Dashboard. Drawing on the Australian National Data Service’s framework, the Researcher Dashboard </w:t>
      </w:r>
      <w:r>
        <w:rPr>
          <w:spacing w:val="2"/>
        </w:rPr>
        <w:t>connects </w:t>
      </w:r>
      <w:r>
        <w:rPr/>
        <w:t>researchers with University data</w:t>
      </w:r>
      <w:r>
        <w:rPr>
          <w:spacing w:val="-25"/>
        </w:rPr>
        <w:t> </w:t>
      </w:r>
      <w:r>
        <w:rPr>
          <w:spacing w:val="2"/>
        </w:rPr>
        <w:t>services,</w:t>
      </w:r>
      <w:r>
        <w:rPr>
          <w:spacing w:val="-25"/>
        </w:rPr>
        <w:t> </w:t>
      </w:r>
      <w:r>
        <w:rPr/>
        <w:t>such</w:t>
      </w:r>
      <w:r>
        <w:rPr>
          <w:spacing w:val="-25"/>
        </w:rPr>
        <w:t> </w:t>
      </w:r>
      <w:r>
        <w:rPr/>
        <w:t>as</w:t>
      </w:r>
      <w:r>
        <w:rPr>
          <w:spacing w:val="-25"/>
        </w:rPr>
        <w:t> </w:t>
      </w:r>
      <w:r>
        <w:rPr/>
        <w:t>data</w:t>
      </w:r>
      <w:r>
        <w:rPr>
          <w:spacing w:val="-25"/>
        </w:rPr>
        <w:t> </w:t>
      </w:r>
      <w:r>
        <w:rPr/>
        <w:t>storage,</w:t>
      </w:r>
      <w:r>
        <w:rPr>
          <w:spacing w:val="-25"/>
        </w:rPr>
        <w:t> </w:t>
      </w:r>
      <w:r>
        <w:rPr/>
        <w:t>DOI</w:t>
      </w:r>
    </w:p>
    <w:p>
      <w:pPr>
        <w:pStyle w:val="BodyText"/>
        <w:spacing w:line="249" w:lineRule="auto"/>
        <w:ind w:left="107" w:right="172"/>
      </w:pPr>
      <w:r>
        <w:rPr/>
        <w:t>assignation for journal publications and data descriptions in Research Data Australia.</w:t>
      </w:r>
    </w:p>
    <w:p>
      <w:pPr>
        <w:pStyle w:val="BodyText"/>
        <w:spacing w:before="3"/>
        <w:rPr>
          <w:sz w:val="19"/>
        </w:rPr>
      </w:pPr>
    </w:p>
    <w:p>
      <w:pPr>
        <w:pStyle w:val="Heading7"/>
        <w:ind w:right="460"/>
      </w:pPr>
      <w:r>
        <w:rPr/>
        <w:t>ENGAGEMENT</w:t>
      </w:r>
    </w:p>
    <w:p>
      <w:pPr>
        <w:pStyle w:val="BodyText"/>
        <w:spacing w:line="249" w:lineRule="auto" w:before="58"/>
        <w:ind w:left="107" w:right="122"/>
      </w:pPr>
      <w:r>
        <w:rPr/>
        <w:t>The</w:t>
      </w:r>
      <w:r>
        <w:rPr>
          <w:spacing w:val="-16"/>
        </w:rPr>
        <w:t> </w:t>
      </w:r>
      <w:r>
        <w:rPr/>
        <w:t>Library</w:t>
      </w:r>
      <w:r>
        <w:rPr>
          <w:spacing w:val="-16"/>
        </w:rPr>
        <w:t> </w:t>
      </w:r>
      <w:r>
        <w:rPr/>
        <w:t>partnered</w:t>
      </w:r>
      <w:r>
        <w:rPr>
          <w:spacing w:val="-16"/>
        </w:rPr>
        <w:t> </w:t>
      </w:r>
      <w:r>
        <w:rPr/>
        <w:t>with</w:t>
      </w:r>
      <w:r>
        <w:rPr>
          <w:spacing w:val="-16"/>
        </w:rPr>
        <w:t> </w:t>
      </w:r>
      <w:r>
        <w:rPr/>
        <w:t>the</w:t>
      </w:r>
      <w:r>
        <w:rPr>
          <w:spacing w:val="-16"/>
        </w:rPr>
        <w:t> </w:t>
      </w:r>
      <w:r>
        <w:rPr/>
        <w:t>Mental</w:t>
      </w:r>
      <w:r>
        <w:rPr>
          <w:spacing w:val="-16"/>
        </w:rPr>
        <w:t> </w:t>
      </w:r>
      <w:r>
        <w:rPr/>
        <w:t>Health unit</w:t>
      </w:r>
      <w:r>
        <w:rPr>
          <w:spacing w:val="-16"/>
        </w:rPr>
        <w:t> </w:t>
      </w:r>
      <w:r>
        <w:rPr/>
        <w:t>during</w:t>
      </w:r>
      <w:r>
        <w:rPr>
          <w:spacing w:val="-16"/>
        </w:rPr>
        <w:t> </w:t>
      </w:r>
      <w:r>
        <w:rPr/>
        <w:t>Mental</w:t>
      </w:r>
      <w:r>
        <w:rPr>
          <w:spacing w:val="-16"/>
        </w:rPr>
        <w:t> </w:t>
      </w:r>
      <w:r>
        <w:rPr/>
        <w:t>Health</w:t>
      </w:r>
      <w:r>
        <w:rPr>
          <w:spacing w:val="-16"/>
        </w:rPr>
        <w:t> </w:t>
      </w:r>
      <w:r>
        <w:rPr/>
        <w:t>Week.</w:t>
      </w:r>
      <w:r>
        <w:rPr>
          <w:spacing w:val="-16"/>
        </w:rPr>
        <w:t> </w:t>
      </w:r>
      <w:r>
        <w:rPr/>
        <w:t>Library</w:t>
      </w:r>
      <w:r>
        <w:rPr>
          <w:spacing w:val="-16"/>
        </w:rPr>
        <w:t> </w:t>
      </w:r>
      <w:r>
        <w:rPr/>
        <w:t>staff promoted expanded study break resources. They also trialled the </w:t>
      </w:r>
      <w:r>
        <w:rPr>
          <w:spacing w:val="2"/>
        </w:rPr>
        <w:t>‘Library </w:t>
      </w:r>
      <w:r>
        <w:rPr/>
        <w:t>on the lawn’ concept,</w:t>
      </w:r>
      <w:r>
        <w:rPr>
          <w:spacing w:val="-15"/>
        </w:rPr>
        <w:t> </w:t>
      </w:r>
      <w:r>
        <w:rPr/>
        <w:t>which</w:t>
      </w:r>
      <w:r>
        <w:rPr>
          <w:spacing w:val="-15"/>
        </w:rPr>
        <w:t> </w:t>
      </w:r>
      <w:r>
        <w:rPr/>
        <w:t>provides</w:t>
      </w:r>
      <w:r>
        <w:rPr>
          <w:spacing w:val="-15"/>
        </w:rPr>
        <w:t> </w:t>
      </w:r>
      <w:r>
        <w:rPr/>
        <w:t>a</w:t>
      </w:r>
      <w:r>
        <w:rPr>
          <w:spacing w:val="-15"/>
        </w:rPr>
        <w:t> </w:t>
      </w:r>
      <w:r>
        <w:rPr/>
        <w:t>space</w:t>
      </w:r>
      <w:r>
        <w:rPr>
          <w:spacing w:val="-15"/>
        </w:rPr>
        <w:t> </w:t>
      </w:r>
      <w:r>
        <w:rPr/>
        <w:t>for</w:t>
      </w:r>
      <w:r>
        <w:rPr>
          <w:spacing w:val="-15"/>
        </w:rPr>
        <w:t> </w:t>
      </w:r>
      <w:r>
        <w:rPr/>
        <w:t>students to</w:t>
      </w:r>
      <w:r>
        <w:rPr>
          <w:spacing w:val="-16"/>
        </w:rPr>
        <w:t> </w:t>
      </w:r>
      <w:r>
        <w:rPr/>
        <w:t>relax</w:t>
      </w:r>
      <w:r>
        <w:rPr>
          <w:spacing w:val="-16"/>
        </w:rPr>
        <w:t> </w:t>
      </w:r>
      <w:r>
        <w:rPr/>
        <w:t>while</w:t>
      </w:r>
      <w:r>
        <w:rPr>
          <w:spacing w:val="-16"/>
        </w:rPr>
        <w:t> </w:t>
      </w:r>
      <w:r>
        <w:rPr/>
        <w:t>learning</w:t>
      </w:r>
      <w:r>
        <w:rPr>
          <w:spacing w:val="-16"/>
        </w:rPr>
        <w:t> </w:t>
      </w:r>
      <w:r>
        <w:rPr/>
        <w:t>about</w:t>
      </w:r>
      <w:r>
        <w:rPr>
          <w:spacing w:val="-16"/>
        </w:rPr>
        <w:t> </w:t>
      </w:r>
      <w:r>
        <w:rPr/>
        <w:t>or</w:t>
      </w:r>
      <w:r>
        <w:rPr>
          <w:spacing w:val="-16"/>
        </w:rPr>
        <w:t> </w:t>
      </w:r>
      <w:r>
        <w:rPr/>
        <w:t>accessing</w:t>
      </w:r>
      <w:r>
        <w:rPr>
          <w:spacing w:val="-16"/>
        </w:rPr>
        <w:t> </w:t>
      </w:r>
      <w:r>
        <w:rPr/>
        <w:t>key </w:t>
      </w:r>
      <w:r>
        <w:rPr>
          <w:w w:val="95"/>
        </w:rPr>
        <w:t>library</w:t>
      </w:r>
      <w:r>
        <w:rPr>
          <w:spacing w:val="15"/>
          <w:w w:val="95"/>
        </w:rPr>
        <w:t> </w:t>
      </w:r>
      <w:r>
        <w:rPr>
          <w:spacing w:val="2"/>
          <w:w w:val="95"/>
        </w:rPr>
        <w:t>services.</w:t>
      </w:r>
    </w:p>
    <w:p>
      <w:pPr>
        <w:pStyle w:val="BodyText"/>
        <w:rPr>
          <w:sz w:val="14"/>
        </w:rPr>
      </w:pPr>
    </w:p>
    <w:p>
      <w:pPr>
        <w:pStyle w:val="BodyText"/>
        <w:spacing w:line="249" w:lineRule="auto"/>
        <w:ind w:left="107" w:right="398"/>
      </w:pPr>
      <w:r>
        <w:rPr/>
        <w:t>The Library worked with the Office of the Pro Vice-Chancellor, and Engagement and Aboriginal and Torres Strait Islander Leadership</w:t>
      </w:r>
      <w:r>
        <w:rPr>
          <w:spacing w:val="-15"/>
        </w:rPr>
        <w:t> </w:t>
      </w:r>
      <w:r>
        <w:rPr/>
        <w:t>to</w:t>
      </w:r>
      <w:r>
        <w:rPr>
          <w:spacing w:val="-15"/>
        </w:rPr>
        <w:t> </w:t>
      </w:r>
      <w:r>
        <w:rPr/>
        <w:t>organise</w:t>
      </w:r>
      <w:r>
        <w:rPr>
          <w:spacing w:val="-15"/>
        </w:rPr>
        <w:t> </w:t>
      </w:r>
      <w:r>
        <w:rPr/>
        <w:t>and</w:t>
      </w:r>
      <w:r>
        <w:rPr>
          <w:spacing w:val="-15"/>
        </w:rPr>
        <w:t> </w:t>
      </w:r>
      <w:r>
        <w:rPr/>
        <w:t>host</w:t>
      </w:r>
      <w:r>
        <w:rPr>
          <w:spacing w:val="-15"/>
        </w:rPr>
        <w:t> </w:t>
      </w:r>
      <w:r>
        <w:rPr/>
        <w:t>the</w:t>
      </w:r>
      <w:r>
        <w:rPr>
          <w:spacing w:val="-15"/>
        </w:rPr>
        <w:t> </w:t>
      </w:r>
      <w:r>
        <w:rPr/>
        <w:t>‘Spirit of</w:t>
      </w:r>
      <w:r>
        <w:rPr>
          <w:spacing w:val="-7"/>
        </w:rPr>
        <w:t> </w:t>
      </w:r>
      <w:r>
        <w:rPr/>
        <w:t>ANZACs’</w:t>
      </w:r>
      <w:r>
        <w:rPr>
          <w:spacing w:val="-7"/>
        </w:rPr>
        <w:t> </w:t>
      </w:r>
      <w:r>
        <w:rPr/>
        <w:t>exhibition</w:t>
      </w:r>
      <w:r>
        <w:rPr>
          <w:spacing w:val="-7"/>
        </w:rPr>
        <w:t> </w:t>
      </w:r>
      <w:r>
        <w:rPr/>
        <w:t>at</w:t>
      </w:r>
      <w:r>
        <w:rPr>
          <w:spacing w:val="-7"/>
        </w:rPr>
        <w:t> </w:t>
      </w:r>
      <w:r>
        <w:rPr/>
        <w:t>the</w:t>
      </w:r>
      <w:r>
        <w:rPr>
          <w:spacing w:val="-7"/>
        </w:rPr>
        <w:t> </w:t>
      </w:r>
      <w:r>
        <w:rPr/>
        <w:t>John</w:t>
      </w:r>
      <w:r>
        <w:rPr>
          <w:spacing w:val="-7"/>
        </w:rPr>
        <w:t> </w:t>
      </w:r>
      <w:r>
        <w:rPr/>
        <w:t>Philipps Library</w:t>
      </w:r>
      <w:r>
        <w:rPr>
          <w:spacing w:val="-18"/>
        </w:rPr>
        <w:t> </w:t>
      </w:r>
      <w:r>
        <w:rPr/>
        <w:t>at</w:t>
      </w:r>
      <w:r>
        <w:rPr>
          <w:spacing w:val="-18"/>
        </w:rPr>
        <w:t> </w:t>
      </w:r>
      <w:r>
        <w:rPr/>
        <w:t>the</w:t>
      </w:r>
      <w:r>
        <w:rPr>
          <w:spacing w:val="-18"/>
        </w:rPr>
        <w:t> </w:t>
      </w:r>
      <w:r>
        <w:rPr/>
        <w:t>Penrith</w:t>
      </w:r>
      <w:r>
        <w:rPr>
          <w:spacing w:val="-18"/>
        </w:rPr>
        <w:t> </w:t>
      </w:r>
      <w:r>
        <w:rPr>
          <w:spacing w:val="2"/>
        </w:rPr>
        <w:t>campus,</w:t>
      </w:r>
      <w:r>
        <w:rPr>
          <w:spacing w:val="-18"/>
        </w:rPr>
        <w:t> </w:t>
      </w:r>
      <w:r>
        <w:rPr/>
        <w:t>as</w:t>
      </w:r>
      <w:r>
        <w:rPr>
          <w:spacing w:val="-18"/>
        </w:rPr>
        <w:t> </w:t>
      </w:r>
      <w:r>
        <w:rPr>
          <w:spacing w:val="2"/>
        </w:rPr>
        <w:t>part</w:t>
      </w:r>
      <w:r>
        <w:rPr>
          <w:spacing w:val="-18"/>
        </w:rPr>
        <w:t> </w:t>
      </w:r>
      <w:r>
        <w:rPr/>
        <w:t>of</w:t>
      </w:r>
    </w:p>
    <w:p>
      <w:pPr>
        <w:pStyle w:val="BodyText"/>
        <w:spacing w:line="249" w:lineRule="auto"/>
        <w:ind w:left="107" w:right="165"/>
      </w:pPr>
      <w:r>
        <w:rPr/>
        <w:t>NAIDOC Week celebrations. The exhibition of photographs and stories of ex-servicemen celebrated their contributions to the nation’s armed forces.</w:t>
      </w:r>
    </w:p>
    <w:p>
      <w:pPr>
        <w:pStyle w:val="BodyText"/>
        <w:rPr>
          <w:sz w:val="14"/>
        </w:rPr>
      </w:pPr>
    </w:p>
    <w:p>
      <w:pPr>
        <w:pStyle w:val="BodyText"/>
        <w:spacing w:line="249" w:lineRule="auto"/>
        <w:ind w:left="107" w:right="172"/>
      </w:pPr>
      <w:r>
        <w:rPr/>
        <w:t>The Library worked with the Office of Equity and Diversity on several initiatives, including International Day Against Homophobia, Transphobia and Biphobia, Wear it Purple </w:t>
      </w:r>
      <w:r>
        <w:rPr>
          <w:w w:val="99"/>
        </w:rPr>
        <w:t>day </w:t>
      </w:r>
      <w:r>
        <w:rPr>
          <w:w w:val="90"/>
        </w:rPr>
        <w:t>and, </w:t>
      </w:r>
      <w:r>
        <w:rPr>
          <w:w w:val="99"/>
        </w:rPr>
        <w:t>most </w:t>
      </w:r>
      <w:r>
        <w:rPr>
          <w:w w:val="95"/>
        </w:rPr>
        <w:t>notably, </w:t>
      </w:r>
      <w:r>
        <w:rPr>
          <w:w w:val="97"/>
        </w:rPr>
        <w:t>the </w:t>
      </w:r>
      <w:r>
        <w:rPr>
          <w:w w:val="97"/>
        </w:rPr>
        <w:t>University’s </w:t>
      </w:r>
      <w:r>
        <w:rPr>
          <w:w w:val="90"/>
        </w:rPr>
        <w:t>2016 </w:t>
      </w:r>
      <w:r>
        <w:rPr/>
        <w:t>Sydney Gay and Lesbian Mardi Gras float.</w:t>
      </w:r>
    </w:p>
    <w:p>
      <w:pPr>
        <w:spacing w:after="0" w:line="249" w:lineRule="auto"/>
        <w:sectPr>
          <w:type w:val="continuous"/>
          <w:pgSz w:w="11910" w:h="16840"/>
          <w:pgMar w:top="1580" w:bottom="280" w:left="800" w:right="800"/>
          <w:cols w:num="3" w:equalWidth="0">
            <w:col w:w="3282" w:space="158"/>
            <w:col w:w="3303" w:space="136"/>
            <w:col w:w="3431"/>
          </w:cols>
        </w:sectPr>
      </w:pPr>
    </w:p>
    <w:p>
      <w:pPr>
        <w:pStyle w:val="BodyText"/>
        <w:spacing w:before="9"/>
        <w:rPr>
          <w:sz w:val="28"/>
        </w:rPr>
      </w:pPr>
    </w:p>
    <w:p>
      <w:pPr>
        <w:pStyle w:val="Heading2"/>
        <w:ind w:right="7953"/>
        <w:rPr>
          <w:b w:val="0"/>
        </w:rPr>
      </w:pPr>
      <w:bookmarkStart w:name="_TOC_250045" w:id="9"/>
      <w:r>
        <w:rPr>
          <w:b w:val="0"/>
        </w:rPr>
        <w:t>Learning </w:t>
      </w:r>
      <w:r>
        <w:rPr>
          <w:b w:val="0"/>
          <w:spacing w:val="-3"/>
        </w:rPr>
        <w:t>and</w:t>
      </w:r>
      <w:r>
        <w:rPr>
          <w:b w:val="0"/>
          <w:spacing w:val="-2"/>
        </w:rPr>
        <w:t> </w:t>
      </w:r>
      <w:bookmarkEnd w:id="9"/>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Heading5"/>
        <w:spacing w:before="197"/>
        <w:ind w:right="-2"/>
      </w:pPr>
      <w:bookmarkStart w:name="_TOC_250044" w:id="10"/>
      <w:bookmarkEnd w:id="10"/>
      <w:r>
        <w:rPr/>
        <w:t>INTERNATIONAL</w:t>
      </w:r>
    </w:p>
    <w:p>
      <w:pPr>
        <w:spacing w:line="247" w:lineRule="auto" w:before="95"/>
        <w:ind w:left="107" w:right="-2" w:firstLine="0"/>
        <w:jc w:val="left"/>
        <w:rPr>
          <w:sz w:val="16"/>
        </w:rPr>
      </w:pPr>
      <w:r>
        <w:rPr>
          <w:sz w:val="16"/>
        </w:rPr>
        <w:t>The activities of the office that oversees international students and partnerships is </w:t>
      </w:r>
      <w:r>
        <w:rPr>
          <w:w w:val="95"/>
          <w:sz w:val="16"/>
        </w:rPr>
        <w:t>guided by </w:t>
      </w:r>
      <w:r>
        <w:rPr>
          <w:rFonts w:ascii="Century Gothic" w:hAnsi="Century Gothic"/>
          <w:i/>
          <w:w w:val="95"/>
          <w:sz w:val="16"/>
        </w:rPr>
        <w:t>Global Futures: Internationalising </w:t>
      </w:r>
      <w:r>
        <w:rPr>
          <w:rFonts w:ascii="Century Gothic" w:hAnsi="Century Gothic"/>
          <w:i/>
          <w:w w:val="94"/>
          <w:sz w:val="16"/>
        </w:rPr>
        <w:t>Western </w:t>
      </w:r>
      <w:r>
        <w:rPr>
          <w:rFonts w:ascii="Century Gothic" w:hAnsi="Century Gothic"/>
          <w:i/>
          <w:w w:val="89"/>
          <w:sz w:val="16"/>
        </w:rPr>
        <w:t>Sydney </w:t>
      </w:r>
      <w:r>
        <w:rPr>
          <w:rFonts w:ascii="Century Gothic" w:hAnsi="Century Gothic"/>
          <w:i/>
          <w:w w:val="98"/>
          <w:sz w:val="16"/>
        </w:rPr>
        <w:t>University </w:t>
      </w:r>
      <w:r>
        <w:rPr>
          <w:rFonts w:ascii="Century Gothic" w:hAnsi="Century Gothic"/>
          <w:i/>
          <w:w w:val="91"/>
          <w:sz w:val="16"/>
        </w:rPr>
        <w:t>2015–2020</w:t>
      </w:r>
      <w:r>
        <w:rPr>
          <w:w w:val="91"/>
          <w:sz w:val="16"/>
        </w:rPr>
        <w:t>, </w:t>
      </w:r>
      <w:r>
        <w:rPr>
          <w:w w:val="97"/>
          <w:sz w:val="16"/>
        </w:rPr>
        <w:t>the </w:t>
      </w:r>
      <w:r>
        <w:rPr>
          <w:w w:val="97"/>
          <w:sz w:val="16"/>
        </w:rPr>
        <w:t>framework </w:t>
      </w:r>
      <w:r>
        <w:rPr>
          <w:w w:val="98"/>
          <w:sz w:val="16"/>
        </w:rPr>
        <w:t>implemented </w:t>
      </w:r>
      <w:r>
        <w:rPr>
          <w:w w:val="95"/>
          <w:sz w:val="16"/>
        </w:rPr>
        <w:t>in </w:t>
      </w:r>
      <w:r>
        <w:rPr>
          <w:w w:val="84"/>
          <w:sz w:val="16"/>
        </w:rPr>
        <w:t>2015. </w:t>
      </w:r>
      <w:r>
        <w:rPr>
          <w:w w:val="94"/>
          <w:sz w:val="16"/>
        </w:rPr>
        <w:t>The </w:t>
      </w:r>
      <w:r>
        <w:rPr>
          <w:w w:val="98"/>
          <w:sz w:val="16"/>
        </w:rPr>
        <w:t>strategy </w:t>
      </w:r>
      <w:r>
        <w:rPr>
          <w:w w:val="95"/>
          <w:sz w:val="16"/>
        </w:rPr>
        <w:t>aims to:</w:t>
      </w:r>
    </w:p>
    <w:p>
      <w:pPr>
        <w:pStyle w:val="BodyText"/>
        <w:spacing w:line="244" w:lineRule="auto" w:before="57"/>
        <w:ind w:left="305" w:right="-2" w:hanging="199"/>
      </w:pPr>
      <w:r>
        <w:rPr>
          <w:rFonts w:ascii="Century Gothic" w:hAnsi="Century Gothic"/>
          <w:b/>
          <w:w w:val="115"/>
        </w:rPr>
        <w:t>≥ </w:t>
      </w:r>
      <w:r>
        <w:rPr/>
        <w:t>create an unrivalled experience for international students</w:t>
      </w:r>
    </w:p>
    <w:p>
      <w:pPr>
        <w:pStyle w:val="BodyText"/>
        <w:spacing w:before="58"/>
        <w:ind w:left="107" w:right="-2"/>
      </w:pPr>
      <w:r>
        <w:rPr>
          <w:rFonts w:ascii="Century Gothic" w:hAnsi="Century Gothic"/>
          <w:b/>
          <w:w w:val="105"/>
        </w:rPr>
        <w:t>≥ </w:t>
      </w:r>
      <w:r>
        <w:rPr>
          <w:w w:val="105"/>
        </w:rPr>
        <w:t>forge international partnerships</w:t>
      </w:r>
    </w:p>
    <w:p>
      <w:pPr>
        <w:pStyle w:val="BodyText"/>
        <w:spacing w:line="244" w:lineRule="auto" w:before="60"/>
        <w:ind w:left="305" w:right="339" w:hanging="199"/>
      </w:pPr>
      <w:r>
        <w:rPr>
          <w:rFonts w:ascii="Century Gothic" w:hAnsi="Century Gothic"/>
          <w:b/>
          <w:w w:val="115"/>
        </w:rPr>
        <w:t>≥</w:t>
      </w:r>
      <w:r>
        <w:rPr>
          <w:rFonts w:ascii="Century Gothic" w:hAnsi="Century Gothic"/>
          <w:b/>
          <w:spacing w:val="-26"/>
          <w:w w:val="115"/>
        </w:rPr>
        <w:t> </w:t>
      </w:r>
      <w:r>
        <w:rPr>
          <w:w w:val="105"/>
        </w:rPr>
        <w:t>increase</w:t>
      </w:r>
      <w:r>
        <w:rPr>
          <w:spacing w:val="-39"/>
          <w:w w:val="105"/>
        </w:rPr>
        <w:t> </w:t>
      </w:r>
      <w:r>
        <w:rPr>
          <w:w w:val="105"/>
        </w:rPr>
        <w:t>inbound</w:t>
      </w:r>
      <w:r>
        <w:rPr>
          <w:spacing w:val="-39"/>
          <w:w w:val="105"/>
        </w:rPr>
        <w:t> </w:t>
      </w:r>
      <w:r>
        <w:rPr>
          <w:w w:val="105"/>
        </w:rPr>
        <w:t>international</w:t>
      </w:r>
      <w:r>
        <w:rPr>
          <w:spacing w:val="-39"/>
          <w:w w:val="105"/>
        </w:rPr>
        <w:t> </w:t>
      </w:r>
      <w:r>
        <w:rPr>
          <w:w w:val="105"/>
        </w:rPr>
        <w:t>student numbers</w:t>
      </w:r>
    </w:p>
    <w:p>
      <w:pPr>
        <w:pStyle w:val="BodyText"/>
        <w:spacing w:before="58"/>
        <w:ind w:left="107" w:right="-2"/>
      </w:pPr>
      <w:r>
        <w:rPr>
          <w:rFonts w:ascii="Century Gothic" w:hAnsi="Century Gothic"/>
          <w:b/>
          <w:w w:val="115"/>
        </w:rPr>
        <w:t>≥ </w:t>
      </w:r>
      <w:r>
        <w:rPr>
          <w:w w:val="105"/>
        </w:rPr>
        <w:t>expand outbound mobility experiences.</w:t>
      </w:r>
    </w:p>
    <w:p>
      <w:pPr>
        <w:pStyle w:val="BodyText"/>
        <w:spacing w:before="5"/>
        <w:rPr>
          <w:sz w:val="14"/>
        </w:rPr>
      </w:pPr>
    </w:p>
    <w:p>
      <w:pPr>
        <w:pStyle w:val="BodyText"/>
        <w:spacing w:line="249" w:lineRule="auto"/>
        <w:ind w:left="107" w:right="69"/>
      </w:pPr>
      <w:r>
        <w:rPr/>
        <w:t>The</w:t>
      </w:r>
      <w:r>
        <w:rPr>
          <w:spacing w:val="-20"/>
        </w:rPr>
        <w:t> </w:t>
      </w:r>
      <w:r>
        <w:rPr/>
        <w:t>office’s</w:t>
      </w:r>
      <w:r>
        <w:rPr>
          <w:spacing w:val="-20"/>
        </w:rPr>
        <w:t> </w:t>
      </w:r>
      <w:r>
        <w:rPr/>
        <w:t>expanded</w:t>
      </w:r>
      <w:r>
        <w:rPr>
          <w:spacing w:val="-20"/>
        </w:rPr>
        <w:t> </w:t>
      </w:r>
      <w:r>
        <w:rPr/>
        <w:t>international</w:t>
      </w:r>
      <w:r>
        <w:rPr>
          <w:spacing w:val="-20"/>
        </w:rPr>
        <w:t> </w:t>
      </w:r>
      <w:r>
        <w:rPr/>
        <w:t>reach</w:t>
      </w:r>
      <w:r>
        <w:rPr>
          <w:spacing w:val="-20"/>
        </w:rPr>
        <w:t> </w:t>
      </w:r>
      <w:r>
        <w:rPr/>
        <w:t>and </w:t>
      </w:r>
      <w:r>
        <w:rPr>
          <w:w w:val="99"/>
        </w:rPr>
        <w:t>growing </w:t>
      </w:r>
      <w:r>
        <w:rPr>
          <w:w w:val="98"/>
        </w:rPr>
        <w:t>reputation </w:t>
      </w:r>
      <w:r>
        <w:rPr>
          <w:w w:val="95"/>
        </w:rPr>
        <w:t>in </w:t>
      </w:r>
      <w:r>
        <w:rPr>
          <w:spacing w:val="1"/>
          <w:w w:val="90"/>
        </w:rPr>
        <w:t>2016</w:t>
      </w:r>
      <w:r>
        <w:rPr>
          <w:w w:val="90"/>
        </w:rPr>
        <w:t> </w:t>
      </w:r>
      <w:r>
        <w:rPr>
          <w:w w:val="95"/>
        </w:rPr>
        <w:t>are </w:t>
      </w:r>
      <w:r>
        <w:rPr>
          <w:spacing w:val="1"/>
          <w:w w:val="97"/>
        </w:rPr>
        <w:t>indications</w:t>
      </w:r>
      <w:r>
        <w:rPr>
          <w:w w:val="97"/>
        </w:rPr>
        <w:t> </w:t>
      </w:r>
      <w:r>
        <w:rPr>
          <w:w w:val="99"/>
        </w:rPr>
        <w:t>of </w:t>
      </w:r>
      <w:r>
        <w:rPr/>
        <w:t>the</w:t>
      </w:r>
      <w:r>
        <w:rPr>
          <w:spacing w:val="-27"/>
        </w:rPr>
        <w:t> </w:t>
      </w:r>
      <w:r>
        <w:rPr/>
        <w:t>strategy’s</w:t>
      </w:r>
      <w:r>
        <w:rPr>
          <w:spacing w:val="-27"/>
        </w:rPr>
        <w:t> </w:t>
      </w:r>
      <w:r>
        <w:rPr/>
        <w:t>increasing</w:t>
      </w:r>
      <w:r>
        <w:rPr>
          <w:spacing w:val="-27"/>
        </w:rPr>
        <w:t> </w:t>
      </w:r>
      <w:r>
        <w:rPr/>
        <w:t>maturity.</w:t>
      </w:r>
    </w:p>
    <w:p>
      <w:pPr>
        <w:pStyle w:val="BodyText"/>
        <w:spacing w:before="3"/>
        <w:rPr>
          <w:sz w:val="19"/>
        </w:rPr>
      </w:pPr>
    </w:p>
    <w:p>
      <w:pPr>
        <w:pStyle w:val="Heading7"/>
      </w:pPr>
      <w:r>
        <w:rPr>
          <w:w w:val="95"/>
        </w:rPr>
        <w:t>INTERNATIONAL  STUDENT RECRUITMENT</w:t>
      </w:r>
    </w:p>
    <w:p>
      <w:pPr>
        <w:pStyle w:val="BodyText"/>
        <w:spacing w:line="247" w:lineRule="auto" w:before="58"/>
        <w:ind w:left="107" w:right="149"/>
      </w:pPr>
      <w:r>
        <w:rPr/>
        <w:t>Doubling the number of international students</w:t>
      </w:r>
      <w:r>
        <w:rPr>
          <w:spacing w:val="-11"/>
        </w:rPr>
        <w:t> </w:t>
      </w:r>
      <w:r>
        <w:rPr/>
        <w:t>studying</w:t>
      </w:r>
      <w:r>
        <w:rPr>
          <w:spacing w:val="-11"/>
        </w:rPr>
        <w:t> </w:t>
      </w:r>
      <w:r>
        <w:rPr/>
        <w:t>at</w:t>
      </w:r>
      <w:r>
        <w:rPr>
          <w:spacing w:val="-11"/>
        </w:rPr>
        <w:t> </w:t>
      </w:r>
      <w:r>
        <w:rPr/>
        <w:t>the</w:t>
      </w:r>
      <w:r>
        <w:rPr>
          <w:spacing w:val="-11"/>
        </w:rPr>
        <w:t> </w:t>
      </w:r>
      <w:r>
        <w:rPr/>
        <w:t>University</w:t>
      </w:r>
      <w:r>
        <w:rPr>
          <w:spacing w:val="-11"/>
        </w:rPr>
        <w:t> </w:t>
      </w:r>
      <w:r>
        <w:rPr/>
        <w:t>by</w:t>
      </w:r>
      <w:r>
        <w:rPr>
          <w:spacing w:val="-11"/>
        </w:rPr>
        <w:t> </w:t>
      </w:r>
      <w:r>
        <w:rPr/>
        <w:t>2020 is</w:t>
      </w:r>
      <w:r>
        <w:rPr>
          <w:spacing w:val="-29"/>
        </w:rPr>
        <w:t> </w:t>
      </w:r>
      <w:r>
        <w:rPr/>
        <w:t>a</w:t>
      </w:r>
      <w:r>
        <w:rPr>
          <w:spacing w:val="-29"/>
        </w:rPr>
        <w:t> </w:t>
      </w:r>
      <w:r>
        <w:rPr/>
        <w:t>key</w:t>
      </w:r>
      <w:r>
        <w:rPr>
          <w:spacing w:val="-29"/>
        </w:rPr>
        <w:t> </w:t>
      </w:r>
      <w:r>
        <w:rPr/>
        <w:t>objective</w:t>
      </w:r>
      <w:r>
        <w:rPr>
          <w:spacing w:val="-29"/>
        </w:rPr>
        <w:t> </w:t>
      </w:r>
      <w:r>
        <w:rPr/>
        <w:t>of</w:t>
      </w:r>
      <w:r>
        <w:rPr>
          <w:spacing w:val="-29"/>
        </w:rPr>
        <w:t> </w:t>
      </w:r>
      <w:r>
        <w:rPr>
          <w:rFonts w:ascii="Century Gothic" w:hAnsi="Century Gothic"/>
          <w:i/>
        </w:rPr>
        <w:t>Securing</w:t>
      </w:r>
      <w:r>
        <w:rPr>
          <w:rFonts w:ascii="Century Gothic" w:hAnsi="Century Gothic"/>
          <w:i/>
          <w:spacing w:val="-24"/>
        </w:rPr>
        <w:t> </w:t>
      </w:r>
      <w:r>
        <w:rPr>
          <w:rFonts w:ascii="Century Gothic" w:hAnsi="Century Gothic"/>
          <w:i/>
        </w:rPr>
        <w:t>Success</w:t>
      </w:r>
      <w:r>
        <w:rPr/>
        <w:t>.</w:t>
      </w:r>
      <w:r>
        <w:rPr>
          <w:spacing w:val="-29"/>
        </w:rPr>
        <w:t> </w:t>
      </w:r>
      <w:r>
        <w:rPr/>
        <w:t>The equivalent full-time student load (EFTSL) for international students increased by </w:t>
      </w:r>
      <w:r>
        <w:rPr>
          <w:spacing w:val="-4"/>
        </w:rPr>
        <w:t>7.7 </w:t>
      </w:r>
      <w:r>
        <w:rPr>
          <w:spacing w:val="1"/>
          <w:w w:val="97"/>
        </w:rPr>
        <w:t>per</w:t>
      </w:r>
      <w:r>
        <w:rPr>
          <w:spacing w:val="-8"/>
          <w:w w:val="97"/>
        </w:rPr>
        <w:t> </w:t>
      </w:r>
      <w:r>
        <w:rPr>
          <w:w w:val="99"/>
        </w:rPr>
        <w:t>cent</w:t>
      </w:r>
      <w:r>
        <w:rPr>
          <w:spacing w:val="-9"/>
          <w:w w:val="99"/>
        </w:rPr>
        <w:t> </w:t>
      </w:r>
      <w:r>
        <w:rPr>
          <w:spacing w:val="1"/>
          <w:w w:val="98"/>
        </w:rPr>
        <w:t>from</w:t>
      </w:r>
      <w:r>
        <w:rPr>
          <w:spacing w:val="-8"/>
          <w:w w:val="98"/>
        </w:rPr>
        <w:t> </w:t>
      </w:r>
      <w:r>
        <w:rPr>
          <w:spacing w:val="1"/>
          <w:w w:val="88"/>
        </w:rPr>
        <w:t>2015</w:t>
      </w:r>
      <w:r>
        <w:rPr>
          <w:spacing w:val="-3"/>
          <w:w w:val="88"/>
        </w:rPr>
        <w:t> </w:t>
      </w:r>
      <w:r>
        <w:rPr>
          <w:spacing w:val="-1"/>
          <w:w w:val="101"/>
        </w:rPr>
        <w:t>to</w:t>
      </w:r>
      <w:r>
        <w:rPr>
          <w:spacing w:val="-10"/>
          <w:w w:val="101"/>
        </w:rPr>
        <w:t> </w:t>
      </w:r>
      <w:r>
        <w:rPr>
          <w:spacing w:val="2"/>
          <w:w w:val="85"/>
        </w:rPr>
        <w:t>2016.</w:t>
      </w:r>
      <w:r>
        <w:rPr>
          <w:spacing w:val="-2"/>
          <w:w w:val="85"/>
        </w:rPr>
        <w:t> </w:t>
      </w:r>
      <w:r>
        <w:rPr>
          <w:spacing w:val="1"/>
          <w:w w:val="94"/>
        </w:rPr>
        <w:t>The</w:t>
      </w:r>
      <w:r>
        <w:rPr>
          <w:spacing w:val="-6"/>
          <w:w w:val="94"/>
        </w:rPr>
        <w:t> </w:t>
      </w:r>
      <w:r>
        <w:rPr>
          <w:w w:val="97"/>
        </w:rPr>
        <w:t>University’s</w:t>
      </w:r>
    </w:p>
    <w:p>
      <w:pPr>
        <w:pStyle w:val="BodyText"/>
        <w:spacing w:line="249" w:lineRule="auto" w:before="1"/>
        <w:ind w:left="107" w:right="98"/>
      </w:pPr>
      <w:r>
        <w:rPr/>
        <w:t>international</w:t>
      </w:r>
      <w:r>
        <w:rPr>
          <w:spacing w:val="-20"/>
        </w:rPr>
        <w:t> </w:t>
      </w:r>
      <w:r>
        <w:rPr/>
        <w:t>student</w:t>
      </w:r>
      <w:r>
        <w:rPr>
          <w:spacing w:val="-20"/>
        </w:rPr>
        <w:t> </w:t>
      </w:r>
      <w:r>
        <w:rPr/>
        <w:t>recruitment</w:t>
      </w:r>
      <w:r>
        <w:rPr>
          <w:spacing w:val="-20"/>
        </w:rPr>
        <w:t> </w:t>
      </w:r>
      <w:r>
        <w:rPr/>
        <w:t>income</w:t>
      </w:r>
      <w:r>
        <w:rPr>
          <w:spacing w:val="-20"/>
        </w:rPr>
        <w:t> </w:t>
      </w:r>
      <w:r>
        <w:rPr/>
        <w:t>has increased</w:t>
      </w:r>
      <w:r>
        <w:rPr>
          <w:spacing w:val="-22"/>
        </w:rPr>
        <w:t> </w:t>
      </w:r>
      <w:r>
        <w:rPr/>
        <w:t>by</w:t>
      </w:r>
      <w:r>
        <w:rPr>
          <w:spacing w:val="-22"/>
        </w:rPr>
        <w:t> </w:t>
      </w:r>
      <w:r>
        <w:rPr/>
        <w:t>9.5</w:t>
      </w:r>
      <w:r>
        <w:rPr>
          <w:spacing w:val="-22"/>
        </w:rPr>
        <w:t> </w:t>
      </w:r>
      <w:r>
        <w:rPr/>
        <w:t>per</w:t>
      </w:r>
      <w:r>
        <w:rPr>
          <w:spacing w:val="-22"/>
        </w:rPr>
        <w:t> </w:t>
      </w:r>
      <w:r>
        <w:rPr/>
        <w:t>cent,</w:t>
      </w:r>
      <w:r>
        <w:rPr>
          <w:spacing w:val="-22"/>
        </w:rPr>
        <w:t> </w:t>
      </w:r>
      <w:r>
        <w:rPr/>
        <w:t>from</w:t>
      </w:r>
      <w:r>
        <w:rPr>
          <w:spacing w:val="-22"/>
        </w:rPr>
        <w:t> </w:t>
      </w:r>
      <w:r>
        <w:rPr>
          <w:spacing w:val="2"/>
        </w:rPr>
        <w:t>$71</w:t>
      </w:r>
      <w:r>
        <w:rPr>
          <w:spacing w:val="-22"/>
        </w:rPr>
        <w:t> </w:t>
      </w:r>
      <w:r>
        <w:rPr/>
        <w:t>million</w:t>
      </w:r>
      <w:r>
        <w:rPr>
          <w:spacing w:val="-22"/>
        </w:rPr>
        <w:t> </w:t>
      </w:r>
      <w:r>
        <w:rPr/>
        <w:t>in </w:t>
      </w:r>
      <w:r>
        <w:rPr>
          <w:spacing w:val="1"/>
          <w:w w:val="88"/>
        </w:rPr>
        <w:t>2015</w:t>
      </w:r>
      <w:r>
        <w:rPr>
          <w:w w:val="88"/>
        </w:rPr>
        <w:t> </w:t>
      </w:r>
      <w:r>
        <w:rPr>
          <w:spacing w:val="-1"/>
          <w:w w:val="101"/>
        </w:rPr>
        <w:t>to</w:t>
      </w:r>
      <w:r>
        <w:rPr>
          <w:w w:val="101"/>
        </w:rPr>
        <w:t> </w:t>
      </w:r>
      <w:r>
        <w:rPr>
          <w:w w:val="96"/>
        </w:rPr>
        <w:t>$78 </w:t>
      </w:r>
      <w:r>
        <w:rPr>
          <w:w w:val="96"/>
        </w:rPr>
        <w:t>million </w:t>
      </w:r>
      <w:r>
        <w:rPr>
          <w:w w:val="95"/>
        </w:rPr>
        <w:t>in</w:t>
      </w:r>
      <w:r>
        <w:rPr>
          <w:spacing w:val="-32"/>
          <w:w w:val="95"/>
        </w:rPr>
        <w:t> </w:t>
      </w:r>
      <w:r>
        <w:rPr>
          <w:spacing w:val="2"/>
          <w:w w:val="85"/>
        </w:rPr>
        <w:t>2016.</w:t>
      </w:r>
    </w:p>
    <w:p>
      <w:pPr>
        <w:pStyle w:val="BodyText"/>
        <w:rPr>
          <w:sz w:val="14"/>
        </w:rPr>
      </w:pPr>
    </w:p>
    <w:p>
      <w:pPr>
        <w:pStyle w:val="BodyText"/>
        <w:spacing w:line="249" w:lineRule="auto"/>
        <w:ind w:left="107" w:right="527"/>
      </w:pPr>
      <w:r>
        <w:rPr>
          <w:w w:val="80"/>
        </w:rPr>
        <w:t>In </w:t>
      </w:r>
      <w:r>
        <w:rPr>
          <w:w w:val="85"/>
        </w:rPr>
        <w:t>2016, </w:t>
      </w:r>
      <w:r>
        <w:rPr>
          <w:w w:val="97"/>
        </w:rPr>
        <w:t>the </w:t>
      </w:r>
      <w:r>
        <w:rPr>
          <w:w w:val="101"/>
        </w:rPr>
        <w:t>top </w:t>
      </w:r>
      <w:r>
        <w:rPr>
          <w:w w:val="97"/>
        </w:rPr>
        <w:t>five </w:t>
      </w:r>
      <w:r>
        <w:rPr>
          <w:w w:val="97"/>
        </w:rPr>
        <w:t>source </w:t>
      </w:r>
      <w:r>
        <w:rPr>
          <w:w w:val="97"/>
        </w:rPr>
        <w:t>countries </w:t>
      </w:r>
      <w:r>
        <w:rPr/>
        <w:t>for international students were China,</w:t>
      </w:r>
    </w:p>
    <w:p>
      <w:pPr>
        <w:pStyle w:val="BodyText"/>
        <w:spacing w:line="249" w:lineRule="auto"/>
        <w:ind w:left="107" w:right="-2"/>
      </w:pPr>
      <w:r>
        <w:rPr/>
        <w:t>India, Nepal, the Philippines and Vietnam. Recruitment</w:t>
      </w:r>
      <w:r>
        <w:rPr>
          <w:spacing w:val="-13"/>
        </w:rPr>
        <w:t> </w:t>
      </w:r>
      <w:r>
        <w:rPr/>
        <w:t>strategies</w:t>
      </w:r>
      <w:r>
        <w:rPr>
          <w:spacing w:val="-13"/>
        </w:rPr>
        <w:t> </w:t>
      </w:r>
      <w:r>
        <w:rPr/>
        <w:t>to</w:t>
      </w:r>
      <w:r>
        <w:rPr>
          <w:spacing w:val="-13"/>
        </w:rPr>
        <w:t> </w:t>
      </w:r>
      <w:r>
        <w:rPr/>
        <w:t>diversify</w:t>
      </w:r>
      <w:r>
        <w:rPr>
          <w:spacing w:val="-13"/>
        </w:rPr>
        <w:t> </w:t>
      </w:r>
      <w:r>
        <w:rPr/>
        <w:t>the</w:t>
      </w:r>
      <w:r>
        <w:rPr>
          <w:spacing w:val="-13"/>
        </w:rPr>
        <w:t> </w:t>
      </w:r>
      <w:r>
        <w:rPr/>
        <w:t>pool</w:t>
      </w:r>
      <w:r>
        <w:rPr>
          <w:spacing w:val="-13"/>
        </w:rPr>
        <w:t> </w:t>
      </w:r>
      <w:r>
        <w:rPr/>
        <w:t>of students</w:t>
      </w:r>
      <w:r>
        <w:rPr>
          <w:spacing w:val="-17"/>
        </w:rPr>
        <w:t> </w:t>
      </w:r>
      <w:r>
        <w:rPr/>
        <w:t>led</w:t>
      </w:r>
      <w:r>
        <w:rPr>
          <w:spacing w:val="-17"/>
        </w:rPr>
        <w:t> </w:t>
      </w:r>
      <w:r>
        <w:rPr/>
        <w:t>to</w:t>
      </w:r>
      <w:r>
        <w:rPr>
          <w:spacing w:val="-17"/>
        </w:rPr>
        <w:t> </w:t>
      </w:r>
      <w:r>
        <w:rPr/>
        <w:t>an</w:t>
      </w:r>
      <w:r>
        <w:rPr>
          <w:spacing w:val="-17"/>
        </w:rPr>
        <w:t> </w:t>
      </w:r>
      <w:r>
        <w:rPr/>
        <w:t>increase</w:t>
      </w:r>
      <w:r>
        <w:rPr>
          <w:spacing w:val="-17"/>
        </w:rPr>
        <w:t> </w:t>
      </w:r>
      <w:r>
        <w:rPr/>
        <w:t>in</w:t>
      </w:r>
      <w:r>
        <w:rPr>
          <w:spacing w:val="-17"/>
        </w:rPr>
        <w:t> </w:t>
      </w:r>
      <w:r>
        <w:rPr/>
        <w:t>enrolments</w:t>
      </w:r>
      <w:r>
        <w:rPr>
          <w:spacing w:val="-17"/>
        </w:rPr>
        <w:t> </w:t>
      </w:r>
      <w:r>
        <w:rPr/>
        <w:t>from Mongolia </w:t>
      </w:r>
      <w:r>
        <w:rPr>
          <w:spacing w:val="2"/>
        </w:rPr>
        <w:t>(157 </w:t>
      </w:r>
      <w:r>
        <w:rPr/>
        <w:t>per cent), Cambodia </w:t>
      </w:r>
      <w:r>
        <w:rPr>
          <w:spacing w:val="2"/>
        </w:rPr>
        <w:t>(137 </w:t>
      </w:r>
      <w:r>
        <w:rPr/>
        <w:t>per cent),</w:t>
      </w:r>
      <w:r>
        <w:rPr>
          <w:spacing w:val="-23"/>
        </w:rPr>
        <w:t> </w:t>
      </w:r>
      <w:r>
        <w:rPr/>
        <w:t>Bangladesh</w:t>
      </w:r>
      <w:r>
        <w:rPr>
          <w:spacing w:val="-23"/>
        </w:rPr>
        <w:t> </w:t>
      </w:r>
      <w:r>
        <w:rPr>
          <w:spacing w:val="-4"/>
        </w:rPr>
        <w:t>(42</w:t>
      </w:r>
      <w:r>
        <w:rPr>
          <w:spacing w:val="-23"/>
        </w:rPr>
        <w:t> </w:t>
      </w:r>
      <w:r>
        <w:rPr/>
        <w:t>per</w:t>
      </w:r>
      <w:r>
        <w:rPr>
          <w:spacing w:val="-23"/>
        </w:rPr>
        <w:t> </w:t>
      </w:r>
      <w:r>
        <w:rPr/>
        <w:t>cent),</w:t>
      </w:r>
      <w:r>
        <w:rPr>
          <w:spacing w:val="-23"/>
        </w:rPr>
        <w:t> </w:t>
      </w:r>
      <w:r>
        <w:rPr/>
        <w:t>Indonesia</w:t>
      </w:r>
      <w:r>
        <w:rPr>
          <w:spacing w:val="-23"/>
        </w:rPr>
        <w:t> </w:t>
      </w:r>
      <w:r>
        <w:rPr/>
        <w:t>(40 per cent), Kenya (35 per cent), Saudi Arabia (30.4</w:t>
      </w:r>
      <w:r>
        <w:rPr>
          <w:spacing w:val="-19"/>
        </w:rPr>
        <w:t> </w:t>
      </w:r>
      <w:r>
        <w:rPr/>
        <w:t>per</w:t>
      </w:r>
      <w:r>
        <w:rPr>
          <w:spacing w:val="-19"/>
        </w:rPr>
        <w:t> </w:t>
      </w:r>
      <w:r>
        <w:rPr/>
        <w:t>cent),</w:t>
      </w:r>
      <w:r>
        <w:rPr>
          <w:spacing w:val="-19"/>
        </w:rPr>
        <w:t> </w:t>
      </w:r>
      <w:r>
        <w:rPr/>
        <w:t>Iran</w:t>
      </w:r>
      <w:r>
        <w:rPr>
          <w:spacing w:val="-19"/>
        </w:rPr>
        <w:t> </w:t>
      </w:r>
      <w:r>
        <w:rPr/>
        <w:t>(25</w:t>
      </w:r>
      <w:r>
        <w:rPr>
          <w:spacing w:val="-19"/>
        </w:rPr>
        <w:t> </w:t>
      </w:r>
      <w:r>
        <w:rPr/>
        <w:t>per</w:t>
      </w:r>
      <w:r>
        <w:rPr>
          <w:spacing w:val="-19"/>
        </w:rPr>
        <w:t> </w:t>
      </w:r>
      <w:r>
        <w:rPr/>
        <w:t>cent)</w:t>
      </w:r>
      <w:r>
        <w:rPr>
          <w:spacing w:val="-19"/>
        </w:rPr>
        <w:t> </w:t>
      </w:r>
      <w:r>
        <w:rPr/>
        <w:t>and</w:t>
      </w:r>
      <w:r>
        <w:rPr>
          <w:spacing w:val="-19"/>
        </w:rPr>
        <w:t> </w:t>
      </w:r>
      <w:r>
        <w:rPr/>
        <w:t>Nigeria </w:t>
      </w:r>
      <w:r>
        <w:rPr>
          <w:w w:val="95"/>
        </w:rPr>
        <w:t>(21</w:t>
      </w:r>
      <w:r>
        <w:rPr>
          <w:spacing w:val="-22"/>
          <w:w w:val="95"/>
        </w:rPr>
        <w:t> </w:t>
      </w:r>
      <w:r>
        <w:rPr>
          <w:w w:val="95"/>
        </w:rPr>
        <w:t>per</w:t>
      </w:r>
      <w:r>
        <w:rPr>
          <w:spacing w:val="-22"/>
          <w:w w:val="95"/>
        </w:rPr>
        <w:t> </w:t>
      </w:r>
      <w:r>
        <w:rPr>
          <w:w w:val="95"/>
        </w:rPr>
        <w:t>cent).</w:t>
      </w:r>
    </w:p>
    <w:p>
      <w:pPr>
        <w:pStyle w:val="BodyText"/>
        <w:spacing w:before="3"/>
        <w:rPr>
          <w:sz w:val="19"/>
        </w:rPr>
      </w:pPr>
    </w:p>
    <w:p>
      <w:pPr>
        <w:pStyle w:val="Heading7"/>
      </w:pPr>
      <w:r>
        <w:rPr>
          <w:w w:val="95"/>
        </w:rPr>
        <w:t>INTERNATIONAL  STUDENT SCHOLARSHIPS</w:t>
      </w:r>
    </w:p>
    <w:p>
      <w:pPr>
        <w:pStyle w:val="BodyText"/>
        <w:spacing w:line="249" w:lineRule="auto" w:before="58"/>
        <w:ind w:left="107" w:right="714"/>
      </w:pPr>
      <w:r>
        <w:rPr/>
        <w:t>The University offered a number of </w:t>
      </w:r>
      <w:r>
        <w:rPr>
          <w:w w:val="97"/>
        </w:rPr>
        <w:t>scholarships </w:t>
      </w:r>
      <w:r>
        <w:rPr>
          <w:w w:val="95"/>
        </w:rPr>
        <w:t>in </w:t>
      </w:r>
      <w:r>
        <w:rPr>
          <w:w w:val="85"/>
        </w:rPr>
        <w:t>2016, </w:t>
      </w:r>
      <w:r>
        <w:rPr>
          <w:w w:val="94"/>
        </w:rPr>
        <w:t>including:</w:t>
      </w:r>
    </w:p>
    <w:p>
      <w:pPr>
        <w:pStyle w:val="BodyText"/>
        <w:spacing w:line="247" w:lineRule="auto" w:before="55"/>
        <w:ind w:left="305" w:right="379" w:hanging="199"/>
      </w:pPr>
      <w:r>
        <w:rPr>
          <w:rFonts w:ascii="Century Gothic" w:hAnsi="Century Gothic"/>
          <w:b/>
          <w:w w:val="115"/>
        </w:rPr>
        <w:t>≥ </w:t>
      </w:r>
      <w:r>
        <w:rPr/>
        <w:t>148 Western Sydney International Scholarships: 95 were accepted (73 postgraduate and 22 undergraduate)</w:t>
      </w:r>
    </w:p>
    <w:p>
      <w:pPr>
        <w:pStyle w:val="BodyText"/>
        <w:spacing w:line="247" w:lineRule="auto" w:before="57"/>
        <w:ind w:left="305" w:right="-2" w:hanging="199"/>
      </w:pPr>
      <w:r>
        <w:rPr>
          <w:rFonts w:ascii="Century Gothic" w:hAnsi="Century Gothic"/>
          <w:b/>
          <w:w w:val="145"/>
        </w:rPr>
        <w:t>≥ </w:t>
      </w:r>
      <w:r>
        <w:rPr>
          <w:w w:val="82"/>
        </w:rPr>
        <w:t>10 </w:t>
      </w:r>
      <w:r>
        <w:rPr>
          <w:w w:val="98"/>
        </w:rPr>
        <w:t>Vice-Chancellor’s </w:t>
      </w:r>
      <w:r>
        <w:rPr>
          <w:w w:val="100"/>
        </w:rPr>
        <w:t>Academic </w:t>
      </w:r>
      <w:r>
        <w:rPr>
          <w:w w:val="98"/>
        </w:rPr>
        <w:t>Excellence </w:t>
      </w:r>
      <w:r>
        <w:rPr/>
        <w:t>International Student Scholarships (five undergraduate, five postgraduate)</w:t>
      </w:r>
    </w:p>
    <w:p>
      <w:pPr>
        <w:pStyle w:val="BodyText"/>
        <w:spacing w:line="244" w:lineRule="auto" w:before="57"/>
        <w:ind w:left="305" w:right="-2" w:hanging="199"/>
      </w:pPr>
      <w:r>
        <w:rPr>
          <w:rFonts w:ascii="Century Gothic" w:hAnsi="Century Gothic"/>
          <w:b/>
          <w:w w:val="115"/>
        </w:rPr>
        <w:t>≥ </w:t>
      </w:r>
      <w:r>
        <w:rPr>
          <w:w w:val="105"/>
        </w:rPr>
        <w:t>three undergraduate scholarships </w:t>
      </w:r>
      <w:r>
        <w:rPr/>
        <w:t>(Advanced</w:t>
      </w:r>
      <w:r>
        <w:rPr>
          <w:spacing w:val="-12"/>
        </w:rPr>
        <w:t> </w:t>
      </w:r>
      <w:r>
        <w:rPr/>
        <w:t>Engineering,</w:t>
      </w:r>
      <w:r>
        <w:rPr>
          <w:spacing w:val="-12"/>
        </w:rPr>
        <w:t> </w:t>
      </w:r>
      <w:r>
        <w:rPr/>
        <w:t>Nutrition</w:t>
      </w:r>
      <w:r>
        <w:rPr>
          <w:spacing w:val="-12"/>
        </w:rPr>
        <w:t> </w:t>
      </w:r>
      <w:r>
        <w:rPr/>
        <w:t>and</w:t>
      </w:r>
      <w:r>
        <w:rPr>
          <w:spacing w:val="-12"/>
        </w:rPr>
        <w:t> </w:t>
      </w:r>
      <w:r>
        <w:rPr/>
        <w:t>Food</w:t>
      </w:r>
    </w:p>
    <w:p>
      <w:pPr>
        <w:pStyle w:val="BodyText"/>
        <w:spacing w:before="9"/>
      </w:pPr>
      <w:r>
        <w:rPr/>
        <w:br w:type="column"/>
      </w:r>
      <w:r>
        <w:rPr/>
      </w:r>
    </w:p>
    <w:p>
      <w:pPr>
        <w:pStyle w:val="BodyText"/>
        <w:ind w:left="305" w:right="146"/>
      </w:pPr>
      <w:r>
        <w:rPr/>
        <w:t>Sciences, and Nursing)</w:t>
      </w:r>
    </w:p>
    <w:p>
      <w:pPr>
        <w:pStyle w:val="BodyText"/>
        <w:spacing w:line="247" w:lineRule="auto" w:before="62"/>
        <w:ind w:left="305" w:right="146" w:hanging="199"/>
      </w:pPr>
      <w:r>
        <w:rPr>
          <w:rFonts w:ascii="Century Gothic" w:hAnsi="Century Gothic"/>
          <w:b/>
          <w:w w:val="115"/>
        </w:rPr>
        <w:t>≥ </w:t>
      </w:r>
      <w:r>
        <w:rPr/>
        <w:t>three postgraduate scholarships (Business Administration, Accountancy, and Advanced Information and Communications Technology)</w:t>
      </w:r>
    </w:p>
    <w:p>
      <w:pPr>
        <w:pStyle w:val="BodyText"/>
        <w:spacing w:line="247" w:lineRule="auto" w:before="57"/>
        <w:ind w:left="305" w:right="14" w:hanging="199"/>
      </w:pPr>
      <w:r>
        <w:rPr>
          <w:rFonts w:ascii="Century Gothic" w:hAnsi="Century Gothic"/>
          <w:b/>
          <w:w w:val="115"/>
        </w:rPr>
        <w:t>≥ </w:t>
      </w:r>
      <w:r>
        <w:rPr/>
        <w:t>‘Early Bird’ Scholarships, introduced for first-time</w:t>
      </w:r>
      <w:r>
        <w:rPr>
          <w:spacing w:val="-18"/>
        </w:rPr>
        <w:t> </w:t>
      </w:r>
      <w:r>
        <w:rPr/>
        <w:t>international</w:t>
      </w:r>
      <w:r>
        <w:rPr>
          <w:spacing w:val="-18"/>
        </w:rPr>
        <w:t> </w:t>
      </w:r>
      <w:r>
        <w:rPr/>
        <w:t>students</w:t>
      </w:r>
      <w:r>
        <w:rPr>
          <w:spacing w:val="-18"/>
        </w:rPr>
        <w:t> </w:t>
      </w:r>
      <w:r>
        <w:rPr/>
        <w:t>studying</w:t>
      </w:r>
      <w:r>
        <w:rPr>
          <w:spacing w:val="-18"/>
        </w:rPr>
        <w:t> </w:t>
      </w:r>
      <w:r>
        <w:rPr/>
        <w:t>in </w:t>
      </w:r>
      <w:r>
        <w:rPr>
          <w:w w:val="97"/>
        </w:rPr>
        <w:t>the </w:t>
      </w:r>
      <w:r>
        <w:rPr>
          <w:spacing w:val="1"/>
          <w:w w:val="97"/>
        </w:rPr>
        <w:t>first</w:t>
      </w:r>
      <w:r>
        <w:rPr>
          <w:w w:val="97"/>
        </w:rPr>
        <w:t> </w:t>
      </w:r>
      <w:r>
        <w:rPr>
          <w:spacing w:val="1"/>
          <w:w w:val="96"/>
        </w:rPr>
        <w:t>half</w:t>
      </w:r>
      <w:r>
        <w:rPr>
          <w:w w:val="96"/>
        </w:rPr>
        <w:t> </w:t>
      </w:r>
      <w:r>
        <w:rPr>
          <w:w w:val="99"/>
        </w:rPr>
        <w:t>of</w:t>
      </w:r>
      <w:r>
        <w:rPr>
          <w:spacing w:val="-33"/>
          <w:w w:val="99"/>
        </w:rPr>
        <w:t> </w:t>
      </w:r>
      <w:r>
        <w:rPr>
          <w:spacing w:val="-2"/>
          <w:w w:val="83"/>
        </w:rPr>
        <w:t>2017.</w:t>
      </w:r>
    </w:p>
    <w:p>
      <w:pPr>
        <w:pStyle w:val="BodyText"/>
        <w:spacing w:before="4"/>
        <w:rPr>
          <w:sz w:val="19"/>
        </w:rPr>
      </w:pPr>
    </w:p>
    <w:p>
      <w:pPr>
        <w:pStyle w:val="Heading7"/>
        <w:spacing w:before="1"/>
        <w:ind w:right="146"/>
      </w:pPr>
      <w:r>
        <w:rPr>
          <w:w w:val="95"/>
        </w:rPr>
        <w:t>INTERNATIONAL  STUDENT EXPERIENCE</w:t>
      </w:r>
    </w:p>
    <w:p>
      <w:pPr>
        <w:pStyle w:val="BodyText"/>
        <w:spacing w:line="249" w:lineRule="auto" w:before="58"/>
        <w:ind w:left="107" w:right="514"/>
        <w:jc w:val="both"/>
      </w:pPr>
      <w:r>
        <w:rPr/>
        <w:t>The</w:t>
      </w:r>
      <w:r>
        <w:rPr>
          <w:spacing w:val="-21"/>
        </w:rPr>
        <w:t> </w:t>
      </w:r>
      <w:r>
        <w:rPr/>
        <w:t>international</w:t>
      </w:r>
      <w:r>
        <w:rPr>
          <w:spacing w:val="-21"/>
        </w:rPr>
        <w:t> </w:t>
      </w:r>
      <w:r>
        <w:rPr/>
        <w:t>student</w:t>
      </w:r>
      <w:r>
        <w:rPr>
          <w:spacing w:val="-21"/>
        </w:rPr>
        <w:t> </w:t>
      </w:r>
      <w:r>
        <w:rPr/>
        <w:t>experience</w:t>
      </w:r>
      <w:r>
        <w:rPr>
          <w:spacing w:val="-21"/>
        </w:rPr>
        <w:t> </w:t>
      </w:r>
      <w:r>
        <w:rPr/>
        <w:t>is a</w:t>
      </w:r>
      <w:r>
        <w:rPr>
          <w:spacing w:val="-14"/>
        </w:rPr>
        <w:t> </w:t>
      </w:r>
      <w:r>
        <w:rPr/>
        <w:t>critical</w:t>
      </w:r>
      <w:r>
        <w:rPr>
          <w:spacing w:val="-14"/>
        </w:rPr>
        <w:t> </w:t>
      </w:r>
      <w:r>
        <w:rPr/>
        <w:t>component</w:t>
      </w:r>
      <w:r>
        <w:rPr>
          <w:spacing w:val="-14"/>
        </w:rPr>
        <w:t> </w:t>
      </w:r>
      <w:r>
        <w:rPr/>
        <w:t>of</w:t>
      </w:r>
      <w:r>
        <w:rPr>
          <w:spacing w:val="-14"/>
        </w:rPr>
        <w:t> </w:t>
      </w:r>
      <w:r>
        <w:rPr/>
        <w:t>the</w:t>
      </w:r>
      <w:r>
        <w:rPr>
          <w:spacing w:val="-14"/>
        </w:rPr>
        <w:t> </w:t>
      </w:r>
      <w:r>
        <w:rPr/>
        <w:t>University’s internationalisation</w:t>
      </w:r>
      <w:r>
        <w:rPr>
          <w:spacing w:val="-26"/>
        </w:rPr>
        <w:t> </w:t>
      </w:r>
      <w:r>
        <w:rPr/>
        <w:t>strategy.</w:t>
      </w:r>
      <w:r>
        <w:rPr>
          <w:spacing w:val="-26"/>
        </w:rPr>
        <w:t> </w:t>
      </w:r>
      <w:r>
        <w:rPr/>
        <w:t>Elements of</w:t>
      </w:r>
      <w:r>
        <w:rPr>
          <w:spacing w:val="-27"/>
        </w:rPr>
        <w:t> </w:t>
      </w:r>
      <w:r>
        <w:rPr/>
        <w:t>this</w:t>
      </w:r>
      <w:r>
        <w:rPr>
          <w:spacing w:val="-27"/>
        </w:rPr>
        <w:t> </w:t>
      </w:r>
      <w:r>
        <w:rPr/>
        <w:t>include:</w:t>
      </w:r>
    </w:p>
    <w:p>
      <w:pPr>
        <w:pStyle w:val="BodyText"/>
        <w:spacing w:line="247" w:lineRule="auto" w:before="55"/>
        <w:ind w:left="305" w:right="146" w:hanging="199"/>
      </w:pPr>
      <w:r>
        <w:rPr>
          <w:rFonts w:ascii="Century Gothic" w:hAnsi="Century Gothic"/>
          <w:b/>
          <w:w w:val="115"/>
        </w:rPr>
        <w:t>≥ </w:t>
      </w:r>
      <w:r>
        <w:rPr/>
        <w:t>The International Student Barometer: In </w:t>
      </w:r>
      <w:r>
        <w:rPr>
          <w:w w:val="85"/>
        </w:rPr>
        <w:t>2016, </w:t>
      </w:r>
      <w:r>
        <w:rPr>
          <w:w w:val="97"/>
        </w:rPr>
        <w:t>the </w:t>
      </w:r>
      <w:r>
        <w:rPr>
          <w:w w:val="97"/>
        </w:rPr>
        <w:t>University’s </w:t>
      </w:r>
      <w:r>
        <w:rPr>
          <w:w w:val="97"/>
        </w:rPr>
        <w:t>overall </w:t>
      </w:r>
      <w:r>
        <w:rPr>
          <w:w w:val="97"/>
        </w:rPr>
        <w:t>satisfaction </w:t>
      </w:r>
      <w:r>
        <w:rPr/>
        <w:t>rating held steady at 88.0.</w:t>
      </w:r>
    </w:p>
    <w:p>
      <w:pPr>
        <w:pStyle w:val="BodyText"/>
        <w:spacing w:line="244" w:lineRule="auto" w:before="57"/>
        <w:ind w:left="305" w:right="14" w:hanging="199"/>
      </w:pPr>
      <w:r>
        <w:rPr>
          <w:rFonts w:ascii="Century Gothic" w:hAnsi="Century Gothic"/>
          <w:b/>
          <w:w w:val="145"/>
        </w:rPr>
        <w:t>≥ </w:t>
      </w:r>
      <w:r>
        <w:rPr>
          <w:w w:val="94"/>
        </w:rPr>
        <w:t>Interchange </w:t>
      </w:r>
      <w:r>
        <w:rPr>
          <w:w w:val="84"/>
        </w:rPr>
        <w:t>2016: </w:t>
      </w:r>
      <w:r>
        <w:rPr>
          <w:w w:val="94"/>
        </w:rPr>
        <w:t>35 </w:t>
      </w:r>
      <w:r>
        <w:rPr>
          <w:w w:val="96"/>
        </w:rPr>
        <w:t>international </w:t>
      </w:r>
      <w:r>
        <w:rPr>
          <w:w w:val="97"/>
        </w:rPr>
        <w:t>students </w:t>
      </w:r>
      <w:r>
        <w:rPr/>
        <w:t>participated in a month-long program</w:t>
      </w:r>
    </w:p>
    <w:p>
      <w:pPr>
        <w:pStyle w:val="BodyText"/>
        <w:spacing w:line="249" w:lineRule="auto" w:before="3"/>
        <w:ind w:left="305" w:right="73"/>
      </w:pPr>
      <w:r>
        <w:rPr/>
        <w:t>to expand their networking, leadership, communication and innovation skills, while solving real-world problems facing international students in Australia. The program</w:t>
      </w:r>
      <w:r>
        <w:rPr>
          <w:spacing w:val="-15"/>
        </w:rPr>
        <w:t> </w:t>
      </w:r>
      <w:r>
        <w:rPr/>
        <w:t>was</w:t>
      </w:r>
      <w:r>
        <w:rPr>
          <w:spacing w:val="-15"/>
        </w:rPr>
        <w:t> </w:t>
      </w:r>
      <w:r>
        <w:rPr/>
        <w:t>delivered</w:t>
      </w:r>
      <w:r>
        <w:rPr>
          <w:spacing w:val="-15"/>
        </w:rPr>
        <w:t> </w:t>
      </w:r>
      <w:r>
        <w:rPr/>
        <w:t>in</w:t>
      </w:r>
      <w:r>
        <w:rPr>
          <w:spacing w:val="-15"/>
        </w:rPr>
        <w:t> </w:t>
      </w:r>
      <w:r>
        <w:rPr/>
        <w:t>partnership</w:t>
      </w:r>
      <w:r>
        <w:rPr>
          <w:spacing w:val="-15"/>
        </w:rPr>
        <w:t> </w:t>
      </w:r>
      <w:r>
        <w:rPr/>
        <w:t>with seven</w:t>
      </w:r>
      <w:r>
        <w:rPr>
          <w:spacing w:val="-25"/>
        </w:rPr>
        <w:t> </w:t>
      </w:r>
      <w:r>
        <w:rPr/>
        <w:t>universities</w:t>
      </w:r>
      <w:r>
        <w:rPr>
          <w:spacing w:val="-25"/>
        </w:rPr>
        <w:t> </w:t>
      </w:r>
      <w:r>
        <w:rPr/>
        <w:t>and</w:t>
      </w:r>
      <w:r>
        <w:rPr>
          <w:spacing w:val="-25"/>
        </w:rPr>
        <w:t> </w:t>
      </w:r>
      <w:r>
        <w:rPr/>
        <w:t>StudyNSW.</w:t>
      </w:r>
    </w:p>
    <w:p>
      <w:pPr>
        <w:pStyle w:val="BodyText"/>
        <w:spacing w:line="247" w:lineRule="auto" w:before="55"/>
        <w:ind w:left="305" w:right="245" w:hanging="199"/>
      </w:pPr>
      <w:r>
        <w:rPr>
          <w:rFonts w:ascii="Century Gothic" w:hAnsi="Century Gothic"/>
          <w:b/>
          <w:w w:val="115"/>
        </w:rPr>
        <w:t>≥ </w:t>
      </w:r>
      <w:r>
        <w:rPr/>
        <w:t>Social Engagement and Leadership Program: 72 international students </w:t>
      </w:r>
      <w:r>
        <w:rPr>
          <w:w w:val="98"/>
        </w:rPr>
        <w:t>participated </w:t>
      </w:r>
      <w:r>
        <w:rPr>
          <w:w w:val="95"/>
        </w:rPr>
        <w:t>in </w:t>
      </w:r>
      <w:r>
        <w:rPr>
          <w:w w:val="85"/>
        </w:rPr>
        <w:t>2016, </w:t>
      </w:r>
      <w:r>
        <w:rPr>
          <w:w w:val="98"/>
        </w:rPr>
        <w:t>working </w:t>
      </w:r>
      <w:r>
        <w:rPr>
          <w:w w:val="95"/>
        </w:rPr>
        <w:t>in </w:t>
      </w:r>
      <w:r>
        <w:rPr>
          <w:w w:val="97"/>
        </w:rPr>
        <w:t>teams </w:t>
      </w:r>
      <w:r>
        <w:rPr/>
        <w:t>on projects for non-government organisations to develop collaboration skills, improve their English language skills and participate more fully in the University and wider community.</w:t>
      </w:r>
    </w:p>
    <w:p>
      <w:pPr>
        <w:pStyle w:val="BodyText"/>
        <w:spacing w:before="4"/>
        <w:rPr>
          <w:sz w:val="19"/>
        </w:rPr>
      </w:pPr>
    </w:p>
    <w:p>
      <w:pPr>
        <w:pStyle w:val="Heading7"/>
        <w:spacing w:before="1"/>
        <w:ind w:right="146"/>
      </w:pPr>
      <w:r>
        <w:rPr>
          <w:w w:val="95"/>
        </w:rPr>
        <w:t>INTERNATIONAL PARTNERSHIPS</w:t>
      </w:r>
    </w:p>
    <w:p>
      <w:pPr>
        <w:pStyle w:val="BodyText"/>
        <w:spacing w:line="249" w:lineRule="auto" w:before="58"/>
        <w:ind w:left="107" w:right="-2"/>
      </w:pPr>
      <w:r>
        <w:rPr>
          <w:spacing w:val="1"/>
          <w:w w:val="94"/>
        </w:rPr>
        <w:t>The</w:t>
      </w:r>
      <w:r>
        <w:rPr>
          <w:w w:val="94"/>
        </w:rPr>
        <w:t> </w:t>
      </w:r>
      <w:r>
        <w:rPr>
          <w:spacing w:val="1"/>
          <w:w w:val="97"/>
        </w:rPr>
        <w:t>University</w:t>
      </w:r>
      <w:r>
        <w:rPr>
          <w:w w:val="97"/>
        </w:rPr>
        <w:t> </w:t>
      </w:r>
      <w:r>
        <w:rPr>
          <w:spacing w:val="1"/>
          <w:w w:val="95"/>
        </w:rPr>
        <w:t>has</w:t>
      </w:r>
      <w:r>
        <w:rPr>
          <w:w w:val="95"/>
        </w:rPr>
        <w:t> </w:t>
      </w:r>
      <w:r>
        <w:rPr>
          <w:w w:val="97"/>
        </w:rPr>
        <w:t>more </w:t>
      </w:r>
      <w:r>
        <w:rPr>
          <w:spacing w:val="1"/>
          <w:w w:val="97"/>
        </w:rPr>
        <w:t>than</w:t>
      </w:r>
      <w:r>
        <w:rPr>
          <w:w w:val="97"/>
        </w:rPr>
        <w:t> </w:t>
      </w:r>
      <w:r>
        <w:rPr>
          <w:spacing w:val="2"/>
          <w:w w:val="92"/>
        </w:rPr>
        <w:t>100</w:t>
      </w:r>
      <w:r>
        <w:rPr>
          <w:w w:val="92"/>
        </w:rPr>
        <w:t> </w:t>
      </w:r>
      <w:r>
        <w:rPr>
          <w:spacing w:val="1"/>
          <w:w w:val="97"/>
        </w:rPr>
        <w:t>partners</w:t>
      </w:r>
      <w:r>
        <w:rPr>
          <w:w w:val="97"/>
        </w:rPr>
        <w:t> </w:t>
      </w:r>
      <w:r>
        <w:rPr/>
        <w:t>across</w:t>
      </w:r>
      <w:r>
        <w:rPr>
          <w:spacing w:val="-17"/>
        </w:rPr>
        <w:t> </w:t>
      </w:r>
      <w:r>
        <w:rPr/>
        <w:t>Africa,</w:t>
      </w:r>
      <w:r>
        <w:rPr>
          <w:spacing w:val="-17"/>
        </w:rPr>
        <w:t> </w:t>
      </w:r>
      <w:r>
        <w:rPr/>
        <w:t>the</w:t>
      </w:r>
      <w:r>
        <w:rPr>
          <w:spacing w:val="-17"/>
        </w:rPr>
        <w:t> </w:t>
      </w:r>
      <w:r>
        <w:rPr/>
        <w:t>Americas,</w:t>
      </w:r>
      <w:r>
        <w:rPr>
          <w:spacing w:val="-17"/>
        </w:rPr>
        <w:t> </w:t>
      </w:r>
      <w:r>
        <w:rPr/>
        <w:t>East</w:t>
      </w:r>
      <w:r>
        <w:rPr>
          <w:spacing w:val="-17"/>
        </w:rPr>
        <w:t> </w:t>
      </w:r>
      <w:r>
        <w:rPr/>
        <w:t>Asia,</w:t>
      </w:r>
      <w:r>
        <w:rPr>
          <w:spacing w:val="-17"/>
        </w:rPr>
        <w:t> </w:t>
      </w:r>
      <w:r>
        <w:rPr/>
        <w:t>Europe, the</w:t>
      </w:r>
      <w:r>
        <w:rPr>
          <w:spacing w:val="-17"/>
        </w:rPr>
        <w:t> </w:t>
      </w:r>
      <w:r>
        <w:rPr/>
        <w:t>Subcontinent,</w:t>
      </w:r>
      <w:r>
        <w:rPr>
          <w:spacing w:val="-17"/>
        </w:rPr>
        <w:t> </w:t>
      </w:r>
      <w:r>
        <w:rPr/>
        <w:t>Southeast</w:t>
      </w:r>
      <w:r>
        <w:rPr>
          <w:spacing w:val="-17"/>
        </w:rPr>
        <w:t> </w:t>
      </w:r>
      <w:r>
        <w:rPr/>
        <w:t>Asia</w:t>
      </w:r>
      <w:r>
        <w:rPr>
          <w:spacing w:val="-17"/>
        </w:rPr>
        <w:t> </w:t>
      </w:r>
      <w:r>
        <w:rPr/>
        <w:t>and</w:t>
      </w:r>
      <w:r>
        <w:rPr>
          <w:spacing w:val="-17"/>
        </w:rPr>
        <w:t> </w:t>
      </w:r>
      <w:r>
        <w:rPr/>
        <w:t>the</w:t>
      </w:r>
    </w:p>
    <w:p>
      <w:pPr>
        <w:pStyle w:val="BodyText"/>
        <w:spacing w:line="247" w:lineRule="auto"/>
        <w:ind w:left="107" w:right="32"/>
      </w:pPr>
      <w:r>
        <w:rPr>
          <w:spacing w:val="3"/>
        </w:rPr>
        <w:t>UK. </w:t>
      </w:r>
      <w:r>
        <w:rPr/>
        <w:t>These international agreements cover a range</w:t>
      </w:r>
      <w:r>
        <w:rPr>
          <w:spacing w:val="-15"/>
        </w:rPr>
        <w:t> </w:t>
      </w:r>
      <w:r>
        <w:rPr/>
        <w:t>of</w:t>
      </w:r>
      <w:r>
        <w:rPr>
          <w:spacing w:val="-15"/>
        </w:rPr>
        <w:t> </w:t>
      </w:r>
      <w:r>
        <w:rPr/>
        <w:t>activities,</w:t>
      </w:r>
      <w:r>
        <w:rPr>
          <w:spacing w:val="-15"/>
        </w:rPr>
        <w:t> </w:t>
      </w:r>
      <w:r>
        <w:rPr/>
        <w:t>including</w:t>
      </w:r>
      <w:r>
        <w:rPr>
          <w:spacing w:val="-15"/>
        </w:rPr>
        <w:t> </w:t>
      </w:r>
      <w:r>
        <w:rPr/>
        <w:t>staff</w:t>
      </w:r>
      <w:r>
        <w:rPr>
          <w:spacing w:val="-15"/>
        </w:rPr>
        <w:t> </w:t>
      </w:r>
      <w:r>
        <w:rPr/>
        <w:t>and</w:t>
      </w:r>
      <w:r>
        <w:rPr>
          <w:spacing w:val="-15"/>
        </w:rPr>
        <w:t> </w:t>
      </w:r>
      <w:r>
        <w:rPr/>
        <w:t>student exchanges, articulation pathways, clinical placements, dual-award programs, offshore teaching licences, scholarships, cultural development, capacity building and research </w:t>
      </w:r>
      <w:r>
        <w:rPr>
          <w:spacing w:val="2"/>
          <w:w w:val="93"/>
        </w:rPr>
        <w:t>projects.</w:t>
      </w:r>
      <w:r>
        <w:rPr>
          <w:w w:val="93"/>
        </w:rPr>
        <w:t> </w:t>
      </w:r>
      <w:r>
        <w:rPr>
          <w:spacing w:val="1"/>
          <w:w w:val="80"/>
        </w:rPr>
        <w:t>In</w:t>
      </w:r>
      <w:r>
        <w:rPr>
          <w:w w:val="80"/>
        </w:rPr>
        <w:t> </w:t>
      </w:r>
      <w:r>
        <w:rPr>
          <w:spacing w:val="1"/>
          <w:w w:val="100"/>
        </w:rPr>
        <w:t>October</w:t>
      </w:r>
      <w:r>
        <w:rPr>
          <w:w w:val="100"/>
        </w:rPr>
        <w:t> </w:t>
      </w:r>
      <w:r>
        <w:rPr>
          <w:spacing w:val="2"/>
          <w:w w:val="85"/>
        </w:rPr>
        <w:t>2016,</w:t>
      </w:r>
      <w:r>
        <w:rPr>
          <w:w w:val="85"/>
        </w:rPr>
        <w:t> </w:t>
      </w:r>
      <w:r>
        <w:rPr>
          <w:w w:val="97"/>
        </w:rPr>
        <w:t>the </w:t>
      </w:r>
      <w:r>
        <w:rPr>
          <w:spacing w:val="1"/>
          <w:w w:val="97"/>
        </w:rPr>
        <w:t>University</w:t>
      </w:r>
      <w:r>
        <w:rPr>
          <w:w w:val="97"/>
        </w:rPr>
        <w:t> </w:t>
      </w:r>
      <w:r>
        <w:rPr>
          <w:spacing w:val="1"/>
          <w:w w:val="97"/>
        </w:rPr>
        <w:t>had</w:t>
      </w:r>
      <w:r>
        <w:rPr>
          <w:w w:val="97"/>
        </w:rPr>
        <w:t> </w:t>
      </w:r>
      <w:r>
        <w:rPr/>
        <w:t>six</w:t>
      </w:r>
      <w:r>
        <w:rPr>
          <w:spacing w:val="-22"/>
        </w:rPr>
        <w:t> </w:t>
      </w:r>
      <w:r>
        <w:rPr/>
        <w:t>Category</w:t>
      </w:r>
      <w:r>
        <w:rPr>
          <w:spacing w:val="-22"/>
        </w:rPr>
        <w:t> </w:t>
      </w:r>
      <w:r>
        <w:rPr>
          <w:w w:val="95"/>
        </w:rPr>
        <w:t>1</w:t>
      </w:r>
      <w:r>
        <w:rPr>
          <w:spacing w:val="-20"/>
          <w:w w:val="95"/>
        </w:rPr>
        <w:t> </w:t>
      </w:r>
      <w:r>
        <w:rPr>
          <w:spacing w:val="2"/>
        </w:rPr>
        <w:t>partners,</w:t>
      </w:r>
      <w:r>
        <w:rPr>
          <w:spacing w:val="-22"/>
        </w:rPr>
        <w:t> </w:t>
      </w:r>
      <w:r>
        <w:rPr/>
        <w:t>defined</w:t>
      </w:r>
      <w:r>
        <w:rPr>
          <w:spacing w:val="-22"/>
        </w:rPr>
        <w:t> </w:t>
      </w:r>
      <w:r>
        <w:rPr/>
        <w:t>by</w:t>
      </w:r>
      <w:r>
        <w:rPr>
          <w:spacing w:val="-22"/>
        </w:rPr>
        <w:t> </w:t>
      </w:r>
      <w:r>
        <w:rPr/>
        <w:t>the</w:t>
      </w:r>
      <w:r>
        <w:rPr>
          <w:spacing w:val="-22"/>
        </w:rPr>
        <w:t> </w:t>
      </w:r>
      <w:r>
        <w:rPr/>
        <w:t>range, depth and sustainability of engagement relating to its international strategic </w:t>
      </w:r>
      <w:r>
        <w:rPr>
          <w:spacing w:val="1"/>
          <w:w w:val="94"/>
        </w:rPr>
        <w:t>objectives.</w:t>
      </w:r>
      <w:r>
        <w:rPr>
          <w:w w:val="94"/>
        </w:rPr>
        <w:t> </w:t>
      </w:r>
      <w:r>
        <w:rPr>
          <w:spacing w:val="1"/>
          <w:w w:val="94"/>
        </w:rPr>
        <w:t>This</w:t>
      </w:r>
      <w:r>
        <w:rPr>
          <w:w w:val="94"/>
        </w:rPr>
        <w:t> </w:t>
      </w:r>
      <w:r>
        <w:rPr>
          <w:spacing w:val="1"/>
          <w:w w:val="97"/>
        </w:rPr>
        <w:t>meets</w:t>
      </w:r>
      <w:r>
        <w:rPr>
          <w:w w:val="97"/>
        </w:rPr>
        <w:t> </w:t>
      </w:r>
      <w:r>
        <w:rPr>
          <w:w w:val="97"/>
        </w:rPr>
        <w:t>the </w:t>
      </w:r>
      <w:r>
        <w:rPr>
          <w:spacing w:val="1"/>
          <w:w w:val="90"/>
        </w:rPr>
        <w:t>2016</w:t>
      </w:r>
      <w:r>
        <w:rPr>
          <w:w w:val="90"/>
        </w:rPr>
        <w:t> </w:t>
      </w:r>
      <w:r>
        <w:rPr>
          <w:rFonts w:ascii="Century Gothic"/>
          <w:i/>
          <w:w w:val="92"/>
        </w:rPr>
        <w:t>Securing </w:t>
      </w:r>
      <w:r>
        <w:rPr>
          <w:rFonts w:ascii="Century Gothic"/>
          <w:i/>
          <w:w w:val="90"/>
        </w:rPr>
        <w:t>Success</w:t>
      </w:r>
      <w:r>
        <w:rPr>
          <w:rFonts w:ascii="Century Gothic"/>
          <w:i/>
          <w:spacing w:val="26"/>
          <w:w w:val="90"/>
        </w:rPr>
        <w:t> </w:t>
      </w:r>
      <w:r>
        <w:rPr>
          <w:w w:val="90"/>
        </w:rPr>
        <w:t>target.</w:t>
      </w:r>
    </w:p>
    <w:p>
      <w:pPr>
        <w:pStyle w:val="BodyText"/>
        <w:spacing w:before="12"/>
        <w:rPr>
          <w:sz w:val="13"/>
        </w:rPr>
      </w:pPr>
    </w:p>
    <w:p>
      <w:pPr>
        <w:pStyle w:val="BodyText"/>
        <w:ind w:left="107" w:right="14"/>
      </w:pPr>
      <w:r>
        <w:rPr>
          <w:spacing w:val="2"/>
          <w:w w:val="92"/>
        </w:rPr>
        <w:t>T</w:t>
      </w:r>
      <w:r>
        <w:rPr>
          <w:spacing w:val="2"/>
          <w:w w:val="95"/>
        </w:rPr>
        <w:t>h</w:t>
      </w:r>
      <w:r>
        <w:rPr>
          <w:w w:val="95"/>
        </w:rPr>
        <w:t>e</w:t>
      </w:r>
      <w:r>
        <w:rPr>
          <w:spacing w:val="-12"/>
        </w:rPr>
        <w:t> </w:t>
      </w:r>
      <w:r>
        <w:rPr>
          <w:spacing w:val="1"/>
          <w:w w:val="100"/>
        </w:rPr>
        <w:t>o</w:t>
      </w:r>
      <w:r>
        <w:rPr>
          <w:w w:val="97"/>
        </w:rPr>
        <w:t>ff</w:t>
      </w:r>
      <w:r>
        <w:rPr>
          <w:spacing w:val="2"/>
          <w:w w:val="97"/>
        </w:rPr>
        <w:t>i</w:t>
      </w:r>
      <w:r>
        <w:rPr>
          <w:w w:val="102"/>
        </w:rPr>
        <w:t>c</w:t>
      </w:r>
      <w:r>
        <w:rPr>
          <w:w w:val="95"/>
        </w:rPr>
        <w:t>e</w:t>
      </w:r>
      <w:r>
        <w:rPr>
          <w:spacing w:val="-12"/>
        </w:rPr>
        <w:t> </w:t>
      </w:r>
      <w:r>
        <w:rPr>
          <w:w w:val="95"/>
        </w:rPr>
        <w:t>s</w:t>
      </w:r>
      <w:r>
        <w:rPr>
          <w:spacing w:val="1"/>
          <w:w w:val="95"/>
        </w:rPr>
        <w:t>i</w:t>
      </w:r>
      <w:r>
        <w:rPr>
          <w:spacing w:val="2"/>
          <w:w w:val="102"/>
        </w:rPr>
        <w:t>g</w:t>
      </w:r>
      <w:r>
        <w:rPr>
          <w:spacing w:val="2"/>
          <w:w w:val="95"/>
        </w:rPr>
        <w:t>n</w:t>
      </w:r>
      <w:r>
        <w:rPr>
          <w:spacing w:val="3"/>
          <w:w w:val="95"/>
        </w:rPr>
        <w:t>e</w:t>
      </w:r>
      <w:r>
        <w:rPr>
          <w:w w:val="102"/>
        </w:rPr>
        <w:t>d</w:t>
      </w:r>
      <w:r>
        <w:rPr>
          <w:spacing w:val="-12"/>
        </w:rPr>
        <w:t> </w:t>
      </w:r>
      <w:r>
        <w:rPr>
          <w:spacing w:val="1"/>
          <w:w w:val="94"/>
        </w:rPr>
        <w:t>3</w:t>
      </w:r>
      <w:r>
        <w:rPr>
          <w:w w:val="93"/>
        </w:rPr>
        <w:t>2</w:t>
      </w:r>
      <w:r>
        <w:rPr>
          <w:spacing w:val="-12"/>
        </w:rPr>
        <w:t> </w:t>
      </w:r>
      <w:r>
        <w:rPr>
          <w:spacing w:val="2"/>
          <w:w w:val="95"/>
        </w:rPr>
        <w:t>n</w:t>
      </w:r>
      <w:r>
        <w:rPr>
          <w:spacing w:val="-1"/>
          <w:w w:val="95"/>
        </w:rPr>
        <w:t>e</w:t>
      </w:r>
      <w:r>
        <w:rPr>
          <w:w w:val="101"/>
        </w:rPr>
        <w:t>w</w:t>
      </w:r>
      <w:r>
        <w:rPr>
          <w:spacing w:val="-12"/>
        </w:rPr>
        <w:t> </w:t>
      </w:r>
      <w:r>
        <w:rPr>
          <w:spacing w:val="2"/>
          <w:w w:val="94"/>
        </w:rPr>
        <w:t>a</w:t>
      </w:r>
      <w:r>
        <w:rPr>
          <w:spacing w:val="2"/>
          <w:w w:val="102"/>
        </w:rPr>
        <w:t>g</w:t>
      </w:r>
      <w:r>
        <w:rPr>
          <w:spacing w:val="-1"/>
          <w:w w:val="95"/>
        </w:rPr>
        <w:t>r</w:t>
      </w:r>
      <w:r>
        <w:rPr>
          <w:spacing w:val="3"/>
          <w:w w:val="95"/>
        </w:rPr>
        <w:t>e</w:t>
      </w:r>
      <w:r>
        <w:rPr>
          <w:spacing w:val="2"/>
          <w:w w:val="95"/>
        </w:rPr>
        <w:t>e</w:t>
      </w:r>
      <w:r>
        <w:rPr>
          <w:spacing w:val="2"/>
          <w:w w:val="98"/>
        </w:rPr>
        <w:t>m</w:t>
      </w:r>
      <w:r>
        <w:rPr>
          <w:spacing w:val="2"/>
          <w:w w:val="95"/>
        </w:rPr>
        <w:t>e</w:t>
      </w:r>
      <w:r>
        <w:rPr>
          <w:w w:val="95"/>
        </w:rPr>
        <w:t>n</w:t>
      </w:r>
      <w:r>
        <w:rPr>
          <w:spacing w:val="4"/>
          <w:w w:val="102"/>
        </w:rPr>
        <w:t>t</w:t>
      </w:r>
      <w:r>
        <w:rPr>
          <w:w w:val="95"/>
        </w:rPr>
        <w:t>s</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spacing w:val="4"/>
          <w:w w:val="101"/>
        </w:rPr>
        <w:t>6</w:t>
      </w:r>
      <w:r>
        <w:rPr>
          <w:w w:val="68"/>
        </w:rPr>
        <w:t>.</w:t>
      </w:r>
    </w:p>
    <w:p>
      <w:pPr>
        <w:pStyle w:val="BodyText"/>
        <w:spacing w:before="9"/>
      </w:pPr>
      <w:r>
        <w:rPr/>
        <w:br w:type="column"/>
      </w:r>
      <w:r>
        <w:rPr/>
      </w:r>
    </w:p>
    <w:p>
      <w:pPr>
        <w:pStyle w:val="BodyText"/>
        <w:spacing w:line="249" w:lineRule="auto"/>
        <w:ind w:left="107" w:right="209"/>
      </w:pPr>
      <w:r>
        <w:rPr/>
        <w:t>These include articulations and pathways to facilitate student recruitment, mobility and research projects. The institutions include:</w:t>
      </w:r>
    </w:p>
    <w:p>
      <w:pPr>
        <w:pStyle w:val="BodyText"/>
        <w:spacing w:line="244" w:lineRule="auto" w:before="55"/>
        <w:ind w:left="305" w:right="260" w:hanging="199"/>
      </w:pPr>
      <w:r>
        <w:rPr>
          <w:rFonts w:ascii="Century Gothic" w:hAnsi="Century Gothic"/>
          <w:b/>
          <w:w w:val="115"/>
        </w:rPr>
        <w:t>≥ </w:t>
      </w:r>
      <w:r>
        <w:rPr/>
        <w:t>Linkoping University in Sweden, which will</w:t>
      </w:r>
      <w:r>
        <w:rPr>
          <w:spacing w:val="-24"/>
        </w:rPr>
        <w:t> </w:t>
      </w:r>
      <w:r>
        <w:rPr/>
        <w:t>host</w:t>
      </w:r>
      <w:r>
        <w:rPr>
          <w:spacing w:val="-24"/>
        </w:rPr>
        <w:t> </w:t>
      </w:r>
      <w:r>
        <w:rPr/>
        <w:t>an</w:t>
      </w:r>
      <w:r>
        <w:rPr>
          <w:spacing w:val="-24"/>
        </w:rPr>
        <w:t> </w:t>
      </w:r>
      <w:r>
        <w:rPr/>
        <w:t>international</w:t>
      </w:r>
      <w:r>
        <w:rPr>
          <w:spacing w:val="-24"/>
        </w:rPr>
        <w:t> </w:t>
      </w:r>
      <w:r>
        <w:rPr/>
        <w:t>consortium</w:t>
      </w:r>
      <w:r>
        <w:rPr>
          <w:spacing w:val="-24"/>
        </w:rPr>
        <w:t> </w:t>
      </w:r>
      <w:r>
        <w:rPr/>
        <w:t>of</w:t>
      </w:r>
      <w:r>
        <w:rPr>
          <w:spacing w:val="-24"/>
        </w:rPr>
        <w:t> </w:t>
      </w:r>
      <w:r>
        <w:rPr/>
        <w:t>13</w:t>
      </w:r>
    </w:p>
    <w:p>
      <w:pPr>
        <w:pStyle w:val="BodyText"/>
        <w:spacing w:line="249" w:lineRule="auto" w:before="3"/>
        <w:ind w:left="305" w:right="81"/>
      </w:pPr>
      <w:r>
        <w:rPr/>
        <w:t>universities collaborating on environmental humanities research funded by the European Union (EU)</w:t>
      </w:r>
    </w:p>
    <w:p>
      <w:pPr>
        <w:pStyle w:val="BodyText"/>
        <w:spacing w:line="244" w:lineRule="auto" w:before="55"/>
        <w:ind w:left="305" w:right="268" w:hanging="199"/>
      </w:pPr>
      <w:r>
        <w:rPr>
          <w:rFonts w:ascii="Century Gothic" w:hAnsi="Century Gothic"/>
          <w:b/>
          <w:w w:val="115"/>
        </w:rPr>
        <w:t>≥ </w:t>
      </w:r>
      <w:r>
        <w:rPr/>
        <w:t>Panjab University in India, which signed a Memorandum of Understanding (MoU)</w:t>
      </w:r>
    </w:p>
    <w:p>
      <w:pPr>
        <w:pStyle w:val="BodyText"/>
        <w:spacing w:line="249" w:lineRule="auto" w:before="3"/>
        <w:ind w:left="305" w:right="273"/>
      </w:pPr>
      <w:r>
        <w:rPr/>
        <w:t>and</w:t>
      </w:r>
      <w:r>
        <w:rPr>
          <w:spacing w:val="-17"/>
        </w:rPr>
        <w:t> </w:t>
      </w:r>
      <w:r>
        <w:rPr/>
        <w:t>an</w:t>
      </w:r>
      <w:r>
        <w:rPr>
          <w:spacing w:val="-17"/>
        </w:rPr>
        <w:t> </w:t>
      </w:r>
      <w:r>
        <w:rPr/>
        <w:t>exchange</w:t>
      </w:r>
      <w:r>
        <w:rPr>
          <w:spacing w:val="-17"/>
        </w:rPr>
        <w:t> </w:t>
      </w:r>
      <w:r>
        <w:rPr/>
        <w:t>agreement</w:t>
      </w:r>
      <w:r>
        <w:rPr>
          <w:spacing w:val="-17"/>
        </w:rPr>
        <w:t> </w:t>
      </w:r>
      <w:r>
        <w:rPr/>
        <w:t>for</w:t>
      </w:r>
      <w:r>
        <w:rPr>
          <w:spacing w:val="-17"/>
        </w:rPr>
        <w:t> </w:t>
      </w:r>
      <w:r>
        <w:rPr/>
        <w:t>staff</w:t>
      </w:r>
      <w:r>
        <w:rPr>
          <w:spacing w:val="-17"/>
        </w:rPr>
        <w:t> </w:t>
      </w:r>
      <w:r>
        <w:rPr/>
        <w:t>and students</w:t>
      </w:r>
    </w:p>
    <w:p>
      <w:pPr>
        <w:pStyle w:val="BodyText"/>
        <w:spacing w:line="247" w:lineRule="auto" w:before="55"/>
        <w:ind w:left="305" w:right="285" w:hanging="199"/>
      </w:pPr>
      <w:r>
        <w:rPr>
          <w:rFonts w:ascii="Century Gothic" w:hAnsi="Century Gothic"/>
          <w:b/>
          <w:w w:val="115"/>
        </w:rPr>
        <w:t>≥ </w:t>
      </w:r>
      <w:r>
        <w:rPr/>
        <w:t>Kathmandu University in Nepal, which signed an MOU and a student exchange agreement</w:t>
      </w:r>
    </w:p>
    <w:p>
      <w:pPr>
        <w:pStyle w:val="BodyText"/>
        <w:spacing w:line="244" w:lineRule="auto" w:before="57"/>
        <w:ind w:left="305" w:right="197" w:hanging="199"/>
      </w:pPr>
      <w:r>
        <w:rPr>
          <w:rFonts w:ascii="Century Gothic" w:hAnsi="Century Gothic"/>
          <w:b/>
          <w:w w:val="115"/>
        </w:rPr>
        <w:t>≥ </w:t>
      </w:r>
      <w:r>
        <w:rPr/>
        <w:t>University Alliance of Silk Road in China, driven by Xi’an Jiaotong University.</w:t>
      </w:r>
    </w:p>
    <w:p>
      <w:pPr>
        <w:pStyle w:val="BodyText"/>
        <w:spacing w:before="6"/>
        <w:rPr>
          <w:sz w:val="19"/>
        </w:rPr>
      </w:pPr>
    </w:p>
    <w:p>
      <w:pPr>
        <w:pStyle w:val="Heading7"/>
        <w:spacing w:before="1"/>
        <w:ind w:right="460"/>
      </w:pPr>
      <w:r>
        <w:rPr>
          <w:w w:val="95"/>
        </w:rPr>
        <w:t>OFFSHORE ACTIVITIES</w:t>
      </w:r>
    </w:p>
    <w:p>
      <w:pPr>
        <w:pStyle w:val="BodyText"/>
        <w:spacing w:line="249" w:lineRule="auto" w:before="58"/>
        <w:ind w:left="107" w:right="250"/>
      </w:pPr>
      <w:r>
        <w:rPr/>
        <w:t>The Western Sydney University campus at the University of Economics Ho Chi Minh City (UEH) International School of Business teaches English for Academic Purposes.</w:t>
      </w:r>
    </w:p>
    <w:p>
      <w:pPr>
        <w:pStyle w:val="BodyText"/>
        <w:spacing w:line="249" w:lineRule="auto"/>
        <w:ind w:left="107" w:right="260"/>
      </w:pPr>
      <w:r>
        <w:rPr/>
        <w:t>It also delivers the University’s business courses (Master of Business Administration and</w:t>
      </w:r>
      <w:r>
        <w:rPr>
          <w:spacing w:val="-17"/>
        </w:rPr>
        <w:t> </w:t>
      </w:r>
      <w:r>
        <w:rPr/>
        <w:t>Bachelor</w:t>
      </w:r>
      <w:r>
        <w:rPr>
          <w:spacing w:val="-17"/>
        </w:rPr>
        <w:t> </w:t>
      </w:r>
      <w:r>
        <w:rPr/>
        <w:t>of</w:t>
      </w:r>
      <w:r>
        <w:rPr>
          <w:spacing w:val="-17"/>
        </w:rPr>
        <w:t> </w:t>
      </w:r>
      <w:r>
        <w:rPr/>
        <w:t>Business)</w:t>
      </w:r>
      <w:r>
        <w:rPr>
          <w:spacing w:val="-17"/>
        </w:rPr>
        <w:t> </w:t>
      </w:r>
      <w:r>
        <w:rPr/>
        <w:t>under</w:t>
      </w:r>
      <w:r>
        <w:rPr>
          <w:spacing w:val="-17"/>
        </w:rPr>
        <w:t> </w:t>
      </w:r>
      <w:r>
        <w:rPr/>
        <w:t>an</w:t>
      </w:r>
      <w:r>
        <w:rPr>
          <w:spacing w:val="-17"/>
        </w:rPr>
        <w:t> </w:t>
      </w:r>
      <w:r>
        <w:rPr/>
        <w:t>offshore licence arrangement. In mid-December </w:t>
      </w:r>
      <w:r>
        <w:rPr>
          <w:spacing w:val="2"/>
          <w:w w:val="85"/>
        </w:rPr>
        <w:t>2016,</w:t>
      </w:r>
      <w:r>
        <w:rPr>
          <w:w w:val="85"/>
        </w:rPr>
        <w:t> </w:t>
      </w:r>
      <w:r>
        <w:rPr>
          <w:w w:val="97"/>
        </w:rPr>
        <w:t>there </w:t>
      </w:r>
      <w:r>
        <w:rPr>
          <w:w w:val="97"/>
        </w:rPr>
        <w:t>were </w:t>
      </w:r>
      <w:r>
        <w:rPr>
          <w:w w:val="99"/>
        </w:rPr>
        <w:t>493 </w:t>
      </w:r>
      <w:r>
        <w:rPr>
          <w:spacing w:val="1"/>
          <w:w w:val="97"/>
        </w:rPr>
        <w:t>students</w:t>
      </w:r>
      <w:r>
        <w:rPr>
          <w:w w:val="97"/>
        </w:rPr>
        <w:t> </w:t>
      </w:r>
      <w:r>
        <w:rPr>
          <w:w w:val="98"/>
        </w:rPr>
        <w:t>at </w:t>
      </w:r>
      <w:r>
        <w:rPr>
          <w:spacing w:val="1"/>
          <w:w w:val="96"/>
        </w:rPr>
        <w:t>various</w:t>
      </w:r>
      <w:r>
        <w:rPr>
          <w:w w:val="96"/>
        </w:rPr>
        <w:t> </w:t>
      </w:r>
      <w:r>
        <w:rPr/>
        <w:t>stages of the programs at the University’s UEH </w:t>
      </w:r>
      <w:r>
        <w:rPr>
          <w:spacing w:val="2"/>
        </w:rPr>
        <w:t>campus. </w:t>
      </w:r>
      <w:r>
        <w:rPr/>
        <w:t>The campus also hosted an inaugural</w:t>
      </w:r>
      <w:r>
        <w:rPr>
          <w:spacing w:val="-28"/>
        </w:rPr>
        <w:t> </w:t>
      </w:r>
      <w:r>
        <w:rPr/>
        <w:t>international</w:t>
      </w:r>
      <w:r>
        <w:rPr>
          <w:spacing w:val="-28"/>
        </w:rPr>
        <w:t> </w:t>
      </w:r>
      <w:r>
        <w:rPr/>
        <w:t>research</w:t>
      </w:r>
      <w:r>
        <w:rPr>
          <w:spacing w:val="-28"/>
        </w:rPr>
        <w:t> </w:t>
      </w:r>
      <w:r>
        <w:rPr/>
        <w:t>conference. The</w:t>
      </w:r>
      <w:r>
        <w:rPr>
          <w:spacing w:val="-17"/>
        </w:rPr>
        <w:t> </w:t>
      </w:r>
      <w:r>
        <w:rPr/>
        <w:t>UEH</w:t>
      </w:r>
      <w:r>
        <w:rPr>
          <w:spacing w:val="-17"/>
        </w:rPr>
        <w:t> </w:t>
      </w:r>
      <w:r>
        <w:rPr/>
        <w:t>Steering</w:t>
      </w:r>
      <w:r>
        <w:rPr>
          <w:spacing w:val="-17"/>
        </w:rPr>
        <w:t> </w:t>
      </w:r>
      <w:r>
        <w:rPr/>
        <w:t>Group</w:t>
      </w:r>
      <w:r>
        <w:rPr>
          <w:spacing w:val="-17"/>
        </w:rPr>
        <w:t> </w:t>
      </w:r>
      <w:r>
        <w:rPr/>
        <w:t>was</w:t>
      </w:r>
      <w:r>
        <w:rPr>
          <w:spacing w:val="-17"/>
        </w:rPr>
        <w:t> </w:t>
      </w:r>
      <w:r>
        <w:rPr/>
        <w:t>established</w:t>
      </w:r>
      <w:r>
        <w:rPr>
          <w:spacing w:val="-17"/>
        </w:rPr>
        <w:t> </w:t>
      </w:r>
      <w:r>
        <w:rPr/>
        <w:t>in</w:t>
      </w:r>
    </w:p>
    <w:p>
      <w:pPr>
        <w:pStyle w:val="BodyText"/>
        <w:spacing w:line="249" w:lineRule="auto"/>
        <w:ind w:left="107" w:right="116"/>
      </w:pPr>
      <w:r>
        <w:rPr>
          <w:w w:val="90"/>
        </w:rPr>
        <w:t>2016 </w:t>
      </w:r>
      <w:r>
        <w:rPr>
          <w:w w:val="101"/>
        </w:rPr>
        <w:t>to </w:t>
      </w:r>
      <w:r>
        <w:rPr>
          <w:w w:val="99"/>
        </w:rPr>
        <w:t>provide </w:t>
      </w:r>
      <w:r>
        <w:rPr>
          <w:w w:val="97"/>
        </w:rPr>
        <w:t>strengthened </w:t>
      </w:r>
      <w:r>
        <w:rPr>
          <w:w w:val="98"/>
        </w:rPr>
        <w:t>governance </w:t>
      </w:r>
      <w:r>
        <w:rPr>
          <w:w w:val="97"/>
        </w:rPr>
        <w:t>and </w:t>
      </w:r>
      <w:r>
        <w:rPr/>
        <w:t>oversee a finance and operations review.</w:t>
      </w:r>
    </w:p>
    <w:p>
      <w:pPr>
        <w:pStyle w:val="BodyText"/>
        <w:rPr>
          <w:sz w:val="14"/>
        </w:rPr>
      </w:pPr>
    </w:p>
    <w:p>
      <w:pPr>
        <w:pStyle w:val="BodyText"/>
        <w:spacing w:line="249" w:lineRule="auto"/>
        <w:ind w:left="107" w:right="161"/>
      </w:pPr>
      <w:r>
        <w:rPr>
          <w:spacing w:val="1"/>
          <w:w w:val="80"/>
        </w:rPr>
        <w:t>In</w:t>
      </w:r>
      <w:r>
        <w:rPr>
          <w:w w:val="80"/>
        </w:rPr>
        <w:t> </w:t>
      </w:r>
      <w:r>
        <w:rPr>
          <w:spacing w:val="1"/>
          <w:w w:val="100"/>
        </w:rPr>
        <w:t>October</w:t>
      </w:r>
      <w:r>
        <w:rPr>
          <w:w w:val="100"/>
        </w:rPr>
        <w:t> </w:t>
      </w:r>
      <w:r>
        <w:rPr>
          <w:spacing w:val="2"/>
          <w:w w:val="85"/>
        </w:rPr>
        <w:t>2016,</w:t>
      </w:r>
      <w:r>
        <w:rPr>
          <w:w w:val="85"/>
        </w:rPr>
        <w:t> </w:t>
      </w:r>
      <w:r>
        <w:rPr>
          <w:w w:val="97"/>
        </w:rPr>
        <w:t>the </w:t>
      </w:r>
      <w:r>
        <w:rPr>
          <w:spacing w:val="1"/>
          <w:w w:val="96"/>
        </w:rPr>
        <w:t>Vice-Chancellor,</w:t>
      </w:r>
      <w:r>
        <w:rPr>
          <w:w w:val="96"/>
        </w:rPr>
        <w:t> </w:t>
      </w:r>
      <w:r>
        <w:rPr/>
        <w:t>Professor</w:t>
      </w:r>
      <w:r>
        <w:rPr>
          <w:spacing w:val="-17"/>
        </w:rPr>
        <w:t> </w:t>
      </w:r>
      <w:r>
        <w:rPr/>
        <w:t>Barney</w:t>
      </w:r>
      <w:r>
        <w:rPr>
          <w:spacing w:val="-17"/>
        </w:rPr>
        <w:t> </w:t>
      </w:r>
      <w:r>
        <w:rPr/>
        <w:t>Glover,</w:t>
      </w:r>
      <w:r>
        <w:rPr>
          <w:spacing w:val="-17"/>
        </w:rPr>
        <w:t> </w:t>
      </w:r>
      <w:r>
        <w:rPr/>
        <w:t>opened</w:t>
      </w:r>
      <w:r>
        <w:rPr>
          <w:spacing w:val="-17"/>
        </w:rPr>
        <w:t> </w:t>
      </w:r>
      <w:r>
        <w:rPr/>
        <w:t>the</w:t>
      </w:r>
      <w:r>
        <w:rPr>
          <w:spacing w:val="-17"/>
        </w:rPr>
        <w:t> </w:t>
      </w:r>
      <w:r>
        <w:rPr/>
        <w:t>Western Sydney University Service Office in Fuzhou, Fujian</w:t>
      </w:r>
      <w:r>
        <w:rPr>
          <w:spacing w:val="-18"/>
        </w:rPr>
        <w:t> </w:t>
      </w:r>
      <w:r>
        <w:rPr/>
        <w:t>Province,</w:t>
      </w:r>
      <w:r>
        <w:rPr>
          <w:spacing w:val="-18"/>
        </w:rPr>
        <w:t> </w:t>
      </w:r>
      <w:r>
        <w:rPr/>
        <w:t>China</w:t>
      </w:r>
      <w:r>
        <w:rPr>
          <w:spacing w:val="-18"/>
        </w:rPr>
        <w:t> </w:t>
      </w:r>
      <w:r>
        <w:rPr/>
        <w:t>to</w:t>
      </w:r>
      <w:r>
        <w:rPr>
          <w:spacing w:val="-18"/>
        </w:rPr>
        <w:t> </w:t>
      </w:r>
      <w:r>
        <w:rPr/>
        <w:t>support</w:t>
      </w:r>
      <w:r>
        <w:rPr>
          <w:spacing w:val="-18"/>
        </w:rPr>
        <w:t> </w:t>
      </w:r>
      <w:r>
        <w:rPr/>
        <w:t>recruitment and</w:t>
      </w:r>
      <w:r>
        <w:rPr>
          <w:spacing w:val="-21"/>
        </w:rPr>
        <w:t> </w:t>
      </w:r>
      <w:r>
        <w:rPr/>
        <w:t>strengthen</w:t>
      </w:r>
      <w:r>
        <w:rPr>
          <w:spacing w:val="-21"/>
        </w:rPr>
        <w:t> </w:t>
      </w:r>
      <w:r>
        <w:rPr/>
        <w:t>partnerships</w:t>
      </w:r>
      <w:r>
        <w:rPr>
          <w:spacing w:val="-21"/>
        </w:rPr>
        <w:t> </w:t>
      </w:r>
      <w:r>
        <w:rPr/>
        <w:t>in</w:t>
      </w:r>
      <w:r>
        <w:rPr>
          <w:spacing w:val="-21"/>
        </w:rPr>
        <w:t> </w:t>
      </w:r>
      <w:r>
        <w:rPr/>
        <w:t>South</w:t>
      </w:r>
      <w:r>
        <w:rPr>
          <w:spacing w:val="-21"/>
        </w:rPr>
        <w:t> </w:t>
      </w:r>
      <w:r>
        <w:rPr/>
        <w:t>China.</w:t>
      </w:r>
    </w:p>
    <w:p>
      <w:pPr>
        <w:pStyle w:val="BodyText"/>
        <w:rPr>
          <w:sz w:val="14"/>
        </w:rPr>
      </w:pPr>
    </w:p>
    <w:p>
      <w:pPr>
        <w:pStyle w:val="BodyText"/>
        <w:spacing w:line="249" w:lineRule="auto"/>
        <w:ind w:left="107" w:right="122"/>
      </w:pPr>
      <w:r>
        <w:rPr/>
        <w:t>The Western Sydney University–Ningbo Cooperative Education Centre was launched </w:t>
      </w:r>
      <w:r>
        <w:rPr>
          <w:w w:val="95"/>
        </w:rPr>
        <w:t>in </w:t>
      </w:r>
      <w:r>
        <w:rPr>
          <w:w w:val="100"/>
        </w:rPr>
        <w:t>October </w:t>
      </w:r>
      <w:r>
        <w:rPr>
          <w:w w:val="90"/>
        </w:rPr>
        <w:t>2016 </w:t>
      </w:r>
      <w:r>
        <w:rPr>
          <w:w w:val="95"/>
        </w:rPr>
        <w:t>in </w:t>
      </w:r>
      <w:r>
        <w:rPr>
          <w:w w:val="95"/>
        </w:rPr>
        <w:t>Ningbo, </w:t>
      </w:r>
      <w:r>
        <w:rPr>
          <w:w w:val="95"/>
        </w:rPr>
        <w:t>Zhejiang </w:t>
      </w:r>
      <w:r>
        <w:rPr>
          <w:w w:val="95"/>
        </w:rPr>
        <w:t>Province, </w:t>
      </w:r>
      <w:r>
        <w:rPr>
          <w:w w:val="92"/>
        </w:rPr>
        <w:t>China. </w:t>
      </w:r>
      <w:r>
        <w:rPr>
          <w:w w:val="83"/>
        </w:rPr>
        <w:t>It </w:t>
      </w:r>
      <w:r>
        <w:rPr>
          <w:w w:val="97"/>
        </w:rPr>
        <w:t>will </w:t>
      </w:r>
      <w:r>
        <w:rPr>
          <w:w w:val="98"/>
        </w:rPr>
        <w:t>build </w:t>
      </w:r>
      <w:r>
        <w:rPr>
          <w:w w:val="98"/>
        </w:rPr>
        <w:t>on </w:t>
      </w:r>
      <w:r>
        <w:rPr>
          <w:w w:val="97"/>
        </w:rPr>
        <w:t>the </w:t>
      </w:r>
      <w:r>
        <w:rPr>
          <w:w w:val="93"/>
        </w:rPr>
        <w:t>10-year </w:t>
      </w:r>
      <w:r>
        <w:rPr>
          <w:w w:val="99"/>
        </w:rPr>
        <w:t>Category</w:t>
      </w:r>
    </w:p>
    <w:p>
      <w:pPr>
        <w:pStyle w:val="BodyText"/>
        <w:spacing w:line="249" w:lineRule="auto"/>
        <w:ind w:left="107" w:right="260"/>
      </w:pPr>
      <w:r>
        <w:rPr>
          <w:w w:val="95"/>
        </w:rPr>
        <w:t>1 </w:t>
      </w:r>
      <w:r>
        <w:rPr/>
        <w:t>partnership between the University and the Ningbo Municipal Education Bureau. The</w:t>
      </w:r>
      <w:r>
        <w:rPr>
          <w:spacing w:val="-18"/>
        </w:rPr>
        <w:t> </w:t>
      </w:r>
      <w:r>
        <w:rPr/>
        <w:t>Centre</w:t>
      </w:r>
      <w:r>
        <w:rPr>
          <w:spacing w:val="-18"/>
        </w:rPr>
        <w:t> </w:t>
      </w:r>
      <w:r>
        <w:rPr/>
        <w:t>will</w:t>
      </w:r>
      <w:r>
        <w:rPr>
          <w:spacing w:val="-18"/>
        </w:rPr>
        <w:t> </w:t>
      </w:r>
      <w:r>
        <w:rPr/>
        <w:t>be</w:t>
      </w:r>
      <w:r>
        <w:rPr>
          <w:spacing w:val="-18"/>
        </w:rPr>
        <w:t> </w:t>
      </w:r>
      <w:r>
        <w:rPr/>
        <w:t>the</w:t>
      </w:r>
      <w:r>
        <w:rPr>
          <w:spacing w:val="-18"/>
        </w:rPr>
        <w:t> </w:t>
      </w:r>
      <w:r>
        <w:rPr/>
        <w:t>base</w:t>
      </w:r>
      <w:r>
        <w:rPr>
          <w:spacing w:val="-18"/>
        </w:rPr>
        <w:t> </w:t>
      </w:r>
      <w:r>
        <w:rPr/>
        <w:t>for</w:t>
      </w:r>
      <w:r>
        <w:rPr>
          <w:spacing w:val="-18"/>
        </w:rPr>
        <w:t> </w:t>
      </w:r>
      <w:r>
        <w:rPr/>
        <w:t>the</w:t>
      </w:r>
      <w:r>
        <w:rPr>
          <w:spacing w:val="-18"/>
        </w:rPr>
        <w:t> </w:t>
      </w:r>
      <w:r>
        <w:rPr/>
        <w:t>Research</w:t>
      </w:r>
    </w:p>
    <w:p>
      <w:pPr>
        <w:pStyle w:val="BodyText"/>
        <w:spacing w:line="249" w:lineRule="auto"/>
        <w:ind w:left="107" w:right="74"/>
      </w:pPr>
      <w:r>
        <w:rPr/>
        <w:t>Oriented School Engaged Teacher–researcher Education (ROSETE) program, a research masters program focused on training</w:t>
      </w:r>
    </w:p>
    <w:p>
      <w:pPr>
        <w:pStyle w:val="BodyText"/>
        <w:spacing w:line="249" w:lineRule="auto"/>
        <w:ind w:left="107" w:right="460"/>
      </w:pPr>
      <w:r>
        <w:rPr/>
        <w:t>in research methodologies to support Mandarin teaching in NSW schools.</w:t>
      </w:r>
    </w:p>
    <w:p>
      <w:pPr>
        <w:spacing w:after="0" w:line="249" w:lineRule="auto"/>
        <w:sectPr>
          <w:type w:val="continuous"/>
          <w:pgSz w:w="11910" w:h="16840"/>
          <w:pgMar w:top="1580" w:bottom="280" w:left="800" w:right="800"/>
          <w:cols w:num="3" w:equalWidth="0">
            <w:col w:w="3320" w:space="119"/>
            <w:col w:w="3309" w:space="131"/>
            <w:col w:w="3431"/>
          </w:cols>
        </w:sectPr>
      </w:pPr>
    </w:p>
    <w:p>
      <w:pPr>
        <w:pStyle w:val="BodyText"/>
        <w:spacing w:before="9"/>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494"/>
      </w:pPr>
      <w:r>
        <w:rPr>
          <w:w w:val="80"/>
        </w:rPr>
        <w:t>In </w:t>
      </w:r>
      <w:r>
        <w:rPr>
          <w:w w:val="100"/>
        </w:rPr>
        <w:t>October </w:t>
      </w:r>
      <w:r>
        <w:rPr>
          <w:w w:val="85"/>
        </w:rPr>
        <w:t>2016, </w:t>
      </w:r>
      <w:r>
        <w:rPr>
          <w:w w:val="97"/>
        </w:rPr>
        <w:t>the </w:t>
      </w:r>
      <w:r>
        <w:rPr>
          <w:w w:val="97"/>
        </w:rPr>
        <w:t>University </w:t>
      </w:r>
      <w:r>
        <w:rPr>
          <w:w w:val="99"/>
        </w:rPr>
        <w:t>won </w:t>
      </w:r>
      <w:r>
        <w:rPr/>
        <w:t>the Export of Goods and/or Service to Hong Kong SAR category in the Hong Kong–Australia Business Association</w:t>
      </w:r>
    </w:p>
    <w:p>
      <w:pPr>
        <w:pStyle w:val="BodyText"/>
        <w:spacing w:line="249" w:lineRule="auto"/>
        <w:ind w:left="107" w:right="163"/>
      </w:pPr>
      <w:r>
        <w:rPr>
          <w:spacing w:val="1"/>
          <w:w w:val="101"/>
        </w:rPr>
        <w:t>NSW</w:t>
      </w:r>
      <w:r>
        <w:rPr>
          <w:w w:val="101"/>
        </w:rPr>
        <w:t> </w:t>
      </w:r>
      <w:r>
        <w:rPr>
          <w:w w:val="98"/>
        </w:rPr>
        <w:t>Chapter </w:t>
      </w:r>
      <w:r>
        <w:rPr>
          <w:spacing w:val="1"/>
          <w:w w:val="90"/>
        </w:rPr>
        <w:t>2016</w:t>
      </w:r>
      <w:r>
        <w:rPr>
          <w:w w:val="90"/>
        </w:rPr>
        <w:t> </w:t>
      </w:r>
      <w:r>
        <w:rPr>
          <w:spacing w:val="1"/>
          <w:w w:val="96"/>
        </w:rPr>
        <w:t>Business</w:t>
      </w:r>
      <w:r>
        <w:rPr>
          <w:w w:val="96"/>
        </w:rPr>
        <w:t> </w:t>
      </w:r>
      <w:r>
        <w:rPr>
          <w:w w:val="95"/>
        </w:rPr>
        <w:t>Awards. </w:t>
      </w:r>
      <w:r>
        <w:rPr>
          <w:spacing w:val="1"/>
          <w:w w:val="94"/>
        </w:rPr>
        <w:t>The</w:t>
      </w:r>
      <w:r>
        <w:rPr>
          <w:w w:val="94"/>
        </w:rPr>
        <w:t> </w:t>
      </w:r>
      <w:r>
        <w:rPr/>
        <w:t>submission highlighted the University’s 45 partners in Hong Kong and China, and the contribution the University’s students from Hong</w:t>
      </w:r>
      <w:r>
        <w:rPr>
          <w:spacing w:val="-17"/>
        </w:rPr>
        <w:t> </w:t>
      </w:r>
      <w:r>
        <w:rPr/>
        <w:t>Kong</w:t>
      </w:r>
      <w:r>
        <w:rPr>
          <w:spacing w:val="-17"/>
        </w:rPr>
        <w:t> </w:t>
      </w:r>
      <w:r>
        <w:rPr/>
        <w:t>and</w:t>
      </w:r>
      <w:r>
        <w:rPr>
          <w:spacing w:val="-17"/>
        </w:rPr>
        <w:t> </w:t>
      </w:r>
      <w:r>
        <w:rPr/>
        <w:t>China</w:t>
      </w:r>
      <w:r>
        <w:rPr>
          <w:spacing w:val="-17"/>
        </w:rPr>
        <w:t> </w:t>
      </w:r>
      <w:r>
        <w:rPr/>
        <w:t>make</w:t>
      </w:r>
      <w:r>
        <w:rPr>
          <w:spacing w:val="-17"/>
        </w:rPr>
        <w:t> </w:t>
      </w:r>
      <w:r>
        <w:rPr/>
        <w:t>to</w:t>
      </w:r>
      <w:r>
        <w:rPr>
          <w:spacing w:val="-17"/>
        </w:rPr>
        <w:t> </w:t>
      </w:r>
      <w:r>
        <w:rPr/>
        <w:t>international trade</w:t>
      </w:r>
      <w:r>
        <w:rPr>
          <w:spacing w:val="-17"/>
        </w:rPr>
        <w:t> </w:t>
      </w:r>
      <w:r>
        <w:rPr/>
        <w:t>in</w:t>
      </w:r>
      <w:r>
        <w:rPr>
          <w:spacing w:val="-17"/>
        </w:rPr>
        <w:t> </w:t>
      </w:r>
      <w:r>
        <w:rPr/>
        <w:t>educational</w:t>
      </w:r>
      <w:r>
        <w:rPr>
          <w:spacing w:val="-17"/>
        </w:rPr>
        <w:t> </w:t>
      </w:r>
      <w:r>
        <w:rPr/>
        <w:t>services</w:t>
      </w:r>
      <w:r>
        <w:rPr>
          <w:spacing w:val="-17"/>
        </w:rPr>
        <w:t> </w:t>
      </w:r>
      <w:r>
        <w:rPr/>
        <w:t>in</w:t>
      </w:r>
      <w:r>
        <w:rPr>
          <w:spacing w:val="-17"/>
        </w:rPr>
        <w:t> </w:t>
      </w:r>
      <w:r>
        <w:rPr/>
        <w:t>NSW.</w:t>
      </w:r>
    </w:p>
    <w:p>
      <w:pPr>
        <w:pStyle w:val="BodyText"/>
        <w:spacing w:before="3"/>
        <w:rPr>
          <w:sz w:val="19"/>
        </w:rPr>
      </w:pPr>
    </w:p>
    <w:p>
      <w:pPr>
        <w:pStyle w:val="Heading7"/>
        <w:ind w:right="494"/>
      </w:pPr>
      <w:r>
        <w:rPr>
          <w:w w:val="95"/>
        </w:rPr>
        <w:t>INTERNATIONAL  DELEGATIONS</w:t>
      </w:r>
    </w:p>
    <w:p>
      <w:pPr>
        <w:pStyle w:val="BodyText"/>
        <w:spacing w:line="249" w:lineRule="auto" w:before="58"/>
        <w:ind w:left="107"/>
      </w:pPr>
      <w:r>
        <w:rPr>
          <w:spacing w:val="1"/>
          <w:w w:val="80"/>
        </w:rPr>
        <w:t>In</w:t>
      </w:r>
      <w:r>
        <w:rPr>
          <w:w w:val="80"/>
        </w:rPr>
        <w:t> </w:t>
      </w:r>
      <w:r>
        <w:rPr>
          <w:spacing w:val="2"/>
          <w:w w:val="85"/>
        </w:rPr>
        <w:t>2016,</w:t>
      </w:r>
      <w:r>
        <w:rPr>
          <w:w w:val="85"/>
        </w:rPr>
        <w:t> </w:t>
      </w:r>
      <w:r>
        <w:rPr>
          <w:w w:val="97"/>
        </w:rPr>
        <w:t>the </w:t>
      </w:r>
      <w:r>
        <w:rPr>
          <w:spacing w:val="1"/>
          <w:w w:val="97"/>
        </w:rPr>
        <w:t>University</w:t>
      </w:r>
      <w:r>
        <w:rPr>
          <w:w w:val="97"/>
        </w:rPr>
        <w:t> </w:t>
      </w:r>
      <w:r>
        <w:rPr>
          <w:spacing w:val="1"/>
          <w:w w:val="98"/>
        </w:rPr>
        <w:t>hosted</w:t>
      </w:r>
      <w:r>
        <w:rPr>
          <w:w w:val="98"/>
        </w:rPr>
        <w:t> </w:t>
      </w:r>
      <w:r>
        <w:rPr>
          <w:spacing w:val="1"/>
          <w:w w:val="106"/>
        </w:rPr>
        <w:t>60</w:t>
      </w:r>
      <w:r>
        <w:rPr>
          <w:spacing w:val="-26"/>
          <w:w w:val="106"/>
        </w:rPr>
        <w:t> </w:t>
      </w:r>
      <w:r>
        <w:rPr>
          <w:spacing w:val="1"/>
          <w:w w:val="95"/>
        </w:rPr>
        <w:t>delegations,</w:t>
      </w:r>
      <w:r>
        <w:rPr>
          <w:w w:val="95"/>
        </w:rPr>
        <w:t> </w:t>
      </w:r>
      <w:r>
        <w:rPr/>
        <w:t>including</w:t>
      </w:r>
      <w:r>
        <w:rPr>
          <w:spacing w:val="-15"/>
        </w:rPr>
        <w:t> </w:t>
      </w:r>
      <w:r>
        <w:rPr/>
        <w:t>20</w:t>
      </w:r>
      <w:r>
        <w:rPr>
          <w:spacing w:val="-15"/>
        </w:rPr>
        <w:t> </w:t>
      </w:r>
      <w:r>
        <w:rPr/>
        <w:t>partner</w:t>
      </w:r>
      <w:r>
        <w:rPr>
          <w:spacing w:val="-15"/>
        </w:rPr>
        <w:t> </w:t>
      </w:r>
      <w:r>
        <w:rPr/>
        <w:t>visits,</w:t>
      </w:r>
      <w:r>
        <w:rPr>
          <w:spacing w:val="-15"/>
        </w:rPr>
        <w:t> </w:t>
      </w:r>
      <w:r>
        <w:rPr/>
        <w:t>with</w:t>
      </w:r>
      <w:r>
        <w:rPr>
          <w:spacing w:val="-15"/>
        </w:rPr>
        <w:t> </w:t>
      </w:r>
      <w:r>
        <w:rPr/>
        <w:t>three</w:t>
      </w:r>
      <w:r>
        <w:rPr>
          <w:spacing w:val="-15"/>
        </w:rPr>
        <w:t> </w:t>
      </w:r>
      <w:r>
        <w:rPr/>
        <w:t>signing ceremonies and a further four agreements signed later. China was the primary source country for</w:t>
      </w:r>
      <w:r>
        <w:rPr>
          <w:spacing w:val="-34"/>
        </w:rPr>
        <w:t> </w:t>
      </w:r>
      <w:r>
        <w:rPr/>
        <w:t>delegations.</w:t>
      </w:r>
    </w:p>
    <w:p>
      <w:pPr>
        <w:pStyle w:val="BodyText"/>
        <w:spacing w:before="3"/>
        <w:rPr>
          <w:sz w:val="19"/>
        </w:rPr>
      </w:pPr>
    </w:p>
    <w:p>
      <w:pPr>
        <w:pStyle w:val="Heading7"/>
        <w:ind w:right="494"/>
      </w:pPr>
      <w:r>
        <w:rPr>
          <w:w w:val="95"/>
        </w:rPr>
        <w:t>ONSHORE PARTNERSHIPS</w:t>
      </w:r>
    </w:p>
    <w:p>
      <w:pPr>
        <w:pStyle w:val="BodyText"/>
        <w:spacing w:line="249" w:lineRule="auto" w:before="58"/>
        <w:ind w:left="107" w:right="125"/>
      </w:pPr>
      <w:r>
        <w:rPr/>
        <w:t>The University’s partnership with Navitas </w:t>
      </w:r>
      <w:r>
        <w:rPr>
          <w:spacing w:val="1"/>
          <w:w w:val="98"/>
        </w:rPr>
        <w:t>expanded</w:t>
      </w:r>
      <w:r>
        <w:rPr>
          <w:w w:val="98"/>
        </w:rPr>
        <w:t> </w:t>
      </w:r>
      <w:r>
        <w:rPr>
          <w:w w:val="95"/>
        </w:rPr>
        <w:t>in </w:t>
      </w:r>
      <w:r>
        <w:rPr>
          <w:spacing w:val="2"/>
          <w:w w:val="85"/>
        </w:rPr>
        <w:t>2016,</w:t>
      </w:r>
      <w:r>
        <w:rPr>
          <w:w w:val="85"/>
        </w:rPr>
        <w:t> </w:t>
      </w:r>
      <w:r>
        <w:rPr>
          <w:w w:val="98"/>
        </w:rPr>
        <w:t>with </w:t>
      </w:r>
      <w:r>
        <w:rPr>
          <w:w w:val="97"/>
        </w:rPr>
        <w:t>the </w:t>
      </w:r>
      <w:r>
        <w:rPr>
          <w:spacing w:val="-1"/>
          <w:w w:val="99"/>
        </w:rPr>
        <w:t>Sydney</w:t>
      </w:r>
      <w:r>
        <w:rPr>
          <w:w w:val="99"/>
        </w:rPr>
        <w:t> </w:t>
      </w:r>
      <w:r>
        <w:rPr>
          <w:spacing w:val="1"/>
          <w:w w:val="100"/>
        </w:rPr>
        <w:t>City</w:t>
      </w:r>
      <w:r>
        <w:rPr>
          <w:w w:val="100"/>
        </w:rPr>
        <w:t> </w:t>
      </w:r>
      <w:r>
        <w:rPr/>
        <w:t>campus</w:t>
      </w:r>
      <w:r>
        <w:rPr>
          <w:spacing w:val="-19"/>
        </w:rPr>
        <w:t> </w:t>
      </w:r>
      <w:r>
        <w:rPr/>
        <w:t>(SCC)</w:t>
      </w:r>
      <w:r>
        <w:rPr>
          <w:spacing w:val="-19"/>
        </w:rPr>
        <w:t> </w:t>
      </w:r>
      <w:r>
        <w:rPr/>
        <w:t>launched</w:t>
      </w:r>
      <w:r>
        <w:rPr>
          <w:spacing w:val="-19"/>
        </w:rPr>
        <w:t> </w:t>
      </w:r>
      <w:r>
        <w:rPr/>
        <w:t>in</w:t>
      </w:r>
      <w:r>
        <w:rPr>
          <w:spacing w:val="-19"/>
        </w:rPr>
        <w:t> </w:t>
      </w:r>
      <w:r>
        <w:rPr/>
        <w:t>May.</w:t>
      </w:r>
      <w:r>
        <w:rPr>
          <w:spacing w:val="-19"/>
        </w:rPr>
        <w:t> </w:t>
      </w:r>
      <w:r>
        <w:rPr/>
        <w:t>The</w:t>
      </w:r>
      <w:r>
        <w:rPr>
          <w:spacing w:val="-19"/>
        </w:rPr>
        <w:t> </w:t>
      </w:r>
      <w:r>
        <w:rPr/>
        <w:t>campus teaches undergraduate and postgraduate business, communications and information technology courses. Sydney Institute of Business and Technology (SIBT) pathway students will join the SCC after completing their</w:t>
      </w:r>
      <w:r>
        <w:rPr>
          <w:spacing w:val="-32"/>
        </w:rPr>
        <w:t> </w:t>
      </w:r>
      <w:r>
        <w:rPr/>
        <w:t>SIBT</w:t>
      </w:r>
      <w:r>
        <w:rPr>
          <w:spacing w:val="-32"/>
        </w:rPr>
        <w:t> </w:t>
      </w:r>
      <w:r>
        <w:rPr/>
        <w:t>studies.</w:t>
      </w:r>
    </w:p>
    <w:p>
      <w:pPr>
        <w:pStyle w:val="BodyText"/>
        <w:rPr>
          <w:sz w:val="14"/>
        </w:rPr>
      </w:pPr>
    </w:p>
    <w:p>
      <w:pPr>
        <w:pStyle w:val="BodyText"/>
        <w:spacing w:line="249" w:lineRule="auto"/>
        <w:ind w:left="107" w:right="336"/>
      </w:pPr>
      <w:r>
        <w:rPr>
          <w:w w:val="80"/>
        </w:rPr>
        <w:t>In </w:t>
      </w:r>
      <w:r>
        <w:rPr>
          <w:w w:val="85"/>
        </w:rPr>
        <w:t>2016, </w:t>
      </w:r>
      <w:r>
        <w:rPr>
          <w:w w:val="97"/>
        </w:rPr>
        <w:t>the </w:t>
      </w:r>
      <w:r>
        <w:rPr>
          <w:w w:val="94"/>
        </w:rPr>
        <w:t>International </w:t>
      </w:r>
      <w:r>
        <w:rPr>
          <w:w w:val="98"/>
        </w:rPr>
        <w:t>College </w:t>
      </w:r>
      <w:r>
        <w:rPr>
          <w:w w:val="98"/>
        </w:rPr>
        <w:t>taught </w:t>
      </w:r>
      <w:r>
        <w:rPr/>
        <w:t>122 students in four programs: Diploma in Business, Diploma in Information and Communications Technology, University</w:t>
      </w:r>
    </w:p>
    <w:p>
      <w:pPr>
        <w:pStyle w:val="BodyText"/>
        <w:spacing w:line="249" w:lineRule="auto"/>
        <w:ind w:left="107"/>
      </w:pPr>
      <w:r>
        <w:rPr/>
        <w:t>Foundation</w:t>
      </w:r>
      <w:r>
        <w:rPr>
          <w:spacing w:val="-16"/>
        </w:rPr>
        <w:t> </w:t>
      </w:r>
      <w:r>
        <w:rPr/>
        <w:t>Studies</w:t>
      </w:r>
      <w:r>
        <w:rPr>
          <w:spacing w:val="-16"/>
        </w:rPr>
        <w:t> </w:t>
      </w:r>
      <w:r>
        <w:rPr/>
        <w:t>in</w:t>
      </w:r>
      <w:r>
        <w:rPr>
          <w:spacing w:val="-16"/>
        </w:rPr>
        <w:t> </w:t>
      </w:r>
      <w:r>
        <w:rPr/>
        <w:t>Business</w:t>
      </w:r>
      <w:r>
        <w:rPr>
          <w:spacing w:val="-16"/>
        </w:rPr>
        <w:t> </w:t>
      </w:r>
      <w:r>
        <w:rPr/>
        <w:t>and</w:t>
      </w:r>
      <w:r>
        <w:rPr>
          <w:spacing w:val="-16"/>
        </w:rPr>
        <w:t> </w:t>
      </w:r>
      <w:r>
        <w:rPr/>
        <w:t>University Foundation</w:t>
      </w:r>
      <w:r>
        <w:rPr>
          <w:spacing w:val="-20"/>
        </w:rPr>
        <w:t> </w:t>
      </w:r>
      <w:r>
        <w:rPr/>
        <w:t>Studies</w:t>
      </w:r>
      <w:r>
        <w:rPr>
          <w:spacing w:val="-20"/>
        </w:rPr>
        <w:t> </w:t>
      </w:r>
      <w:r>
        <w:rPr/>
        <w:t>in</w:t>
      </w:r>
      <w:r>
        <w:rPr>
          <w:spacing w:val="-20"/>
        </w:rPr>
        <w:t> </w:t>
      </w:r>
      <w:r>
        <w:rPr/>
        <w:t>Health</w:t>
      </w:r>
      <w:r>
        <w:rPr>
          <w:spacing w:val="-20"/>
        </w:rPr>
        <w:t> </w:t>
      </w:r>
      <w:r>
        <w:rPr/>
        <w:t>Science.</w:t>
      </w:r>
    </w:p>
    <w:p>
      <w:pPr>
        <w:pStyle w:val="BodyText"/>
        <w:spacing w:before="3"/>
        <w:rPr>
          <w:sz w:val="19"/>
        </w:rPr>
      </w:pPr>
    </w:p>
    <w:p>
      <w:pPr>
        <w:pStyle w:val="Heading7"/>
        <w:ind w:right="494"/>
      </w:pPr>
      <w:r>
        <w:rPr>
          <w:w w:val="95"/>
        </w:rPr>
        <w:t>SHORT PROGRAMS</w:t>
      </w:r>
    </w:p>
    <w:p>
      <w:pPr>
        <w:pStyle w:val="BodyText"/>
        <w:spacing w:line="249" w:lineRule="auto" w:before="58"/>
        <w:ind w:left="107" w:right="81"/>
      </w:pPr>
      <w:r>
        <w:rPr>
          <w:w w:val="80"/>
        </w:rPr>
        <w:t>In </w:t>
      </w:r>
      <w:r>
        <w:rPr>
          <w:w w:val="85"/>
        </w:rPr>
        <w:t>2016, </w:t>
      </w:r>
      <w:r>
        <w:rPr>
          <w:w w:val="98"/>
        </w:rPr>
        <w:t>Western </w:t>
      </w:r>
      <w:r>
        <w:rPr>
          <w:w w:val="99"/>
        </w:rPr>
        <w:t>Sydney </w:t>
      </w:r>
      <w:r>
        <w:rPr>
          <w:w w:val="94"/>
        </w:rPr>
        <w:t>International </w:t>
      </w:r>
      <w:r>
        <w:rPr>
          <w:w w:val="95"/>
        </w:rPr>
        <w:t>ran </w:t>
      </w:r>
      <w:r>
        <w:rPr/>
        <w:t>five study tour programs at four different campuses for international students from China, Indonesia and the US, with the aim of increasing applications for PhD and other postgraduate programs.</w:t>
      </w:r>
    </w:p>
    <w:p>
      <w:pPr>
        <w:pStyle w:val="BodyText"/>
        <w:spacing w:before="3"/>
        <w:rPr>
          <w:sz w:val="19"/>
        </w:rPr>
      </w:pPr>
    </w:p>
    <w:p>
      <w:pPr>
        <w:pStyle w:val="Heading7"/>
        <w:ind w:right="494"/>
      </w:pPr>
      <w:r>
        <w:rPr>
          <w:w w:val="95"/>
        </w:rPr>
        <w:t>STUDENT MOBILITY</w:t>
      </w:r>
    </w:p>
    <w:p>
      <w:pPr>
        <w:pStyle w:val="BodyText"/>
        <w:spacing w:line="249" w:lineRule="auto" w:before="58"/>
        <w:ind w:left="107" w:right="299"/>
      </w:pPr>
      <w:r>
        <w:rPr/>
        <w:t>A number of Australian Government initiatives</w:t>
      </w:r>
      <w:r>
        <w:rPr>
          <w:spacing w:val="-19"/>
        </w:rPr>
        <w:t> </w:t>
      </w:r>
      <w:r>
        <w:rPr/>
        <w:t>and</w:t>
      </w:r>
      <w:r>
        <w:rPr>
          <w:spacing w:val="-19"/>
        </w:rPr>
        <w:t> </w:t>
      </w:r>
      <w:r>
        <w:rPr/>
        <w:t>financial</w:t>
      </w:r>
      <w:r>
        <w:rPr>
          <w:spacing w:val="-19"/>
        </w:rPr>
        <w:t> </w:t>
      </w:r>
      <w:r>
        <w:rPr/>
        <w:t>support,</w:t>
      </w:r>
      <w:r>
        <w:rPr>
          <w:spacing w:val="-19"/>
        </w:rPr>
        <w:t> </w:t>
      </w:r>
      <w:r>
        <w:rPr/>
        <w:t>as</w:t>
      </w:r>
      <w:r>
        <w:rPr>
          <w:spacing w:val="-19"/>
        </w:rPr>
        <w:t> </w:t>
      </w:r>
      <w:r>
        <w:rPr/>
        <w:t>well</w:t>
      </w:r>
      <w:r>
        <w:rPr>
          <w:spacing w:val="-19"/>
        </w:rPr>
        <w:t> </w:t>
      </w:r>
      <w:r>
        <w:rPr/>
        <w:t>as University co-contributions, encouraged students to study overseas as </w:t>
      </w:r>
      <w:r>
        <w:rPr>
          <w:spacing w:val="2"/>
        </w:rPr>
        <w:t>part </w:t>
      </w:r>
      <w:r>
        <w:rPr/>
        <w:t>of </w:t>
      </w:r>
      <w:r>
        <w:rPr>
          <w:spacing w:val="1"/>
          <w:w w:val="97"/>
        </w:rPr>
        <w:t>their</w:t>
      </w:r>
      <w:r>
        <w:rPr>
          <w:w w:val="97"/>
        </w:rPr>
        <w:t> </w:t>
      </w:r>
      <w:r>
        <w:rPr>
          <w:spacing w:val="1"/>
          <w:w w:val="97"/>
        </w:rPr>
        <w:t>degree</w:t>
      </w:r>
      <w:r>
        <w:rPr>
          <w:w w:val="97"/>
        </w:rPr>
        <w:t> </w:t>
      </w:r>
      <w:r>
        <w:rPr>
          <w:w w:val="95"/>
        </w:rPr>
        <w:t>in </w:t>
      </w:r>
      <w:r>
        <w:rPr>
          <w:spacing w:val="2"/>
          <w:w w:val="85"/>
        </w:rPr>
        <w:t>2016.</w:t>
      </w:r>
      <w:r>
        <w:rPr>
          <w:w w:val="85"/>
        </w:rPr>
        <w:t> </w:t>
      </w:r>
      <w:r>
        <w:rPr>
          <w:spacing w:val="1"/>
          <w:w w:val="94"/>
        </w:rPr>
        <w:t>These</w:t>
      </w:r>
      <w:r>
        <w:rPr>
          <w:spacing w:val="-23"/>
          <w:w w:val="94"/>
        </w:rPr>
        <w:t> </w:t>
      </w:r>
      <w:r>
        <w:rPr>
          <w:spacing w:val="1"/>
          <w:w w:val="93"/>
        </w:rPr>
        <w:t>include:</w:t>
      </w:r>
    </w:p>
    <w:p>
      <w:pPr>
        <w:pStyle w:val="BodyText"/>
        <w:spacing w:line="244" w:lineRule="auto" w:before="55"/>
        <w:ind w:left="305" w:hanging="199"/>
      </w:pPr>
      <w:r>
        <w:rPr>
          <w:rFonts w:ascii="Century Gothic" w:hAnsi="Century Gothic"/>
          <w:b/>
          <w:w w:val="115"/>
        </w:rPr>
        <w:t>≥ </w:t>
      </w:r>
      <w:r>
        <w:rPr/>
        <w:t>more than $1.7 million for 503 Western Sydney University students to participate</w:t>
      </w:r>
    </w:p>
    <w:p>
      <w:pPr>
        <w:pStyle w:val="BodyText"/>
        <w:spacing w:before="9"/>
      </w:pPr>
      <w:r>
        <w:rPr/>
        <w:br w:type="column"/>
      </w:r>
      <w:r>
        <w:rPr/>
      </w:r>
    </w:p>
    <w:p>
      <w:pPr>
        <w:pStyle w:val="BodyText"/>
        <w:spacing w:line="249" w:lineRule="auto"/>
        <w:ind w:left="305" w:right="-8"/>
      </w:pPr>
      <w:r>
        <w:rPr>
          <w:w w:val="95"/>
        </w:rPr>
        <w:t>in </w:t>
      </w:r>
      <w:r>
        <w:rPr>
          <w:w w:val="97"/>
        </w:rPr>
        <w:t>the </w:t>
      </w:r>
      <w:r>
        <w:rPr>
          <w:spacing w:val="-2"/>
          <w:w w:val="83"/>
        </w:rPr>
        <w:t>2017,</w:t>
      </w:r>
      <w:r>
        <w:rPr>
          <w:w w:val="83"/>
        </w:rPr>
        <w:t> </w:t>
      </w:r>
      <w:r>
        <w:rPr>
          <w:spacing w:val="1"/>
          <w:w w:val="89"/>
        </w:rPr>
        <w:t>2018</w:t>
      </w:r>
      <w:r>
        <w:rPr>
          <w:w w:val="89"/>
        </w:rPr>
        <w:t> </w:t>
      </w:r>
      <w:r>
        <w:rPr>
          <w:spacing w:val="1"/>
          <w:w w:val="97"/>
        </w:rPr>
        <w:t>and</w:t>
      </w:r>
      <w:r>
        <w:rPr>
          <w:w w:val="97"/>
        </w:rPr>
        <w:t> </w:t>
      </w:r>
      <w:r>
        <w:rPr>
          <w:spacing w:val="1"/>
          <w:w w:val="90"/>
        </w:rPr>
        <w:t>2019</w:t>
      </w:r>
      <w:r>
        <w:rPr>
          <w:w w:val="90"/>
        </w:rPr>
        <w:t> </w:t>
      </w:r>
      <w:r>
        <w:rPr>
          <w:w w:val="99"/>
        </w:rPr>
        <w:t>New </w:t>
      </w:r>
      <w:r>
        <w:rPr>
          <w:spacing w:val="1"/>
          <w:w w:val="100"/>
        </w:rPr>
        <w:t>Colombo</w:t>
      </w:r>
      <w:r>
        <w:rPr>
          <w:w w:val="100"/>
        </w:rPr>
        <w:t> </w:t>
      </w:r>
      <w:r>
        <w:rPr/>
        <w:t>Plan</w:t>
      </w:r>
      <w:r>
        <w:rPr>
          <w:spacing w:val="-13"/>
        </w:rPr>
        <w:t> </w:t>
      </w:r>
      <w:r>
        <w:rPr/>
        <w:t>(NCP),</w:t>
      </w:r>
      <w:r>
        <w:rPr>
          <w:spacing w:val="-13"/>
        </w:rPr>
        <w:t> </w:t>
      </w:r>
      <w:r>
        <w:rPr/>
        <w:t>which</w:t>
      </w:r>
      <w:r>
        <w:rPr>
          <w:spacing w:val="-13"/>
        </w:rPr>
        <w:t> </w:t>
      </w:r>
      <w:r>
        <w:rPr/>
        <w:t>is</w:t>
      </w:r>
      <w:r>
        <w:rPr>
          <w:spacing w:val="-13"/>
        </w:rPr>
        <w:t> </w:t>
      </w:r>
      <w:r>
        <w:rPr/>
        <w:t>in</w:t>
      </w:r>
      <w:r>
        <w:rPr>
          <w:spacing w:val="-13"/>
        </w:rPr>
        <w:t> </w:t>
      </w:r>
      <w:r>
        <w:rPr/>
        <w:t>addition</w:t>
      </w:r>
      <w:r>
        <w:rPr>
          <w:spacing w:val="-13"/>
        </w:rPr>
        <w:t> </w:t>
      </w:r>
      <w:r>
        <w:rPr/>
        <w:t>to</w:t>
      </w:r>
      <w:r>
        <w:rPr>
          <w:spacing w:val="-13"/>
        </w:rPr>
        <w:t> </w:t>
      </w:r>
      <w:r>
        <w:rPr>
          <w:spacing w:val="3"/>
        </w:rPr>
        <w:t>$88,000 </w:t>
      </w:r>
      <w:r>
        <w:rPr/>
        <w:t>in multi-year funding secured under the </w:t>
      </w:r>
      <w:r>
        <w:rPr>
          <w:spacing w:val="1"/>
          <w:w w:val="90"/>
        </w:rPr>
        <w:t>2016</w:t>
      </w:r>
      <w:r>
        <w:rPr>
          <w:spacing w:val="-1"/>
          <w:w w:val="90"/>
        </w:rPr>
        <w:t> </w:t>
      </w:r>
      <w:r>
        <w:rPr>
          <w:spacing w:val="1"/>
          <w:w w:val="97"/>
        </w:rPr>
        <w:t>scheme</w:t>
      </w:r>
    </w:p>
    <w:p>
      <w:pPr>
        <w:pStyle w:val="BodyText"/>
        <w:spacing w:line="247" w:lineRule="auto" w:before="55"/>
        <w:ind w:left="305" w:right="327" w:hanging="199"/>
      </w:pPr>
      <w:r>
        <w:rPr>
          <w:rFonts w:ascii="Century Gothic" w:hAnsi="Century Gothic"/>
          <w:b/>
          <w:w w:val="115"/>
        </w:rPr>
        <w:t>≥  </w:t>
      </w:r>
      <w:r>
        <w:rPr/>
        <w:t>the Endeavour Mobility Program, which includes the International Student</w:t>
      </w:r>
      <w:r>
        <w:rPr>
          <w:spacing w:val="-16"/>
        </w:rPr>
        <w:t> </w:t>
      </w:r>
      <w:r>
        <w:rPr/>
        <w:t>Exchange</w:t>
      </w:r>
      <w:r>
        <w:rPr>
          <w:spacing w:val="-16"/>
        </w:rPr>
        <w:t> </w:t>
      </w:r>
      <w:r>
        <w:rPr/>
        <w:t>Program,</w:t>
      </w:r>
      <w:r>
        <w:rPr>
          <w:spacing w:val="-16"/>
        </w:rPr>
        <w:t> </w:t>
      </w:r>
      <w:r>
        <w:rPr/>
        <w:t>the</w:t>
      </w:r>
      <w:r>
        <w:rPr>
          <w:spacing w:val="-16"/>
        </w:rPr>
        <w:t> </w:t>
      </w:r>
      <w:r>
        <w:rPr/>
        <w:t>Short- Term Mobility Program and the Asia Postgraduate</w:t>
      </w:r>
      <w:r>
        <w:rPr>
          <w:spacing w:val="-25"/>
        </w:rPr>
        <w:t> </w:t>
      </w:r>
      <w:r>
        <w:rPr/>
        <w:t>Short-Term</w:t>
      </w:r>
      <w:r>
        <w:rPr>
          <w:spacing w:val="-25"/>
        </w:rPr>
        <w:t> </w:t>
      </w:r>
      <w:r>
        <w:rPr/>
        <w:t>Program</w:t>
      </w:r>
    </w:p>
    <w:p>
      <w:pPr>
        <w:pStyle w:val="BodyText"/>
        <w:spacing w:line="247" w:lineRule="auto" w:before="57"/>
        <w:ind w:left="305" w:right="327" w:hanging="199"/>
      </w:pPr>
      <w:r>
        <w:rPr>
          <w:rFonts w:ascii="Century Gothic" w:hAnsi="Century Gothic"/>
          <w:b/>
          <w:w w:val="115"/>
        </w:rPr>
        <w:t>≥ </w:t>
      </w:r>
      <w:r>
        <w:rPr/>
        <w:t>284 Australian Government OS-HELP loans to fund students’ international learning experiences</w:t>
      </w:r>
    </w:p>
    <w:p>
      <w:pPr>
        <w:pStyle w:val="BodyText"/>
        <w:spacing w:before="57"/>
        <w:ind w:left="107" w:right="-8"/>
      </w:pPr>
      <w:r>
        <w:rPr>
          <w:rFonts w:ascii="Century Gothic" w:hAnsi="Century Gothic"/>
          <w:b/>
          <w:w w:val="115"/>
        </w:rPr>
        <w:t>≥ </w:t>
      </w:r>
      <w:r>
        <w:rPr>
          <w:w w:val="105"/>
        </w:rPr>
        <w:t>the Bridging Cultures Scholarship (from</w:t>
      </w:r>
    </w:p>
    <w:p>
      <w:pPr>
        <w:pStyle w:val="BodyText"/>
        <w:spacing w:line="249" w:lineRule="auto" w:before="4"/>
        <w:ind w:left="305" w:right="-8"/>
      </w:pPr>
      <w:r>
        <w:rPr/>
        <w:t>a private benefactor) supported students’ participation in international learning opportunities in China.</w:t>
      </w:r>
    </w:p>
    <w:p>
      <w:pPr>
        <w:pStyle w:val="BodyText"/>
        <w:rPr>
          <w:sz w:val="14"/>
        </w:rPr>
      </w:pPr>
    </w:p>
    <w:p>
      <w:pPr>
        <w:pStyle w:val="BodyText"/>
        <w:spacing w:line="249" w:lineRule="auto"/>
        <w:ind w:left="107" w:right="142"/>
      </w:pPr>
      <w:r>
        <w:rPr/>
        <w:t>Mobility opportunities during 2016 included short-term study trips, volunteer or clinical placements, internships and semester- based study. Western Sydney International calculated that the University delivered</w:t>
      </w:r>
    </w:p>
    <w:p>
      <w:pPr>
        <w:pStyle w:val="BodyText"/>
        <w:spacing w:line="249" w:lineRule="auto"/>
        <w:ind w:left="107" w:right="196"/>
      </w:pPr>
      <w:r>
        <w:rPr>
          <w:spacing w:val="3"/>
          <w:w w:val="98"/>
        </w:rPr>
        <w:t>8</w:t>
      </w:r>
      <w:r>
        <w:rPr>
          <w:spacing w:val="2"/>
          <w:w w:val="54"/>
        </w:rPr>
        <w:t>1</w:t>
      </w:r>
      <w:r>
        <w:rPr>
          <w:w w:val="93"/>
        </w:rPr>
        <w:t>2</w:t>
      </w:r>
      <w:r>
        <w:rPr>
          <w:spacing w:val="-12"/>
        </w:rPr>
        <w:t> </w:t>
      </w:r>
      <w:r>
        <w:rPr>
          <w:spacing w:val="1"/>
          <w:w w:val="95"/>
        </w:rPr>
        <w:t>i</w:t>
      </w:r>
      <w:r>
        <w:rPr>
          <w:w w:val="95"/>
        </w:rPr>
        <w:t>n</w:t>
      </w:r>
      <w:r>
        <w:rPr>
          <w:spacing w:val="-2"/>
          <w:w w:val="102"/>
        </w:rPr>
        <w:t>t</w:t>
      </w:r>
      <w:r>
        <w:rPr>
          <w:spacing w:val="2"/>
          <w:w w:val="95"/>
        </w:rPr>
        <w:t>e</w:t>
      </w:r>
      <w:r>
        <w:rPr>
          <w:spacing w:val="2"/>
          <w:w w:val="95"/>
        </w:rPr>
        <w:t>r</w:t>
      </w:r>
      <w:r>
        <w:rPr>
          <w:spacing w:val="2"/>
          <w:w w:val="95"/>
        </w:rPr>
        <w:t>n</w:t>
      </w:r>
      <w:r>
        <w:rPr>
          <w:w w:val="94"/>
        </w:rPr>
        <w:t>a</w:t>
      </w:r>
      <w:r>
        <w:rPr>
          <w:w w:val="102"/>
        </w:rPr>
        <w:t>t</w:t>
      </w:r>
      <w:r>
        <w:rPr>
          <w:spacing w:val="1"/>
          <w:w w:val="95"/>
        </w:rPr>
        <w:t>i</w:t>
      </w:r>
      <w:r>
        <w:rPr>
          <w:spacing w:val="2"/>
          <w:w w:val="100"/>
        </w:rPr>
        <w:t>o</w:t>
      </w:r>
      <w:r>
        <w:rPr>
          <w:spacing w:val="2"/>
          <w:w w:val="95"/>
        </w:rPr>
        <w:t>n</w:t>
      </w:r>
      <w:r>
        <w:rPr>
          <w:spacing w:val="2"/>
          <w:w w:val="94"/>
        </w:rPr>
        <w:t>a</w:t>
      </w:r>
      <w:r>
        <w:rPr>
          <w:w w:val="95"/>
        </w:rPr>
        <w:t>l</w:t>
      </w:r>
      <w:r>
        <w:rPr>
          <w:spacing w:val="-12"/>
        </w:rPr>
        <w:t> </w:t>
      </w:r>
      <w:r>
        <w:rPr>
          <w:spacing w:val="3"/>
          <w:w w:val="95"/>
        </w:rPr>
        <w:t>s</w:t>
      </w:r>
      <w:r>
        <w:rPr>
          <w:spacing w:val="1"/>
          <w:w w:val="102"/>
        </w:rPr>
        <w:t>t</w:t>
      </w:r>
      <w:r>
        <w:rPr>
          <w:spacing w:val="2"/>
          <w:w w:val="95"/>
        </w:rPr>
        <w:t>u</w:t>
      </w:r>
      <w:r>
        <w:rPr>
          <w:spacing w:val="1"/>
          <w:w w:val="102"/>
        </w:rPr>
        <w:t>d</w:t>
      </w:r>
      <w:r>
        <w:rPr>
          <w:w w:val="101"/>
        </w:rPr>
        <w:t>y</w:t>
      </w:r>
      <w:r>
        <w:rPr>
          <w:spacing w:val="-12"/>
        </w:rPr>
        <w:t> </w:t>
      </w:r>
      <w:r>
        <w:rPr>
          <w:w w:val="95"/>
        </w:rPr>
        <w:t>e</w:t>
      </w:r>
      <w:r>
        <w:rPr>
          <w:spacing w:val="1"/>
          <w:w w:val="99"/>
        </w:rPr>
        <w:t>x</w:t>
      </w:r>
      <w:r>
        <w:rPr>
          <w:spacing w:val="2"/>
          <w:w w:val="102"/>
        </w:rPr>
        <w:t>p</w:t>
      </w:r>
      <w:r>
        <w:rPr>
          <w:spacing w:val="2"/>
          <w:w w:val="95"/>
        </w:rPr>
        <w:t>e</w:t>
      </w:r>
      <w:r>
        <w:rPr>
          <w:spacing w:val="1"/>
          <w:w w:val="95"/>
        </w:rPr>
        <w:t>r</w:t>
      </w:r>
      <w:r>
        <w:rPr>
          <w:spacing w:val="1"/>
          <w:w w:val="95"/>
        </w:rPr>
        <w:t>i</w:t>
      </w:r>
      <w:r>
        <w:rPr>
          <w:spacing w:val="2"/>
          <w:w w:val="95"/>
        </w:rPr>
        <w:t>e</w:t>
      </w:r>
      <w:r>
        <w:rPr>
          <w:spacing w:val="2"/>
          <w:w w:val="95"/>
        </w:rPr>
        <w:t>n</w:t>
      </w:r>
      <w:r>
        <w:rPr>
          <w:w w:val="102"/>
        </w:rPr>
        <w:t>c</w:t>
      </w:r>
      <w:r>
        <w:rPr>
          <w:spacing w:val="3"/>
          <w:w w:val="95"/>
        </w:rPr>
        <w:t>e</w:t>
      </w:r>
      <w:r>
        <w:rPr>
          <w:w w:val="95"/>
        </w:rPr>
        <w:t>s</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spacing w:val="4"/>
          <w:w w:val="101"/>
        </w:rPr>
        <w:t>6</w:t>
      </w:r>
      <w:r>
        <w:rPr>
          <w:w w:val="68"/>
        </w:rPr>
        <w:t>, </w:t>
      </w:r>
      <w:r>
        <w:rPr>
          <w:w w:val="94"/>
        </w:rPr>
        <w:t>a</w:t>
      </w:r>
      <w:r>
        <w:rPr>
          <w:spacing w:val="-12"/>
        </w:rPr>
        <w:t> </w:t>
      </w:r>
      <w:r>
        <w:rPr>
          <w:w w:val="95"/>
        </w:rPr>
        <w:t>s</w:t>
      </w:r>
      <w:r>
        <w:rPr>
          <w:spacing w:val="1"/>
          <w:w w:val="95"/>
        </w:rPr>
        <w:t>i</w:t>
      </w:r>
      <w:r>
        <w:rPr>
          <w:spacing w:val="2"/>
          <w:w w:val="102"/>
        </w:rPr>
        <w:t>g</w:t>
      </w:r>
      <w:r>
        <w:rPr>
          <w:spacing w:val="1"/>
          <w:w w:val="95"/>
        </w:rPr>
        <w:t>n</w:t>
      </w:r>
      <w:r>
        <w:rPr>
          <w:spacing w:val="1"/>
          <w:w w:val="95"/>
        </w:rPr>
        <w:t>i</w:t>
      </w:r>
      <w:r>
        <w:rPr>
          <w:w w:val="97"/>
        </w:rPr>
        <w:t>f</w:t>
      </w:r>
      <w:r>
        <w:rPr>
          <w:spacing w:val="2"/>
          <w:w w:val="97"/>
        </w:rPr>
        <w:t>i</w:t>
      </w:r>
      <w:r>
        <w:rPr>
          <w:spacing w:val="3"/>
          <w:w w:val="102"/>
        </w:rPr>
        <w:t>c</w:t>
      </w:r>
      <w:r>
        <w:rPr>
          <w:spacing w:val="2"/>
          <w:w w:val="94"/>
        </w:rPr>
        <w:t>a</w:t>
      </w:r>
      <w:r>
        <w:rPr>
          <w:w w:val="95"/>
        </w:rPr>
        <w:t>n</w:t>
      </w:r>
      <w:r>
        <w:rPr>
          <w:w w:val="102"/>
        </w:rPr>
        <w:t>t</w:t>
      </w:r>
      <w:r>
        <w:rPr>
          <w:spacing w:val="-12"/>
        </w:rPr>
        <w:t> </w:t>
      </w:r>
      <w:r>
        <w:rPr>
          <w:spacing w:val="1"/>
          <w:w w:val="95"/>
        </w:rPr>
        <w:t>i</w:t>
      </w:r>
      <w:r>
        <w:rPr>
          <w:spacing w:val="2"/>
          <w:w w:val="95"/>
        </w:rPr>
        <w:t>n</w:t>
      </w:r>
      <w:r>
        <w:rPr>
          <w:spacing w:val="1"/>
          <w:w w:val="102"/>
        </w:rPr>
        <w:t>c</w:t>
      </w:r>
      <w:r>
        <w:rPr>
          <w:spacing w:val="-1"/>
          <w:w w:val="95"/>
        </w:rPr>
        <w:t>r</w:t>
      </w:r>
      <w:r>
        <w:rPr>
          <w:spacing w:val="2"/>
          <w:w w:val="95"/>
        </w:rPr>
        <w:t>e</w:t>
      </w:r>
      <w:r>
        <w:rPr>
          <w:spacing w:val="2"/>
          <w:w w:val="94"/>
        </w:rPr>
        <w:t>a</w:t>
      </w:r>
      <w:r>
        <w:rPr>
          <w:spacing w:val="2"/>
          <w:w w:val="95"/>
        </w:rPr>
        <w:t>s</w:t>
      </w:r>
      <w:r>
        <w:rPr>
          <w:w w:val="95"/>
        </w:rPr>
        <w:t>e</w:t>
      </w:r>
      <w:r>
        <w:rPr>
          <w:spacing w:val="-12"/>
        </w:rPr>
        <w:t> </w:t>
      </w:r>
      <w:r>
        <w:rPr>
          <w:spacing w:val="2"/>
          <w:w w:val="100"/>
        </w:rPr>
        <w:t>o</w:t>
      </w:r>
      <w:r>
        <w:rPr>
          <w:w w:val="95"/>
        </w:rPr>
        <w:t>n</w:t>
      </w:r>
      <w:r>
        <w:rPr>
          <w:spacing w:val="-12"/>
        </w:rPr>
        <w:t> </w:t>
      </w:r>
      <w:r>
        <w:rPr>
          <w:spacing w:val="2"/>
          <w:w w:val="93"/>
        </w:rPr>
        <w:t>2</w:t>
      </w:r>
      <w:r>
        <w:rPr>
          <w:spacing w:val="1"/>
          <w:w w:val="111"/>
        </w:rPr>
        <w:t>0</w:t>
      </w:r>
      <w:r>
        <w:rPr>
          <w:spacing w:val="2"/>
          <w:w w:val="54"/>
        </w:rPr>
        <w:t>1</w:t>
      </w:r>
      <w:r>
        <w:rPr>
          <w:spacing w:val="4"/>
          <w:w w:val="95"/>
        </w:rPr>
        <w:t>5</w:t>
      </w:r>
      <w:r>
        <w:rPr>
          <w:w w:val="68"/>
        </w:rPr>
        <w:t>.</w:t>
      </w:r>
    </w:p>
    <w:p>
      <w:pPr>
        <w:pStyle w:val="BodyText"/>
        <w:spacing w:before="3"/>
        <w:rPr>
          <w:sz w:val="19"/>
        </w:rPr>
      </w:pPr>
    </w:p>
    <w:p>
      <w:pPr>
        <w:pStyle w:val="Heading7"/>
        <w:ind w:right="-8"/>
      </w:pPr>
      <w:r>
        <w:rPr>
          <w:w w:val="95"/>
        </w:rPr>
        <w:t>NEW COLOMBO PLAN SCHOLARSHIPS</w:t>
      </w:r>
    </w:p>
    <w:p>
      <w:pPr>
        <w:pStyle w:val="BodyText"/>
        <w:spacing w:line="249" w:lineRule="auto" w:before="58"/>
        <w:ind w:left="107" w:right="-8"/>
      </w:pPr>
      <w:r>
        <w:rPr/>
        <w:t>The Australian Government’s flagship NCP Scholarship Program provides opportunities for Australian undergraduate students to study, participate in internship/mentorship opportunities, and receive language training for one to two semesters in an eligible host </w:t>
      </w:r>
      <w:r>
        <w:rPr>
          <w:w w:val="98"/>
        </w:rPr>
        <w:t>location </w:t>
      </w:r>
      <w:r>
        <w:rPr>
          <w:w w:val="95"/>
        </w:rPr>
        <w:t>in </w:t>
      </w:r>
      <w:r>
        <w:rPr>
          <w:w w:val="97"/>
        </w:rPr>
        <w:t>the </w:t>
      </w:r>
      <w:r>
        <w:rPr>
          <w:w w:val="96"/>
        </w:rPr>
        <w:t>Indo-Pacific </w:t>
      </w:r>
      <w:r>
        <w:rPr>
          <w:w w:val="93"/>
        </w:rPr>
        <w:t>region. </w:t>
      </w:r>
      <w:r>
        <w:rPr>
          <w:w w:val="80"/>
        </w:rPr>
        <w:t>In </w:t>
      </w:r>
      <w:r>
        <w:rPr>
          <w:w w:val="85"/>
        </w:rPr>
        <w:t>2016, </w:t>
      </w:r>
      <w:r>
        <w:rPr>
          <w:w w:val="92"/>
        </w:rPr>
        <w:t>100 </w:t>
      </w:r>
      <w:r>
        <w:rPr/>
        <w:t>NCP scholarships were awarded nationally, each worth up to $67,000. The Western </w:t>
      </w:r>
      <w:r>
        <w:rPr>
          <w:w w:val="99"/>
        </w:rPr>
        <w:t>Sydney </w:t>
      </w:r>
      <w:r>
        <w:rPr>
          <w:w w:val="97"/>
        </w:rPr>
        <w:t>University </w:t>
      </w:r>
      <w:r>
        <w:rPr>
          <w:w w:val="90"/>
        </w:rPr>
        <w:t>2016 </w:t>
      </w:r>
      <w:r>
        <w:rPr>
          <w:w w:val="102"/>
        </w:rPr>
        <w:t>NCP </w:t>
      </w:r>
      <w:r>
        <w:rPr>
          <w:w w:val="96"/>
        </w:rPr>
        <w:t>scholars </w:t>
      </w:r>
      <w:r>
        <w:rPr>
          <w:w w:val="86"/>
        </w:rPr>
        <w:t>are:</w:t>
      </w:r>
    </w:p>
    <w:p>
      <w:pPr>
        <w:pStyle w:val="BodyText"/>
        <w:spacing w:line="247" w:lineRule="auto" w:before="55"/>
        <w:ind w:left="305" w:right="295" w:hanging="199"/>
      </w:pPr>
      <w:r>
        <w:rPr>
          <w:rFonts w:ascii="Century Gothic" w:hAnsi="Century Gothic"/>
          <w:b/>
          <w:w w:val="115"/>
        </w:rPr>
        <w:t>≥ </w:t>
      </w:r>
      <w:r>
        <w:rPr/>
        <w:t>Caitlin Alderson, Bachelor of Policing Studies (City University of Hong Kong, Hong Kong)</w:t>
      </w:r>
    </w:p>
    <w:p>
      <w:pPr>
        <w:pStyle w:val="BodyText"/>
        <w:spacing w:line="247" w:lineRule="auto" w:before="57"/>
        <w:ind w:left="305" w:right="45" w:hanging="199"/>
        <w:jc w:val="both"/>
      </w:pPr>
      <w:r>
        <w:rPr>
          <w:rFonts w:ascii="Century Gothic" w:hAnsi="Century Gothic"/>
          <w:b/>
          <w:w w:val="115"/>
        </w:rPr>
        <w:t>≥ </w:t>
      </w:r>
      <w:r>
        <w:rPr/>
        <w:t>Justin Whittle, Bachelor of Natural Science </w:t>
      </w:r>
      <w:r>
        <w:rPr>
          <w:spacing w:val="2"/>
        </w:rPr>
        <w:t>(Kasetsart</w:t>
      </w:r>
      <w:r>
        <w:rPr>
          <w:spacing w:val="-28"/>
        </w:rPr>
        <w:t> </w:t>
      </w:r>
      <w:r>
        <w:rPr/>
        <w:t>University,</w:t>
      </w:r>
      <w:r>
        <w:rPr>
          <w:spacing w:val="-28"/>
        </w:rPr>
        <w:t> </w:t>
      </w:r>
      <w:r>
        <w:rPr/>
        <w:t>Thailand).</w:t>
      </w:r>
      <w:r>
        <w:rPr>
          <w:spacing w:val="-28"/>
        </w:rPr>
        <w:t> </w:t>
      </w:r>
      <w:r>
        <w:rPr/>
        <w:t>Justin</w:t>
      </w:r>
      <w:r>
        <w:rPr>
          <w:spacing w:val="-28"/>
        </w:rPr>
        <w:t> </w:t>
      </w:r>
      <w:r>
        <w:rPr/>
        <w:t>was named</w:t>
      </w:r>
      <w:r>
        <w:rPr>
          <w:spacing w:val="-16"/>
        </w:rPr>
        <w:t> </w:t>
      </w:r>
      <w:r>
        <w:rPr/>
        <w:t>NCP</w:t>
      </w:r>
      <w:r>
        <w:rPr>
          <w:spacing w:val="-16"/>
        </w:rPr>
        <w:t> </w:t>
      </w:r>
      <w:r>
        <w:rPr/>
        <w:t>Fellow</w:t>
      </w:r>
      <w:r>
        <w:rPr>
          <w:spacing w:val="-16"/>
        </w:rPr>
        <w:t> </w:t>
      </w:r>
      <w:r>
        <w:rPr/>
        <w:t>for</w:t>
      </w:r>
      <w:r>
        <w:rPr>
          <w:spacing w:val="-16"/>
        </w:rPr>
        <w:t> </w:t>
      </w:r>
      <w:r>
        <w:rPr/>
        <w:t>Thailand,</w:t>
      </w:r>
      <w:r>
        <w:rPr>
          <w:spacing w:val="-16"/>
        </w:rPr>
        <w:t> </w:t>
      </w:r>
      <w:r>
        <w:rPr/>
        <w:t>an</w:t>
      </w:r>
      <w:r>
        <w:rPr>
          <w:spacing w:val="-16"/>
        </w:rPr>
        <w:t> </w:t>
      </w:r>
      <w:r>
        <w:rPr/>
        <w:t>honour given</w:t>
      </w:r>
      <w:r>
        <w:rPr>
          <w:spacing w:val="-14"/>
        </w:rPr>
        <w:t> </w:t>
      </w:r>
      <w:r>
        <w:rPr/>
        <w:t>to</w:t>
      </w:r>
      <w:r>
        <w:rPr>
          <w:spacing w:val="-14"/>
        </w:rPr>
        <w:t> </w:t>
      </w:r>
      <w:r>
        <w:rPr/>
        <w:t>the</w:t>
      </w:r>
      <w:r>
        <w:rPr>
          <w:spacing w:val="-14"/>
        </w:rPr>
        <w:t> </w:t>
      </w:r>
      <w:r>
        <w:rPr/>
        <w:t>top-ranked</w:t>
      </w:r>
      <w:r>
        <w:rPr>
          <w:spacing w:val="-14"/>
        </w:rPr>
        <w:t> </w:t>
      </w:r>
      <w:r>
        <w:rPr/>
        <w:t>candidate</w:t>
      </w:r>
      <w:r>
        <w:rPr>
          <w:spacing w:val="-14"/>
        </w:rPr>
        <w:t> </w:t>
      </w:r>
      <w:r>
        <w:rPr/>
        <w:t>for</w:t>
      </w:r>
      <w:r>
        <w:rPr>
          <w:spacing w:val="-14"/>
        </w:rPr>
        <w:t> </w:t>
      </w:r>
      <w:r>
        <w:rPr/>
        <w:t>each country.</w:t>
      </w:r>
    </w:p>
    <w:p>
      <w:pPr>
        <w:pStyle w:val="BodyText"/>
        <w:spacing w:before="4"/>
        <w:rPr>
          <w:sz w:val="19"/>
        </w:rPr>
      </w:pPr>
    </w:p>
    <w:p>
      <w:pPr>
        <w:pStyle w:val="Heading7"/>
        <w:spacing w:before="1"/>
        <w:ind w:right="-8"/>
      </w:pPr>
      <w:r>
        <w:rPr/>
        <w:t>ERASMUS+</w:t>
      </w:r>
    </w:p>
    <w:p>
      <w:pPr>
        <w:pStyle w:val="BodyText"/>
        <w:spacing w:line="249" w:lineRule="auto" w:before="58"/>
        <w:ind w:left="107" w:right="-8"/>
      </w:pPr>
      <w:r>
        <w:rPr/>
        <w:t>Erasmus+,</w:t>
      </w:r>
      <w:r>
        <w:rPr>
          <w:spacing w:val="-35"/>
        </w:rPr>
        <w:t> </w:t>
      </w:r>
      <w:r>
        <w:rPr/>
        <w:t>the</w:t>
      </w:r>
      <w:r>
        <w:rPr>
          <w:spacing w:val="-35"/>
        </w:rPr>
        <w:t> </w:t>
      </w:r>
      <w:r>
        <w:rPr/>
        <w:t>European</w:t>
      </w:r>
      <w:r>
        <w:rPr>
          <w:spacing w:val="-35"/>
        </w:rPr>
        <w:t> </w:t>
      </w:r>
      <w:r>
        <w:rPr/>
        <w:t>Commission</w:t>
      </w:r>
      <w:r>
        <w:rPr>
          <w:spacing w:val="-35"/>
        </w:rPr>
        <w:t> </w:t>
      </w:r>
      <w:r>
        <w:rPr/>
        <w:t>initiative, fosters</w:t>
      </w:r>
      <w:r>
        <w:rPr>
          <w:spacing w:val="-19"/>
        </w:rPr>
        <w:t> </w:t>
      </w:r>
      <w:r>
        <w:rPr/>
        <w:t>international</w:t>
      </w:r>
      <w:r>
        <w:rPr>
          <w:spacing w:val="-19"/>
        </w:rPr>
        <w:t> </w:t>
      </w:r>
      <w:r>
        <w:rPr/>
        <w:t>collaboration</w:t>
      </w:r>
      <w:r>
        <w:rPr>
          <w:spacing w:val="-19"/>
        </w:rPr>
        <w:t> </w:t>
      </w:r>
      <w:r>
        <w:rPr/>
        <w:t>between</w:t>
      </w:r>
    </w:p>
    <w:p>
      <w:pPr>
        <w:pStyle w:val="BodyText"/>
        <w:spacing w:line="249" w:lineRule="auto"/>
        <w:ind w:left="107" w:right="-8"/>
      </w:pPr>
      <w:r>
        <w:rPr/>
        <w:t>EU and </w:t>
      </w:r>
      <w:r>
        <w:rPr>
          <w:spacing w:val="2"/>
        </w:rPr>
        <w:t>non-EU </w:t>
      </w:r>
      <w:r>
        <w:rPr/>
        <w:t>institutions. The University successfully secured funding for bilateral nursing</w:t>
      </w:r>
      <w:r>
        <w:rPr>
          <w:spacing w:val="-21"/>
        </w:rPr>
        <w:t> </w:t>
      </w:r>
      <w:r>
        <w:rPr/>
        <w:t>and</w:t>
      </w:r>
      <w:r>
        <w:rPr>
          <w:spacing w:val="-21"/>
        </w:rPr>
        <w:t> </w:t>
      </w:r>
      <w:r>
        <w:rPr/>
        <w:t>health</w:t>
      </w:r>
      <w:r>
        <w:rPr>
          <w:spacing w:val="-21"/>
        </w:rPr>
        <w:t> </w:t>
      </w:r>
      <w:r>
        <w:rPr/>
        <w:t>student</w:t>
      </w:r>
      <w:r>
        <w:rPr>
          <w:spacing w:val="-21"/>
        </w:rPr>
        <w:t> </w:t>
      </w:r>
      <w:r>
        <w:rPr/>
        <w:t>exchanges</w:t>
      </w:r>
      <w:r>
        <w:rPr>
          <w:spacing w:val="-21"/>
        </w:rPr>
        <w:t> </w:t>
      </w:r>
      <w:r>
        <w:rPr/>
        <w:t>with</w:t>
      </w:r>
      <w:r>
        <w:rPr>
          <w:spacing w:val="-21"/>
        </w:rPr>
        <w:t> </w:t>
      </w:r>
      <w:r>
        <w:rPr/>
        <w:t>the </w:t>
      </w:r>
      <w:r>
        <w:rPr>
          <w:spacing w:val="1"/>
          <w:w w:val="97"/>
        </w:rPr>
        <w:t>University</w:t>
      </w:r>
      <w:r>
        <w:rPr>
          <w:spacing w:val="-8"/>
          <w:w w:val="97"/>
        </w:rPr>
        <w:t> </w:t>
      </w:r>
      <w:r>
        <w:rPr>
          <w:w w:val="99"/>
        </w:rPr>
        <w:t>of</w:t>
      </w:r>
      <w:r>
        <w:rPr>
          <w:spacing w:val="-9"/>
          <w:w w:val="99"/>
        </w:rPr>
        <w:t> </w:t>
      </w:r>
      <w:r>
        <w:rPr>
          <w:spacing w:val="1"/>
          <w:w w:val="97"/>
        </w:rPr>
        <w:t>Maribor</w:t>
      </w:r>
      <w:r>
        <w:rPr>
          <w:spacing w:val="-8"/>
          <w:w w:val="97"/>
        </w:rPr>
        <w:t> </w:t>
      </w:r>
      <w:r>
        <w:rPr>
          <w:w w:val="95"/>
        </w:rPr>
        <w:t>in</w:t>
      </w:r>
      <w:r>
        <w:rPr>
          <w:spacing w:val="-7"/>
          <w:w w:val="95"/>
        </w:rPr>
        <w:t> </w:t>
      </w:r>
      <w:r>
        <w:rPr>
          <w:w w:val="97"/>
        </w:rPr>
        <w:t>Slovenia</w:t>
      </w:r>
      <w:r>
        <w:rPr>
          <w:spacing w:val="-8"/>
          <w:w w:val="97"/>
        </w:rPr>
        <w:t> </w:t>
      </w:r>
      <w:r>
        <w:rPr>
          <w:w w:val="95"/>
        </w:rPr>
        <w:t>in</w:t>
      </w:r>
      <w:r>
        <w:rPr>
          <w:spacing w:val="-7"/>
          <w:w w:val="95"/>
        </w:rPr>
        <w:t> </w:t>
      </w:r>
      <w:r>
        <w:rPr>
          <w:spacing w:val="1"/>
          <w:w w:val="82"/>
        </w:rPr>
        <w:t>2017–18.</w:t>
      </w:r>
    </w:p>
    <w:p>
      <w:pPr>
        <w:pStyle w:val="Heading5"/>
        <w:spacing w:before="197"/>
        <w:ind w:right="460"/>
      </w:pPr>
      <w:bookmarkStart w:name="_TOC_250043" w:id="11"/>
      <w:r>
        <w:rPr>
          <w:b w:val="0"/>
        </w:rPr>
        <w:br w:type="column"/>
      </w:r>
      <w:bookmarkEnd w:id="11"/>
      <w:r>
        <w:rPr>
          <w:w w:val="95"/>
        </w:rPr>
        <w:t>LEARNING FUTURES</w:t>
      </w:r>
    </w:p>
    <w:p>
      <w:pPr>
        <w:pStyle w:val="BodyText"/>
        <w:spacing w:line="247" w:lineRule="auto" w:before="95"/>
        <w:ind w:left="107" w:right="421"/>
      </w:pPr>
      <w:r>
        <w:rPr/>
        <w:t>Outstanding student-centred learning and teaching is at the </w:t>
      </w:r>
      <w:r>
        <w:rPr>
          <w:spacing w:val="2"/>
        </w:rPr>
        <w:t>heart </w:t>
      </w:r>
      <w:r>
        <w:rPr/>
        <w:t>of Western Sydney University’s mission and its </w:t>
      </w:r>
      <w:r>
        <w:rPr>
          <w:rFonts w:ascii="Century Gothic" w:hAnsi="Century Gothic"/>
          <w:i/>
          <w:w w:val="92"/>
        </w:rPr>
        <w:t>Securing </w:t>
      </w:r>
      <w:r>
        <w:rPr>
          <w:rFonts w:ascii="Century Gothic" w:hAnsi="Century Gothic"/>
          <w:i/>
          <w:spacing w:val="1"/>
          <w:w w:val="90"/>
        </w:rPr>
        <w:t>Success</w:t>
      </w:r>
      <w:r>
        <w:rPr>
          <w:rFonts w:ascii="Century Gothic" w:hAnsi="Century Gothic"/>
          <w:i/>
          <w:w w:val="90"/>
        </w:rPr>
        <w:t> </w:t>
      </w:r>
      <w:r>
        <w:rPr>
          <w:w w:val="98"/>
        </w:rPr>
        <w:t>strategic </w:t>
      </w:r>
      <w:r>
        <w:rPr>
          <w:spacing w:val="1"/>
          <w:w w:val="91"/>
        </w:rPr>
        <w:t>plan.</w:t>
      </w:r>
      <w:r>
        <w:rPr>
          <w:w w:val="91"/>
        </w:rPr>
        <w:t> </w:t>
      </w:r>
      <w:r>
        <w:rPr>
          <w:spacing w:val="1"/>
          <w:w w:val="80"/>
        </w:rPr>
        <w:t>In</w:t>
      </w:r>
      <w:r>
        <w:rPr>
          <w:w w:val="80"/>
        </w:rPr>
        <w:t> </w:t>
      </w:r>
      <w:r>
        <w:rPr>
          <w:spacing w:val="2"/>
          <w:w w:val="85"/>
        </w:rPr>
        <w:t>2016,</w:t>
      </w:r>
      <w:r>
        <w:rPr>
          <w:w w:val="85"/>
        </w:rPr>
        <w:t> </w:t>
      </w:r>
      <w:r>
        <w:rPr/>
        <w:t>the Western Sydney University </w:t>
      </w:r>
      <w:r>
        <w:rPr>
          <w:rFonts w:ascii="Century Gothic" w:hAnsi="Century Gothic"/>
          <w:i/>
        </w:rPr>
        <w:t>Learning </w:t>
      </w:r>
      <w:r>
        <w:rPr>
          <w:rFonts w:ascii="Century Gothic" w:hAnsi="Century Gothic"/>
          <w:i/>
        </w:rPr>
        <w:t>Futures Plan 2016–2020 </w:t>
      </w:r>
      <w:r>
        <w:rPr/>
        <w:t>was endorsed. This</w:t>
      </w:r>
      <w:r>
        <w:rPr>
          <w:spacing w:val="-17"/>
        </w:rPr>
        <w:t> </w:t>
      </w:r>
      <w:r>
        <w:rPr/>
        <w:t>aligns</w:t>
      </w:r>
      <w:r>
        <w:rPr>
          <w:spacing w:val="-17"/>
        </w:rPr>
        <w:t> </w:t>
      </w:r>
      <w:r>
        <w:rPr/>
        <w:t>with</w:t>
      </w:r>
      <w:r>
        <w:rPr>
          <w:spacing w:val="-17"/>
        </w:rPr>
        <w:t> </w:t>
      </w:r>
      <w:r>
        <w:rPr/>
        <w:t>the</w:t>
      </w:r>
      <w:r>
        <w:rPr>
          <w:spacing w:val="-17"/>
        </w:rPr>
        <w:t> </w:t>
      </w:r>
      <w:r>
        <w:rPr/>
        <w:t>new</w:t>
      </w:r>
      <w:r>
        <w:rPr>
          <w:spacing w:val="-17"/>
        </w:rPr>
        <w:t> </w:t>
      </w:r>
      <w:r>
        <w:rPr/>
        <w:t>Higher</w:t>
      </w:r>
      <w:r>
        <w:rPr>
          <w:spacing w:val="-17"/>
        </w:rPr>
        <w:t> </w:t>
      </w:r>
      <w:r>
        <w:rPr/>
        <w:t>Education Standards</w:t>
      </w:r>
      <w:r>
        <w:rPr>
          <w:spacing w:val="-15"/>
        </w:rPr>
        <w:t> </w:t>
      </w:r>
      <w:r>
        <w:rPr/>
        <w:t>and</w:t>
      </w:r>
      <w:r>
        <w:rPr>
          <w:spacing w:val="-15"/>
        </w:rPr>
        <w:t> </w:t>
      </w:r>
      <w:r>
        <w:rPr/>
        <w:t>positions</w:t>
      </w:r>
      <w:r>
        <w:rPr>
          <w:spacing w:val="-15"/>
        </w:rPr>
        <w:t> </w:t>
      </w:r>
      <w:r>
        <w:rPr/>
        <w:t>the</w:t>
      </w:r>
      <w:r>
        <w:rPr>
          <w:spacing w:val="-15"/>
        </w:rPr>
        <w:t> </w:t>
      </w:r>
      <w:r>
        <w:rPr/>
        <w:t>University</w:t>
      </w:r>
      <w:r>
        <w:rPr>
          <w:spacing w:val="-15"/>
        </w:rPr>
        <w:t> </w:t>
      </w:r>
      <w:r>
        <w:rPr/>
        <w:t>for its next phase of learning transformation </w:t>
      </w:r>
      <w:r>
        <w:rPr>
          <w:w w:val="95"/>
        </w:rPr>
        <w:t>as</w:t>
      </w:r>
      <w:r>
        <w:rPr>
          <w:spacing w:val="-17"/>
          <w:w w:val="95"/>
        </w:rPr>
        <w:t> </w:t>
      </w:r>
      <w:r>
        <w:rPr>
          <w:spacing w:val="2"/>
          <w:w w:val="95"/>
        </w:rPr>
        <w:t>part</w:t>
      </w:r>
      <w:r>
        <w:rPr>
          <w:spacing w:val="-17"/>
          <w:w w:val="95"/>
        </w:rPr>
        <w:t> </w:t>
      </w:r>
      <w:r>
        <w:rPr>
          <w:w w:val="95"/>
        </w:rPr>
        <w:t>of</w:t>
      </w:r>
      <w:r>
        <w:rPr>
          <w:spacing w:val="-17"/>
          <w:w w:val="95"/>
        </w:rPr>
        <w:t> </w:t>
      </w:r>
      <w:r>
        <w:rPr>
          <w:w w:val="95"/>
        </w:rPr>
        <w:t>the</w:t>
      </w:r>
      <w:r>
        <w:rPr>
          <w:spacing w:val="-17"/>
          <w:w w:val="95"/>
        </w:rPr>
        <w:t> </w:t>
      </w:r>
      <w:r>
        <w:rPr>
          <w:rFonts w:ascii="Century Gothic" w:hAnsi="Century Gothic"/>
          <w:i/>
          <w:w w:val="95"/>
        </w:rPr>
        <w:t>Securing</w:t>
      </w:r>
      <w:r>
        <w:rPr>
          <w:rFonts w:ascii="Century Gothic" w:hAnsi="Century Gothic"/>
          <w:i/>
          <w:spacing w:val="-13"/>
          <w:w w:val="95"/>
        </w:rPr>
        <w:t> </w:t>
      </w:r>
      <w:r>
        <w:rPr>
          <w:rFonts w:ascii="Century Gothic" w:hAnsi="Century Gothic"/>
          <w:i/>
          <w:w w:val="95"/>
        </w:rPr>
        <w:t>Succes</w:t>
      </w:r>
      <w:r>
        <w:rPr>
          <w:w w:val="95"/>
        </w:rPr>
        <w:t>s</w:t>
      </w:r>
      <w:r>
        <w:rPr>
          <w:spacing w:val="-17"/>
          <w:w w:val="95"/>
        </w:rPr>
        <w:t> </w:t>
      </w:r>
      <w:r>
        <w:rPr>
          <w:w w:val="95"/>
        </w:rPr>
        <w:t>strategy.</w:t>
      </w:r>
    </w:p>
    <w:p>
      <w:pPr>
        <w:pStyle w:val="BodyText"/>
        <w:spacing w:before="12"/>
        <w:rPr>
          <w:sz w:val="13"/>
        </w:rPr>
      </w:pPr>
    </w:p>
    <w:p>
      <w:pPr>
        <w:pStyle w:val="BodyText"/>
        <w:spacing w:line="249" w:lineRule="auto"/>
        <w:ind w:left="107" w:right="129"/>
      </w:pPr>
      <w:r>
        <w:rPr/>
        <w:t>Professor Simon Barrie and Professor Kevin Bell were appointed to the newly established Learning Futures portfolio as Pro Vice- Chancellor Learning Transformations and Pro Vice-Chancellor Digital Futures, respectively.</w:t>
      </w:r>
    </w:p>
    <w:p>
      <w:pPr>
        <w:pStyle w:val="BodyText"/>
        <w:rPr>
          <w:sz w:val="14"/>
        </w:rPr>
      </w:pPr>
    </w:p>
    <w:p>
      <w:pPr>
        <w:pStyle w:val="BodyText"/>
        <w:spacing w:line="249" w:lineRule="auto"/>
        <w:ind w:left="107" w:right="316"/>
      </w:pPr>
      <w:r>
        <w:rPr/>
        <w:t>The Learning Transformations portfolio was restructured as a ‘hub’ to deliver the University’s curriculum transformation and technology-enhanced learning priorities.</w:t>
      </w:r>
    </w:p>
    <w:p>
      <w:pPr>
        <w:pStyle w:val="BodyText"/>
        <w:spacing w:line="249" w:lineRule="auto"/>
        <w:ind w:left="107" w:right="109"/>
      </w:pPr>
      <w:r>
        <w:rPr/>
        <w:t>The team of embedded Curriculum Advisors, Course Quality Officers and Literacy Advisors form ‘spokes’ to the Schools. The University’s Office of Sustainability joined the Learning Futures portfolio to connect the expertise</w:t>
      </w:r>
    </w:p>
    <w:p>
      <w:pPr>
        <w:pStyle w:val="BodyText"/>
        <w:spacing w:line="249" w:lineRule="auto"/>
        <w:ind w:left="107" w:right="565"/>
      </w:pPr>
      <w:r>
        <w:rPr/>
        <w:t>of this group with curriculum renewal, to embed education for sustainability. Central support for students’ academic literacies was consolidated within the</w:t>
      </w:r>
    </w:p>
    <w:p>
      <w:pPr>
        <w:pStyle w:val="BodyText"/>
        <w:spacing w:line="192" w:lineRule="exact"/>
        <w:ind w:left="107" w:right="197"/>
      </w:pPr>
      <w:r>
        <w:rPr/>
        <w:t>Library, under the Study Smart initiative.</w:t>
      </w:r>
    </w:p>
    <w:p>
      <w:pPr>
        <w:pStyle w:val="BodyText"/>
        <w:spacing w:before="10"/>
        <w:rPr>
          <w:sz w:val="19"/>
        </w:rPr>
      </w:pPr>
    </w:p>
    <w:p>
      <w:pPr>
        <w:pStyle w:val="Heading7"/>
        <w:ind w:right="460"/>
      </w:pPr>
      <w:r>
        <w:rPr>
          <w:w w:val="95"/>
        </w:rPr>
        <w:t>ACADEMIC STAFF ACHIEVEMENTS</w:t>
      </w:r>
    </w:p>
    <w:p>
      <w:pPr>
        <w:pStyle w:val="BodyText"/>
        <w:spacing w:line="249" w:lineRule="auto" w:before="58"/>
        <w:ind w:left="107" w:right="320"/>
      </w:pPr>
      <w:r>
        <w:rPr/>
        <w:t>Four University staff were recognised with Australian Awards for University Teaching (AAUT). Associate Professor Catherine Attard received an Award for Teaching Excellence. Citations for Outstanding Contributions to Student Learning were received by Professor Craig Gonsalvez, School of Social Sciences and Psychology; Dr Vincent Ho, School of Medicine; and Drs Xiangdong Liu and Satomi Kawaguchi, School of Humanities and Communication Arts’ Japanese Language team.</w:t>
      </w:r>
    </w:p>
    <w:p>
      <w:pPr>
        <w:pStyle w:val="BodyText"/>
        <w:rPr>
          <w:sz w:val="14"/>
        </w:rPr>
      </w:pPr>
    </w:p>
    <w:p>
      <w:pPr>
        <w:pStyle w:val="BodyText"/>
        <w:spacing w:line="249" w:lineRule="auto"/>
        <w:ind w:left="107" w:right="140"/>
      </w:pPr>
      <w:r>
        <w:rPr/>
        <w:t>From a strong field of applicants for Western Sydney University Learning and Teaching Awards, Dr Katrina Barker received the Vice- Chancellor’s Excellence in Teaching Award. Citations for Outstanding Contributions to Student Learning were awarded to Dr Tim</w:t>
      </w:r>
    </w:p>
    <w:p>
      <w:pPr>
        <w:spacing w:after="0" w:line="249" w:lineRule="auto"/>
        <w:sectPr>
          <w:type w:val="continuous"/>
          <w:pgSz w:w="11910" w:h="16840"/>
          <w:pgMar w:top="1580" w:bottom="280" w:left="800" w:right="800"/>
          <w:cols w:num="3" w:equalWidth="0">
            <w:col w:w="3288" w:space="151"/>
            <w:col w:w="3321" w:space="119"/>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580" w:right="580"/>
        </w:sectPr>
      </w:pPr>
    </w:p>
    <w:p>
      <w:pPr>
        <w:pStyle w:val="BodyText"/>
        <w:spacing w:before="1"/>
        <w:rPr>
          <w:sz w:val="20"/>
        </w:rPr>
      </w:pPr>
    </w:p>
    <w:p>
      <w:pPr>
        <w:pStyle w:val="BodyText"/>
        <w:spacing w:line="249" w:lineRule="auto"/>
        <w:ind w:left="327" w:right="-2"/>
      </w:pPr>
      <w:r>
        <w:rPr/>
        <w:t>Griffin,</w:t>
      </w:r>
      <w:r>
        <w:rPr>
          <w:spacing w:val="-21"/>
        </w:rPr>
        <w:t> </w:t>
      </w:r>
      <w:r>
        <w:rPr/>
        <w:t>Ms</w:t>
      </w:r>
      <w:r>
        <w:rPr>
          <w:spacing w:val="-21"/>
        </w:rPr>
        <w:t> </w:t>
      </w:r>
      <w:r>
        <w:rPr/>
        <w:t>Jennifer</w:t>
      </w:r>
      <w:r>
        <w:rPr>
          <w:spacing w:val="-21"/>
        </w:rPr>
        <w:t> </w:t>
      </w:r>
      <w:r>
        <w:rPr/>
        <w:t>Ireland,</w:t>
      </w:r>
      <w:r>
        <w:rPr>
          <w:spacing w:val="-21"/>
        </w:rPr>
        <w:t> </w:t>
      </w:r>
      <w:r>
        <w:rPr/>
        <w:t>Karen</w:t>
      </w:r>
      <w:r>
        <w:rPr>
          <w:spacing w:val="-21"/>
        </w:rPr>
        <w:t> </w:t>
      </w:r>
      <w:r>
        <w:rPr/>
        <w:t>McDaid,</w:t>
      </w:r>
      <w:r>
        <w:rPr>
          <w:spacing w:val="-21"/>
        </w:rPr>
        <w:t> </w:t>
      </w:r>
      <w:r>
        <w:rPr/>
        <w:t>Dr Zhiqiong</w:t>
      </w:r>
      <w:r>
        <w:rPr>
          <w:spacing w:val="-24"/>
        </w:rPr>
        <w:t> </w:t>
      </w:r>
      <w:r>
        <w:rPr/>
        <w:t>Wang,</w:t>
      </w:r>
      <w:r>
        <w:rPr>
          <w:spacing w:val="-24"/>
        </w:rPr>
        <w:t> </w:t>
      </w:r>
      <w:r>
        <w:rPr/>
        <w:t>Dr</w:t>
      </w:r>
      <w:r>
        <w:rPr>
          <w:spacing w:val="-24"/>
        </w:rPr>
        <w:t> </w:t>
      </w:r>
      <w:r>
        <w:rPr/>
        <w:t>Kumara</w:t>
      </w:r>
      <w:r>
        <w:rPr>
          <w:spacing w:val="-24"/>
        </w:rPr>
        <w:t> </w:t>
      </w:r>
      <w:r>
        <w:rPr/>
        <w:t>Ward,</w:t>
      </w:r>
      <w:r>
        <w:rPr>
          <w:spacing w:val="-24"/>
        </w:rPr>
        <w:t> </w:t>
      </w:r>
      <w:r>
        <w:rPr/>
        <w:t>the</w:t>
      </w:r>
      <w:r>
        <w:rPr>
          <w:spacing w:val="-24"/>
        </w:rPr>
        <w:t> </w:t>
      </w:r>
      <w:r>
        <w:rPr/>
        <w:t>Inclusive Education Postgraduate Courses Leadership Group</w:t>
      </w:r>
      <w:r>
        <w:rPr>
          <w:spacing w:val="-14"/>
        </w:rPr>
        <w:t> </w:t>
      </w:r>
      <w:r>
        <w:rPr/>
        <w:t>and</w:t>
      </w:r>
      <w:r>
        <w:rPr>
          <w:spacing w:val="-14"/>
        </w:rPr>
        <w:t> </w:t>
      </w:r>
      <w:r>
        <w:rPr/>
        <w:t>the</w:t>
      </w:r>
      <w:r>
        <w:rPr>
          <w:spacing w:val="-14"/>
        </w:rPr>
        <w:t> </w:t>
      </w:r>
      <w:r>
        <w:rPr/>
        <w:t>Paramedicine</w:t>
      </w:r>
      <w:r>
        <w:rPr>
          <w:spacing w:val="-14"/>
        </w:rPr>
        <w:t> </w:t>
      </w:r>
      <w:r>
        <w:rPr/>
        <w:t>Academic</w:t>
      </w:r>
      <w:r>
        <w:rPr>
          <w:spacing w:val="-14"/>
        </w:rPr>
        <w:t> </w:t>
      </w:r>
      <w:r>
        <w:rPr/>
        <w:t>team.</w:t>
      </w:r>
    </w:p>
    <w:p>
      <w:pPr>
        <w:pStyle w:val="BodyText"/>
        <w:spacing w:before="3"/>
        <w:rPr>
          <w:sz w:val="19"/>
        </w:rPr>
      </w:pPr>
    </w:p>
    <w:p>
      <w:pPr>
        <w:pStyle w:val="Heading7"/>
        <w:spacing w:line="249" w:lineRule="auto"/>
        <w:ind w:left="327" w:right="934"/>
      </w:pPr>
      <w:r>
        <w:rPr>
          <w:w w:val="95"/>
        </w:rPr>
        <w:t>BENCHMARKING TEACHING AND LEARNING QUALITY</w:t>
      </w:r>
    </w:p>
    <w:p>
      <w:pPr>
        <w:pStyle w:val="BodyText"/>
        <w:spacing w:line="249" w:lineRule="auto" w:before="50"/>
        <w:ind w:left="327" w:right="193"/>
      </w:pPr>
      <w:r>
        <w:rPr/>
        <w:t>The Australian Government’s Quality Indicators for Learning and Teaching </w:t>
      </w:r>
      <w:r>
        <w:rPr>
          <w:w w:val="92"/>
        </w:rPr>
        <w:t>(QILT) </w:t>
      </w:r>
      <w:r>
        <w:rPr>
          <w:w w:val="98"/>
        </w:rPr>
        <w:t>website </w:t>
      </w:r>
      <w:r>
        <w:rPr>
          <w:w w:val="96"/>
        </w:rPr>
        <w:t>was </w:t>
      </w:r>
      <w:r>
        <w:rPr>
          <w:w w:val="97"/>
        </w:rPr>
        <w:t>launched </w:t>
      </w:r>
      <w:r>
        <w:rPr>
          <w:w w:val="95"/>
        </w:rPr>
        <w:t>in </w:t>
      </w:r>
      <w:r>
        <w:rPr>
          <w:w w:val="88"/>
        </w:rPr>
        <w:t>2015 </w:t>
      </w:r>
      <w:r>
        <w:rPr>
          <w:w w:val="97"/>
        </w:rPr>
        <w:t>and</w:t>
      </w:r>
    </w:p>
    <w:p>
      <w:pPr>
        <w:pStyle w:val="BodyText"/>
        <w:spacing w:line="249" w:lineRule="auto"/>
        <w:ind w:left="327" w:right="179"/>
      </w:pPr>
      <w:r>
        <w:rPr>
          <w:w w:val="98"/>
        </w:rPr>
        <w:t>received </w:t>
      </w:r>
      <w:r>
        <w:rPr>
          <w:w w:val="97"/>
        </w:rPr>
        <w:t>significant </w:t>
      </w:r>
      <w:r>
        <w:rPr>
          <w:w w:val="97"/>
        </w:rPr>
        <w:t>media </w:t>
      </w:r>
      <w:r>
        <w:rPr>
          <w:w w:val="98"/>
        </w:rPr>
        <w:t>attention </w:t>
      </w:r>
      <w:r>
        <w:rPr>
          <w:w w:val="95"/>
        </w:rPr>
        <w:t>in </w:t>
      </w:r>
      <w:r>
        <w:rPr>
          <w:w w:val="85"/>
        </w:rPr>
        <w:t>2016. </w:t>
      </w:r>
      <w:r>
        <w:rPr/>
        <w:t>The site presents student feedback and performance data for 40 Australian higher</w:t>
      </w:r>
    </w:p>
    <w:p>
      <w:pPr>
        <w:pStyle w:val="BodyText"/>
        <w:spacing w:before="1"/>
        <w:rPr>
          <w:sz w:val="20"/>
        </w:rPr>
      </w:pPr>
      <w:r>
        <w:rPr/>
        <w:br w:type="column"/>
      </w:r>
      <w:r>
        <w:rPr>
          <w:sz w:val="20"/>
        </w:rPr>
      </w:r>
    </w:p>
    <w:p>
      <w:pPr>
        <w:pStyle w:val="BodyText"/>
        <w:spacing w:line="249" w:lineRule="auto"/>
        <w:ind w:left="186" w:right="-4"/>
      </w:pPr>
      <w:r>
        <w:rPr/>
        <w:t>education institutions. Western Sydney University performs well compared with its local competitors in the areas of Learner Engagement, Learning Resources, Student Support and Skills Development (see the table below).</w:t>
      </w:r>
    </w:p>
    <w:p>
      <w:pPr>
        <w:pStyle w:val="BodyText"/>
        <w:rPr>
          <w:sz w:val="14"/>
        </w:rPr>
      </w:pPr>
    </w:p>
    <w:p>
      <w:pPr>
        <w:pStyle w:val="BodyText"/>
        <w:spacing w:line="249" w:lineRule="auto"/>
        <w:ind w:left="186" w:right="-4"/>
      </w:pPr>
      <w:r>
        <w:rPr>
          <w:spacing w:val="1"/>
          <w:w w:val="80"/>
        </w:rPr>
        <w:t>In</w:t>
      </w:r>
      <w:r>
        <w:rPr>
          <w:w w:val="80"/>
        </w:rPr>
        <w:t> </w:t>
      </w:r>
      <w:r>
        <w:rPr>
          <w:spacing w:val="2"/>
          <w:w w:val="85"/>
        </w:rPr>
        <w:t>2016,</w:t>
      </w:r>
      <w:r>
        <w:rPr>
          <w:w w:val="85"/>
        </w:rPr>
        <w:t> </w:t>
      </w:r>
      <w:r>
        <w:rPr>
          <w:w w:val="94"/>
        </w:rPr>
        <w:t>a </w:t>
      </w:r>
      <w:r>
        <w:rPr>
          <w:w w:val="97"/>
        </w:rPr>
        <w:t>new </w:t>
      </w:r>
      <w:r>
        <w:rPr>
          <w:spacing w:val="1"/>
          <w:w w:val="95"/>
        </w:rPr>
        <w:t>series</w:t>
      </w:r>
      <w:r>
        <w:rPr>
          <w:w w:val="95"/>
        </w:rPr>
        <w:t> </w:t>
      </w:r>
      <w:r>
        <w:rPr>
          <w:w w:val="99"/>
        </w:rPr>
        <w:t>of </w:t>
      </w:r>
      <w:r>
        <w:rPr>
          <w:spacing w:val="1"/>
          <w:w w:val="97"/>
        </w:rPr>
        <w:t>benchmarked</w:t>
      </w:r>
      <w:r>
        <w:rPr>
          <w:w w:val="97"/>
        </w:rPr>
        <w:t> </w:t>
      </w:r>
      <w:r>
        <w:rPr>
          <w:w w:val="98"/>
        </w:rPr>
        <w:t>trend </w:t>
      </w:r>
      <w:r>
        <w:rPr/>
        <w:t>reports on key QILT data and other teaching and</w:t>
      </w:r>
      <w:r>
        <w:rPr>
          <w:spacing w:val="-16"/>
        </w:rPr>
        <w:t> </w:t>
      </w:r>
      <w:r>
        <w:rPr/>
        <w:t>learning</w:t>
      </w:r>
      <w:r>
        <w:rPr>
          <w:spacing w:val="-16"/>
        </w:rPr>
        <w:t> </w:t>
      </w:r>
      <w:r>
        <w:rPr/>
        <w:t>performance</w:t>
      </w:r>
      <w:r>
        <w:rPr>
          <w:spacing w:val="-16"/>
        </w:rPr>
        <w:t> </w:t>
      </w:r>
      <w:r>
        <w:rPr/>
        <w:t>data</w:t>
      </w:r>
      <w:r>
        <w:rPr>
          <w:spacing w:val="-16"/>
        </w:rPr>
        <w:t> </w:t>
      </w:r>
      <w:r>
        <w:rPr/>
        <w:t>were</w:t>
      </w:r>
      <w:r>
        <w:rPr>
          <w:spacing w:val="-16"/>
        </w:rPr>
        <w:t> </w:t>
      </w:r>
      <w:r>
        <w:rPr/>
        <w:t>prepared for the Senate Education Committee, the University’s Executive Committee and Schools, to support planning and monitoring of</w:t>
      </w:r>
      <w:r>
        <w:rPr>
          <w:spacing w:val="-21"/>
        </w:rPr>
        <w:t> </w:t>
      </w:r>
      <w:r>
        <w:rPr/>
        <w:t>teaching</w:t>
      </w:r>
      <w:r>
        <w:rPr>
          <w:spacing w:val="-21"/>
        </w:rPr>
        <w:t> </w:t>
      </w:r>
      <w:r>
        <w:rPr/>
        <w:t>and</w:t>
      </w:r>
      <w:r>
        <w:rPr>
          <w:spacing w:val="-21"/>
        </w:rPr>
        <w:t> </w:t>
      </w:r>
      <w:r>
        <w:rPr/>
        <w:t>learning</w:t>
      </w:r>
      <w:r>
        <w:rPr>
          <w:spacing w:val="-21"/>
        </w:rPr>
        <w:t> </w:t>
      </w:r>
      <w:r>
        <w:rPr/>
        <w:t>strategies.</w:t>
      </w:r>
    </w:p>
    <w:p>
      <w:pPr>
        <w:pStyle w:val="BodyText"/>
        <w:spacing w:before="7"/>
        <w:rPr>
          <w:sz w:val="20"/>
        </w:rPr>
      </w:pPr>
      <w:r>
        <w:rPr/>
        <w:br w:type="column"/>
      </w:r>
      <w:r>
        <w:rPr>
          <w:sz w:val="20"/>
        </w:rPr>
      </w:r>
    </w:p>
    <w:p>
      <w:pPr>
        <w:pStyle w:val="Heading7"/>
        <w:spacing w:line="249" w:lineRule="auto"/>
        <w:ind w:left="207" w:right="1161"/>
      </w:pPr>
      <w:r>
        <w:rPr>
          <w:w w:val="95"/>
        </w:rPr>
        <w:t>CURRICULUM DEVELOPMENT AND RENEWAL</w:t>
      </w:r>
    </w:p>
    <w:p>
      <w:pPr>
        <w:pStyle w:val="BodyText"/>
        <w:spacing w:line="249" w:lineRule="auto" w:before="50"/>
        <w:ind w:left="207" w:right="289"/>
      </w:pPr>
      <w:r>
        <w:rPr>
          <w:w w:val="80"/>
        </w:rPr>
        <w:t>In </w:t>
      </w:r>
      <w:r>
        <w:rPr>
          <w:w w:val="85"/>
        </w:rPr>
        <w:t>2016, </w:t>
      </w:r>
      <w:r>
        <w:rPr>
          <w:w w:val="97"/>
        </w:rPr>
        <w:t>the </w:t>
      </w:r>
      <w:r>
        <w:rPr>
          <w:w w:val="97"/>
        </w:rPr>
        <w:t>University </w:t>
      </w:r>
      <w:r>
        <w:rPr>
          <w:w w:val="98"/>
        </w:rPr>
        <w:t>expanded </w:t>
      </w:r>
      <w:r>
        <w:rPr>
          <w:w w:val="97"/>
        </w:rPr>
        <w:t>its </w:t>
      </w:r>
      <w:r>
        <w:rPr>
          <w:w w:val="98"/>
        </w:rPr>
        <w:t>academic </w:t>
      </w:r>
      <w:r>
        <w:rPr/>
        <w:t>program by approving 13 postgraduate and 20 undergraduate courses for implementation </w:t>
      </w:r>
      <w:r>
        <w:rPr>
          <w:w w:val="95"/>
        </w:rPr>
        <w:t>in </w:t>
      </w:r>
      <w:r>
        <w:rPr>
          <w:w w:val="83"/>
        </w:rPr>
        <w:t>2017.</w:t>
      </w:r>
    </w:p>
    <w:p>
      <w:pPr>
        <w:pStyle w:val="BodyText"/>
        <w:rPr>
          <w:sz w:val="14"/>
        </w:rPr>
      </w:pPr>
    </w:p>
    <w:p>
      <w:pPr>
        <w:pStyle w:val="BodyText"/>
        <w:spacing w:line="249" w:lineRule="auto"/>
        <w:ind w:left="207" w:right="213"/>
      </w:pPr>
      <w:r>
        <w:rPr/>
        <w:pict>
          <v:group style="position:absolute;margin-left:34.015999pt;margin-top:79.803207pt;width:527.25pt;height:394.05pt;mso-position-horizontal-relative:page;mso-position-vertical-relative:paragraph;z-index:-336112" coordorigin="680,1596" coordsize="10545,7881">
            <v:rect style="position:absolute;left:680;top:1596;width:10545;height:7880" filled="true" fillcolor="#e9e9e9" stroked="false">
              <v:fill type="solid"/>
            </v:rect>
            <v:shape style="position:absolute;left:907;top:1828;width:10059;height:160" type="#_x0000_t202" filled="false" stroked="false">
              <v:textbox inset="0,0,0,0">
                <w:txbxContent>
                  <w:p>
                    <w:pPr>
                      <w:spacing w:line="160" w:lineRule="exact" w:before="0"/>
                      <w:ind w:left="0" w:right="0" w:firstLine="0"/>
                      <w:jc w:val="left"/>
                      <w:rPr>
                        <w:rFonts w:ascii="Gotham Narrow Bold"/>
                        <w:b/>
                        <w:sz w:val="16"/>
                      </w:rPr>
                    </w:pPr>
                    <w:r>
                      <w:rPr>
                        <w:rFonts w:ascii="Gotham Narrow Bold"/>
                        <w:b/>
                        <w:w w:val="95"/>
                        <w:sz w:val="16"/>
                      </w:rPr>
                      <w:t>2015 QILT STUDENT EXPERIENCE SURVEY, WESTERN SYDNEY UNIVERSITY COMPARED WITH NSW INSTITUTIONS AND ALL  INSTITUTIONS</w:t>
                    </w:r>
                  </w:p>
                </w:txbxContent>
              </v:textbox>
              <w10:wrap type="none"/>
            </v:shape>
            <v:shape style="position:absolute;left:908;top:9142;width:2361;height:160" type="#_x0000_t202" filled="false" stroked="false">
              <v:textbox inset="0,0,0,0">
                <w:txbxContent>
                  <w:p>
                    <w:pPr>
                      <w:spacing w:line="160" w:lineRule="exact" w:before="0"/>
                      <w:ind w:left="0" w:right="-8" w:firstLine="0"/>
                      <w:jc w:val="left"/>
                      <w:rPr>
                        <w:sz w:val="16"/>
                      </w:rPr>
                    </w:pPr>
                    <w:r>
                      <w:rPr>
                        <w:sz w:val="16"/>
                      </w:rPr>
                      <w:t>Source:</w:t>
                    </w:r>
                    <w:r>
                      <w:rPr>
                        <w:spacing w:val="-17"/>
                        <w:sz w:val="16"/>
                      </w:rPr>
                      <w:t> </w:t>
                    </w:r>
                    <w:r>
                      <w:rPr>
                        <w:spacing w:val="2"/>
                        <w:sz w:val="16"/>
                      </w:rPr>
                      <w:t>OQP</w:t>
                    </w:r>
                    <w:r>
                      <w:rPr>
                        <w:spacing w:val="-17"/>
                        <w:sz w:val="16"/>
                      </w:rPr>
                      <w:t> </w:t>
                    </w:r>
                    <w:r>
                      <w:rPr>
                        <w:sz w:val="16"/>
                      </w:rPr>
                      <w:t>SES</w:t>
                    </w:r>
                    <w:r>
                      <w:rPr>
                        <w:spacing w:val="-17"/>
                        <w:sz w:val="16"/>
                      </w:rPr>
                      <w:t> </w:t>
                    </w:r>
                    <w:r>
                      <w:rPr>
                        <w:sz w:val="16"/>
                      </w:rPr>
                      <w:t>Reporting</w:t>
                    </w:r>
                    <w:r>
                      <w:rPr>
                        <w:spacing w:val="-17"/>
                        <w:sz w:val="16"/>
                      </w:rPr>
                      <w:t> </w:t>
                    </w:r>
                    <w:r>
                      <w:rPr>
                        <w:sz w:val="16"/>
                      </w:rPr>
                      <w:t>Cube.</w:t>
                    </w:r>
                  </w:p>
                </w:txbxContent>
              </v:textbox>
              <w10:wrap type="none"/>
            </v:shape>
            <w10:wrap type="none"/>
          </v:group>
        </w:pict>
      </w:r>
      <w:r>
        <w:rPr/>
        <w:t>Following the successful blending of 1,146 </w:t>
      </w:r>
      <w:r>
        <w:rPr>
          <w:w w:val="97"/>
        </w:rPr>
        <w:t>undergraduate </w:t>
      </w:r>
      <w:r>
        <w:rPr>
          <w:w w:val="96"/>
        </w:rPr>
        <w:t>units </w:t>
      </w:r>
      <w:r>
        <w:rPr>
          <w:w w:val="102"/>
        </w:rPr>
        <w:t>by </w:t>
      </w:r>
      <w:r>
        <w:rPr>
          <w:w w:val="97"/>
        </w:rPr>
        <w:t>the </w:t>
      </w:r>
      <w:r>
        <w:rPr>
          <w:w w:val="97"/>
        </w:rPr>
        <w:t>end </w:t>
      </w:r>
      <w:r>
        <w:rPr>
          <w:w w:val="99"/>
        </w:rPr>
        <w:t>of </w:t>
      </w:r>
      <w:r>
        <w:rPr>
          <w:w w:val="84"/>
        </w:rPr>
        <w:t>2015, </w:t>
      </w:r>
      <w:r>
        <w:rPr>
          <w:w w:val="98"/>
        </w:rPr>
        <w:t>focus </w:t>
      </w:r>
      <w:r>
        <w:rPr/>
        <w:t>shifted to supporting the design of units and courses for online delivery, and more active learning using next generation learning studio </w:t>
      </w:r>
      <w:r>
        <w:rPr>
          <w:w w:val="97"/>
        </w:rPr>
        <w:t>spaces </w:t>
      </w:r>
      <w:r>
        <w:rPr>
          <w:w w:val="98"/>
        </w:rPr>
        <w:t>on </w:t>
      </w:r>
      <w:r>
        <w:rPr>
          <w:w w:val="93"/>
        </w:rPr>
        <w:t>campus. </w:t>
      </w:r>
      <w:r>
        <w:rPr>
          <w:w w:val="97"/>
        </w:rPr>
        <w:t>During </w:t>
      </w:r>
      <w:r>
        <w:rPr>
          <w:w w:val="85"/>
        </w:rPr>
        <w:t>2016, </w:t>
      </w:r>
      <w:r>
        <w:rPr>
          <w:w w:val="97"/>
        </w:rPr>
        <w:t>the </w:t>
      </w:r>
      <w:r>
        <w:rPr>
          <w:w w:val="98"/>
        </w:rPr>
        <w:t>focus </w:t>
      </w:r>
      <w:r>
        <w:rPr>
          <w:w w:val="96"/>
        </w:rPr>
        <w:t>was </w:t>
      </w:r>
      <w:r>
        <w:rPr/>
        <w:t>on integrating ‘flipped classroom’ approaches</w:t>
      </w:r>
    </w:p>
    <w:p>
      <w:pPr>
        <w:spacing w:after="0" w:line="249" w:lineRule="auto"/>
        <w:sectPr>
          <w:type w:val="continuous"/>
          <w:pgSz w:w="11910" w:h="16840"/>
          <w:pgMar w:top="1580" w:bottom="280" w:left="580" w:right="580"/>
          <w:cols w:num="3" w:equalWidth="0">
            <w:col w:w="3540" w:space="40"/>
            <w:col w:w="3379" w:space="40"/>
            <w:col w:w="3751"/>
          </w:cols>
        </w:sectPr>
      </w:pPr>
    </w:p>
    <w:p>
      <w:pPr>
        <w:pStyle w:val="BodyText"/>
        <w:rPr>
          <w:sz w:val="20"/>
        </w:rPr>
      </w:pPr>
    </w:p>
    <w:p>
      <w:pPr>
        <w:pStyle w:val="BodyText"/>
        <w:rPr>
          <w:sz w:val="20"/>
        </w:rPr>
      </w:pPr>
    </w:p>
    <w:p>
      <w:pPr>
        <w:pStyle w:val="BodyText"/>
        <w:spacing w:before="6"/>
        <w:rPr>
          <w:sz w:val="17"/>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016"/>
        <w:gridCol w:w="2016"/>
        <w:gridCol w:w="2016"/>
        <w:gridCol w:w="2016"/>
        <w:gridCol w:w="2016"/>
      </w:tblGrid>
      <w:tr>
        <w:trPr>
          <w:trHeight w:val="555" w:hRule="exact"/>
        </w:trPr>
        <w:tc>
          <w:tcPr>
            <w:tcW w:w="4031" w:type="dxa"/>
            <w:gridSpan w:val="2"/>
            <w:tcBorders>
              <w:top w:val="nil"/>
              <w:left w:val="nil"/>
              <w:bottom w:val="nil"/>
              <w:right w:val="single" w:sz="4" w:space="0" w:color="FFFFFF"/>
            </w:tcBorders>
            <w:shd w:val="clear" w:color="auto" w:fill="949290"/>
          </w:tcPr>
          <w:p>
            <w:pPr/>
          </w:p>
        </w:tc>
        <w:tc>
          <w:tcPr>
            <w:tcW w:w="2016" w:type="dxa"/>
            <w:tcBorders>
              <w:top w:val="nil"/>
              <w:left w:val="single" w:sz="4" w:space="0" w:color="FFFFFF"/>
              <w:bottom w:val="nil"/>
              <w:right w:val="single" w:sz="4" w:space="0" w:color="FFFFFF"/>
            </w:tcBorders>
            <w:shd w:val="clear" w:color="auto" w:fill="949290"/>
          </w:tcPr>
          <w:p>
            <w:pPr>
              <w:pStyle w:val="TableParagraph"/>
              <w:spacing w:line="249" w:lineRule="auto" w:before="87"/>
              <w:ind w:left="876" w:right="299" w:hanging="398"/>
              <w:jc w:val="left"/>
              <w:rPr>
                <w:rFonts w:ascii="Gotham Narrow Bold"/>
                <w:b/>
                <w:sz w:val="16"/>
              </w:rPr>
            </w:pPr>
            <w:r>
              <w:rPr>
                <w:rFonts w:ascii="Gotham Narrow Bold"/>
                <w:b/>
                <w:color w:val="FFFFFF"/>
                <w:w w:val="95"/>
                <w:sz w:val="16"/>
              </w:rPr>
              <w:t>COMMENCING </w:t>
            </w:r>
            <w:r>
              <w:rPr>
                <w:rFonts w:ascii="Gotham Narrow Bold"/>
                <w:b/>
                <w:color w:val="FFFFFF"/>
                <w:sz w:val="16"/>
              </w:rPr>
              <w:t>(%)</w:t>
            </w:r>
          </w:p>
        </w:tc>
        <w:tc>
          <w:tcPr>
            <w:tcW w:w="2016" w:type="dxa"/>
            <w:tcBorders>
              <w:top w:val="nil"/>
              <w:left w:val="single" w:sz="4" w:space="0" w:color="FFFFFF"/>
              <w:bottom w:val="nil"/>
              <w:right w:val="single" w:sz="4" w:space="0" w:color="FFFFFF"/>
            </w:tcBorders>
            <w:shd w:val="clear" w:color="auto" w:fill="949290"/>
          </w:tcPr>
          <w:p>
            <w:pPr>
              <w:pStyle w:val="TableParagraph"/>
              <w:spacing w:line="249" w:lineRule="auto" w:before="87"/>
              <w:ind w:left="876" w:right="299" w:hanging="365"/>
              <w:jc w:val="left"/>
              <w:rPr>
                <w:rFonts w:ascii="Gotham Narrow Bold"/>
                <w:b/>
                <w:sz w:val="16"/>
              </w:rPr>
            </w:pPr>
            <w:r>
              <w:rPr>
                <w:rFonts w:ascii="Gotham Narrow Bold"/>
                <w:b/>
                <w:color w:val="FFFFFF"/>
                <w:w w:val="95"/>
                <w:sz w:val="16"/>
              </w:rPr>
              <w:t>COMPLETING </w:t>
            </w:r>
            <w:r>
              <w:rPr>
                <w:rFonts w:ascii="Gotham Narrow Bold"/>
                <w:b/>
                <w:color w:val="FFFFFF"/>
                <w:sz w:val="16"/>
              </w:rPr>
              <w:t>(%)</w:t>
            </w:r>
          </w:p>
        </w:tc>
        <w:tc>
          <w:tcPr>
            <w:tcW w:w="2016" w:type="dxa"/>
            <w:tcBorders>
              <w:top w:val="nil"/>
              <w:left w:val="single" w:sz="4" w:space="0" w:color="FFFFFF"/>
              <w:bottom w:val="nil"/>
              <w:right w:val="nil"/>
            </w:tcBorders>
            <w:shd w:val="clear" w:color="auto" w:fill="949290"/>
          </w:tcPr>
          <w:p>
            <w:pPr>
              <w:pStyle w:val="TableParagraph"/>
              <w:spacing w:line="249" w:lineRule="auto" w:before="87"/>
              <w:ind w:left="618" w:hanging="421"/>
              <w:jc w:val="left"/>
              <w:rPr>
                <w:rFonts w:ascii="Gotham Narrow Bold"/>
                <w:b/>
                <w:sz w:val="16"/>
              </w:rPr>
            </w:pPr>
            <w:r>
              <w:rPr>
                <w:rFonts w:ascii="Gotham Narrow Bold"/>
                <w:b/>
                <w:color w:val="FFFFFF"/>
                <w:w w:val="95"/>
                <w:sz w:val="16"/>
              </w:rPr>
              <w:t>ALL COMMENCEMENT DATES (%)</w:t>
            </w:r>
          </w:p>
        </w:tc>
      </w:tr>
      <w:tr>
        <w:trPr>
          <w:trHeight w:val="355" w:hRule="exact"/>
        </w:trPr>
        <w:tc>
          <w:tcPr>
            <w:tcW w:w="2016" w:type="dxa"/>
            <w:vMerge w:val="restart"/>
            <w:tcBorders>
              <w:top w:val="nil"/>
            </w:tcBorders>
            <w:shd w:val="clear" w:color="auto" w:fill="E9E9E9"/>
          </w:tcPr>
          <w:p>
            <w:pPr>
              <w:pStyle w:val="TableParagraph"/>
              <w:spacing w:before="87"/>
              <w:ind w:left="51" w:right="299"/>
              <w:jc w:val="left"/>
              <w:rPr>
                <w:rFonts w:ascii="Gotham Narrow Bold"/>
                <w:b/>
                <w:sz w:val="16"/>
              </w:rPr>
            </w:pPr>
            <w:r>
              <w:rPr>
                <w:rFonts w:ascii="Gotham Narrow Bold"/>
                <w:b/>
                <w:w w:val="95"/>
                <w:sz w:val="16"/>
              </w:rPr>
              <w:t>Skills Development</w:t>
            </w:r>
          </w:p>
        </w:tc>
        <w:tc>
          <w:tcPr>
            <w:tcW w:w="2016" w:type="dxa"/>
            <w:tcBorders>
              <w:top w:val="nil"/>
            </w:tcBorders>
            <w:shd w:val="clear" w:color="auto" w:fill="C8C8C7"/>
          </w:tcPr>
          <w:p>
            <w:pPr>
              <w:pStyle w:val="TableParagraph"/>
              <w:spacing w:before="87"/>
              <w:ind w:left="51" w:right="299"/>
              <w:jc w:val="left"/>
              <w:rPr>
                <w:rFonts w:ascii="Gotham Narrow Bold"/>
                <w:b/>
                <w:sz w:val="16"/>
              </w:rPr>
            </w:pPr>
            <w:r>
              <w:rPr>
                <w:rFonts w:ascii="Gotham Narrow Bold"/>
                <w:b/>
                <w:sz w:val="16"/>
              </w:rPr>
              <w:t>WS</w:t>
            </w:r>
          </w:p>
        </w:tc>
        <w:tc>
          <w:tcPr>
            <w:tcW w:w="2016" w:type="dxa"/>
            <w:tcBorders>
              <w:top w:val="nil"/>
            </w:tcBorders>
            <w:shd w:val="clear" w:color="auto" w:fill="C8C8C7"/>
          </w:tcPr>
          <w:p>
            <w:pPr>
              <w:pStyle w:val="TableParagraph"/>
              <w:spacing w:before="81"/>
              <w:ind w:right="849"/>
              <w:rPr>
                <w:sz w:val="16"/>
              </w:rPr>
            </w:pPr>
            <w:r>
              <w:rPr>
                <w:w w:val="95"/>
                <w:sz w:val="16"/>
              </w:rPr>
              <w:t>80.7</w:t>
            </w:r>
          </w:p>
        </w:tc>
        <w:tc>
          <w:tcPr>
            <w:tcW w:w="2016" w:type="dxa"/>
            <w:tcBorders>
              <w:top w:val="nil"/>
            </w:tcBorders>
            <w:shd w:val="clear" w:color="auto" w:fill="C8C8C7"/>
          </w:tcPr>
          <w:p>
            <w:pPr>
              <w:pStyle w:val="TableParagraph"/>
              <w:spacing w:before="81"/>
              <w:ind w:left="806" w:right="804"/>
              <w:jc w:val="center"/>
              <w:rPr>
                <w:sz w:val="16"/>
              </w:rPr>
            </w:pPr>
            <w:r>
              <w:rPr>
                <w:sz w:val="16"/>
              </w:rPr>
              <w:t>83.9</w:t>
            </w:r>
          </w:p>
        </w:tc>
        <w:tc>
          <w:tcPr>
            <w:tcW w:w="2016" w:type="dxa"/>
            <w:tcBorders>
              <w:top w:val="nil"/>
            </w:tcBorders>
            <w:shd w:val="clear" w:color="auto" w:fill="C8C8C7"/>
          </w:tcPr>
          <w:p>
            <w:pPr>
              <w:pStyle w:val="TableParagraph"/>
              <w:spacing w:before="87"/>
              <w:ind w:left="804" w:right="804"/>
              <w:jc w:val="center"/>
              <w:rPr>
                <w:rFonts w:ascii="Gotham Narrow Bold"/>
                <w:b/>
                <w:sz w:val="16"/>
              </w:rPr>
            </w:pPr>
            <w:r>
              <w:rPr>
                <w:rFonts w:ascii="Gotham Narrow Bold"/>
                <w:b/>
                <w:sz w:val="16"/>
              </w:rPr>
              <w:t>81.9</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1" w:right="299"/>
              <w:jc w:val="left"/>
              <w:rPr>
                <w:rFonts w:ascii="Gotham Narrow Bold"/>
                <w:b/>
                <w:sz w:val="16"/>
              </w:rPr>
            </w:pPr>
            <w:r>
              <w:rPr>
                <w:rFonts w:ascii="Gotham Narrow Bold"/>
                <w:b/>
                <w:sz w:val="16"/>
              </w:rPr>
              <w:t>NSW</w:t>
            </w:r>
          </w:p>
        </w:tc>
        <w:tc>
          <w:tcPr>
            <w:tcW w:w="2016" w:type="dxa"/>
            <w:shd w:val="clear" w:color="auto" w:fill="FFFFFF"/>
          </w:tcPr>
          <w:p>
            <w:pPr>
              <w:pStyle w:val="TableParagraph"/>
              <w:spacing w:before="76"/>
              <w:ind w:right="846"/>
              <w:rPr>
                <w:sz w:val="16"/>
              </w:rPr>
            </w:pPr>
            <w:r>
              <w:rPr>
                <w:w w:val="90"/>
                <w:sz w:val="16"/>
              </w:rPr>
              <w:t>78.5</w:t>
            </w:r>
          </w:p>
        </w:tc>
        <w:tc>
          <w:tcPr>
            <w:tcW w:w="2016" w:type="dxa"/>
            <w:shd w:val="clear" w:color="auto" w:fill="FFFFFF"/>
          </w:tcPr>
          <w:p>
            <w:pPr>
              <w:pStyle w:val="TableParagraph"/>
              <w:spacing w:before="76"/>
              <w:ind w:left="804" w:right="804"/>
              <w:jc w:val="center"/>
              <w:rPr>
                <w:sz w:val="16"/>
              </w:rPr>
            </w:pPr>
            <w:r>
              <w:rPr>
                <w:sz w:val="16"/>
              </w:rPr>
              <w:t>82.8</w:t>
            </w:r>
          </w:p>
        </w:tc>
        <w:tc>
          <w:tcPr>
            <w:tcW w:w="2016" w:type="dxa"/>
            <w:shd w:val="clear" w:color="auto" w:fill="E9E9E9"/>
          </w:tcPr>
          <w:p>
            <w:pPr>
              <w:pStyle w:val="TableParagraph"/>
              <w:spacing w:before="82"/>
              <w:ind w:left="804" w:right="804"/>
              <w:jc w:val="center"/>
              <w:rPr>
                <w:rFonts w:ascii="Gotham Narrow Bold"/>
                <w:b/>
                <w:sz w:val="16"/>
              </w:rPr>
            </w:pPr>
            <w:r>
              <w:rPr>
                <w:rFonts w:ascii="Gotham Narrow Bold"/>
                <w:b/>
                <w:sz w:val="16"/>
              </w:rPr>
              <w:t>80.1</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1" w:right="299"/>
              <w:jc w:val="left"/>
              <w:rPr>
                <w:rFonts w:ascii="Gotham Narrow Bold"/>
                <w:b/>
                <w:sz w:val="16"/>
              </w:rPr>
            </w:pPr>
            <w:r>
              <w:rPr>
                <w:rFonts w:ascii="Gotham Narrow Bold"/>
                <w:b/>
                <w:sz w:val="16"/>
              </w:rPr>
              <w:t>All</w:t>
            </w:r>
          </w:p>
        </w:tc>
        <w:tc>
          <w:tcPr>
            <w:tcW w:w="2016" w:type="dxa"/>
            <w:shd w:val="clear" w:color="auto" w:fill="FFFFFF"/>
          </w:tcPr>
          <w:p>
            <w:pPr>
              <w:pStyle w:val="TableParagraph"/>
              <w:spacing w:before="76"/>
              <w:ind w:right="852"/>
              <w:rPr>
                <w:sz w:val="16"/>
              </w:rPr>
            </w:pPr>
            <w:r>
              <w:rPr>
                <w:w w:val="95"/>
                <w:sz w:val="16"/>
              </w:rPr>
              <w:t>79.6</w:t>
            </w:r>
          </w:p>
        </w:tc>
        <w:tc>
          <w:tcPr>
            <w:tcW w:w="2016" w:type="dxa"/>
            <w:shd w:val="clear" w:color="auto" w:fill="FFFFFF"/>
          </w:tcPr>
          <w:p>
            <w:pPr>
              <w:pStyle w:val="TableParagraph"/>
              <w:spacing w:before="76"/>
              <w:ind w:left="804" w:right="804"/>
              <w:jc w:val="center"/>
              <w:rPr>
                <w:sz w:val="16"/>
              </w:rPr>
            </w:pPr>
            <w:r>
              <w:rPr>
                <w:sz w:val="16"/>
              </w:rPr>
              <w:t>83.7</w:t>
            </w:r>
          </w:p>
        </w:tc>
        <w:tc>
          <w:tcPr>
            <w:tcW w:w="2016" w:type="dxa"/>
            <w:shd w:val="clear" w:color="auto" w:fill="E9E9E9"/>
          </w:tcPr>
          <w:p>
            <w:pPr>
              <w:pStyle w:val="TableParagraph"/>
              <w:spacing w:before="82"/>
              <w:ind w:left="804" w:right="804"/>
              <w:jc w:val="center"/>
              <w:rPr>
                <w:rFonts w:ascii="Gotham Narrow Bold"/>
                <w:b/>
                <w:sz w:val="16"/>
              </w:rPr>
            </w:pPr>
            <w:r>
              <w:rPr>
                <w:rFonts w:ascii="Gotham Narrow Bold"/>
                <w:b/>
                <w:sz w:val="16"/>
              </w:rPr>
              <w:t>81.1</w:t>
            </w:r>
          </w:p>
        </w:tc>
      </w:tr>
      <w:tr>
        <w:trPr>
          <w:trHeight w:val="355" w:hRule="exact"/>
        </w:trPr>
        <w:tc>
          <w:tcPr>
            <w:tcW w:w="2016" w:type="dxa"/>
            <w:vMerge w:val="restart"/>
            <w:shd w:val="clear" w:color="auto" w:fill="E9E9E9"/>
          </w:tcPr>
          <w:p>
            <w:pPr>
              <w:pStyle w:val="TableParagraph"/>
              <w:spacing w:before="82"/>
              <w:ind w:left="52" w:right="299"/>
              <w:jc w:val="left"/>
              <w:rPr>
                <w:rFonts w:ascii="Gotham Narrow Bold"/>
                <w:b/>
                <w:sz w:val="16"/>
              </w:rPr>
            </w:pPr>
            <w:r>
              <w:rPr>
                <w:rFonts w:ascii="Gotham Narrow Bold"/>
                <w:b/>
                <w:w w:val="95"/>
                <w:sz w:val="16"/>
              </w:rPr>
              <w:t>Learner Engagement</w:t>
            </w:r>
          </w:p>
        </w:tc>
        <w:tc>
          <w:tcPr>
            <w:tcW w:w="2016" w:type="dxa"/>
            <w:shd w:val="clear" w:color="auto" w:fill="C8C8C7"/>
          </w:tcPr>
          <w:p>
            <w:pPr>
              <w:pStyle w:val="TableParagraph"/>
              <w:spacing w:before="82"/>
              <w:ind w:left="52" w:right="299"/>
              <w:jc w:val="left"/>
              <w:rPr>
                <w:rFonts w:ascii="Gotham Narrow Bold"/>
                <w:b/>
                <w:sz w:val="16"/>
              </w:rPr>
            </w:pPr>
            <w:r>
              <w:rPr>
                <w:rFonts w:ascii="Gotham Narrow Bold"/>
                <w:b/>
                <w:sz w:val="16"/>
              </w:rPr>
              <w:t>WS</w:t>
            </w:r>
          </w:p>
        </w:tc>
        <w:tc>
          <w:tcPr>
            <w:tcW w:w="2016" w:type="dxa"/>
            <w:shd w:val="clear" w:color="auto" w:fill="C8C8C7"/>
          </w:tcPr>
          <w:p>
            <w:pPr>
              <w:pStyle w:val="TableParagraph"/>
              <w:spacing w:before="76"/>
              <w:ind w:right="843"/>
              <w:rPr>
                <w:sz w:val="16"/>
              </w:rPr>
            </w:pPr>
            <w:r>
              <w:rPr>
                <w:w w:val="90"/>
                <w:sz w:val="16"/>
              </w:rPr>
              <w:t>58.5</w:t>
            </w:r>
          </w:p>
        </w:tc>
        <w:tc>
          <w:tcPr>
            <w:tcW w:w="2016" w:type="dxa"/>
            <w:shd w:val="clear" w:color="auto" w:fill="C8C8C7"/>
          </w:tcPr>
          <w:p>
            <w:pPr>
              <w:pStyle w:val="TableParagraph"/>
              <w:spacing w:before="76"/>
              <w:ind w:left="806" w:right="803"/>
              <w:jc w:val="center"/>
              <w:rPr>
                <w:sz w:val="16"/>
              </w:rPr>
            </w:pPr>
            <w:r>
              <w:rPr>
                <w:sz w:val="16"/>
              </w:rPr>
              <w:t>63.0</w:t>
            </w:r>
          </w:p>
        </w:tc>
        <w:tc>
          <w:tcPr>
            <w:tcW w:w="2016" w:type="dxa"/>
            <w:shd w:val="clear" w:color="auto" w:fill="C8C8C7"/>
          </w:tcPr>
          <w:p>
            <w:pPr>
              <w:pStyle w:val="TableParagraph"/>
              <w:spacing w:before="82"/>
              <w:ind w:left="804" w:right="804"/>
              <w:jc w:val="center"/>
              <w:rPr>
                <w:rFonts w:ascii="Gotham Narrow Bold"/>
                <w:b/>
                <w:sz w:val="16"/>
              </w:rPr>
            </w:pPr>
            <w:r>
              <w:rPr>
                <w:rFonts w:ascii="Gotham Narrow Bold"/>
                <w:b/>
                <w:sz w:val="16"/>
              </w:rPr>
              <w:t>60.1</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NSW</w:t>
            </w:r>
          </w:p>
        </w:tc>
        <w:tc>
          <w:tcPr>
            <w:tcW w:w="2016" w:type="dxa"/>
            <w:shd w:val="clear" w:color="auto" w:fill="FFFFFF"/>
          </w:tcPr>
          <w:p>
            <w:pPr>
              <w:pStyle w:val="TableParagraph"/>
              <w:spacing w:before="76"/>
              <w:ind w:right="853"/>
              <w:rPr>
                <w:sz w:val="16"/>
              </w:rPr>
            </w:pPr>
            <w:r>
              <w:rPr>
                <w:w w:val="90"/>
                <w:sz w:val="16"/>
              </w:rPr>
              <w:t>56.7</w:t>
            </w:r>
          </w:p>
        </w:tc>
        <w:tc>
          <w:tcPr>
            <w:tcW w:w="2016" w:type="dxa"/>
            <w:shd w:val="clear" w:color="auto" w:fill="FFFFFF"/>
          </w:tcPr>
          <w:p>
            <w:pPr>
              <w:pStyle w:val="TableParagraph"/>
              <w:spacing w:before="76"/>
              <w:ind w:left="804" w:right="804"/>
              <w:jc w:val="center"/>
              <w:rPr>
                <w:sz w:val="16"/>
              </w:rPr>
            </w:pPr>
            <w:r>
              <w:rPr>
                <w:sz w:val="16"/>
              </w:rPr>
              <w:t>60.3</w:t>
            </w:r>
          </w:p>
        </w:tc>
        <w:tc>
          <w:tcPr>
            <w:tcW w:w="2016" w:type="dxa"/>
            <w:shd w:val="clear" w:color="auto" w:fill="E9E9E9"/>
          </w:tcPr>
          <w:p>
            <w:pPr>
              <w:pStyle w:val="TableParagraph"/>
              <w:spacing w:before="82"/>
              <w:ind w:left="806" w:right="804"/>
              <w:jc w:val="center"/>
              <w:rPr>
                <w:rFonts w:ascii="Gotham Narrow Bold"/>
                <w:b/>
                <w:sz w:val="16"/>
              </w:rPr>
            </w:pPr>
            <w:r>
              <w:rPr>
                <w:rFonts w:ascii="Gotham Narrow Bold"/>
                <w:b/>
                <w:sz w:val="16"/>
              </w:rPr>
              <w:t>58.0</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All</w:t>
            </w:r>
          </w:p>
        </w:tc>
        <w:tc>
          <w:tcPr>
            <w:tcW w:w="2016" w:type="dxa"/>
            <w:shd w:val="clear" w:color="auto" w:fill="FFFFFF"/>
          </w:tcPr>
          <w:p>
            <w:pPr>
              <w:pStyle w:val="TableParagraph"/>
              <w:spacing w:before="76"/>
              <w:ind w:right="847"/>
              <w:rPr>
                <w:sz w:val="16"/>
              </w:rPr>
            </w:pPr>
            <w:r>
              <w:rPr>
                <w:w w:val="95"/>
                <w:sz w:val="16"/>
              </w:rPr>
              <w:t>59.0</w:t>
            </w:r>
          </w:p>
        </w:tc>
        <w:tc>
          <w:tcPr>
            <w:tcW w:w="2016" w:type="dxa"/>
            <w:shd w:val="clear" w:color="auto" w:fill="FFFFFF"/>
          </w:tcPr>
          <w:p>
            <w:pPr>
              <w:pStyle w:val="TableParagraph"/>
              <w:spacing w:before="76"/>
              <w:ind w:left="805" w:right="804"/>
              <w:jc w:val="center"/>
              <w:rPr>
                <w:sz w:val="16"/>
              </w:rPr>
            </w:pPr>
            <w:r>
              <w:rPr>
                <w:sz w:val="16"/>
              </w:rPr>
              <w:t>62.2</w:t>
            </w:r>
          </w:p>
        </w:tc>
        <w:tc>
          <w:tcPr>
            <w:tcW w:w="2016" w:type="dxa"/>
            <w:shd w:val="clear" w:color="auto" w:fill="E9E9E9"/>
          </w:tcPr>
          <w:p>
            <w:pPr>
              <w:pStyle w:val="TableParagraph"/>
              <w:spacing w:before="82"/>
              <w:ind w:left="805" w:right="804"/>
              <w:jc w:val="center"/>
              <w:rPr>
                <w:rFonts w:ascii="Gotham Narrow Bold"/>
                <w:b/>
                <w:sz w:val="16"/>
              </w:rPr>
            </w:pPr>
            <w:r>
              <w:rPr>
                <w:rFonts w:ascii="Gotham Narrow Bold"/>
                <w:b/>
                <w:sz w:val="16"/>
              </w:rPr>
              <w:t>60.2</w:t>
            </w:r>
          </w:p>
        </w:tc>
      </w:tr>
      <w:tr>
        <w:trPr>
          <w:trHeight w:val="355" w:hRule="exact"/>
        </w:trPr>
        <w:tc>
          <w:tcPr>
            <w:tcW w:w="2016" w:type="dxa"/>
            <w:vMerge w:val="restart"/>
            <w:shd w:val="clear" w:color="auto" w:fill="E9E9E9"/>
          </w:tcPr>
          <w:p>
            <w:pPr>
              <w:pStyle w:val="TableParagraph"/>
              <w:spacing w:before="82"/>
              <w:ind w:left="52" w:right="299"/>
              <w:jc w:val="left"/>
              <w:rPr>
                <w:rFonts w:ascii="Gotham Narrow Bold"/>
                <w:b/>
                <w:sz w:val="16"/>
              </w:rPr>
            </w:pPr>
            <w:r>
              <w:rPr>
                <w:rFonts w:ascii="Gotham Narrow Bold"/>
                <w:b/>
                <w:w w:val="95"/>
                <w:sz w:val="16"/>
              </w:rPr>
              <w:t>Teaching Quality</w:t>
            </w:r>
          </w:p>
        </w:tc>
        <w:tc>
          <w:tcPr>
            <w:tcW w:w="2016" w:type="dxa"/>
            <w:shd w:val="clear" w:color="auto" w:fill="C8C8C7"/>
          </w:tcPr>
          <w:p>
            <w:pPr>
              <w:pStyle w:val="TableParagraph"/>
              <w:spacing w:before="82"/>
              <w:ind w:left="52" w:right="299"/>
              <w:jc w:val="left"/>
              <w:rPr>
                <w:rFonts w:ascii="Gotham Narrow Bold"/>
                <w:b/>
                <w:sz w:val="16"/>
              </w:rPr>
            </w:pPr>
            <w:r>
              <w:rPr>
                <w:rFonts w:ascii="Gotham Narrow Bold"/>
                <w:b/>
                <w:sz w:val="16"/>
              </w:rPr>
              <w:t>WS</w:t>
            </w:r>
          </w:p>
        </w:tc>
        <w:tc>
          <w:tcPr>
            <w:tcW w:w="2016" w:type="dxa"/>
            <w:shd w:val="clear" w:color="auto" w:fill="C8C8C7"/>
          </w:tcPr>
          <w:p>
            <w:pPr>
              <w:pStyle w:val="TableParagraph"/>
              <w:spacing w:before="76"/>
              <w:ind w:right="888"/>
              <w:rPr>
                <w:sz w:val="16"/>
              </w:rPr>
            </w:pPr>
            <w:r>
              <w:rPr>
                <w:w w:val="70"/>
                <w:sz w:val="16"/>
              </w:rPr>
              <w:t>81.1</w:t>
            </w:r>
          </w:p>
        </w:tc>
        <w:tc>
          <w:tcPr>
            <w:tcW w:w="2016" w:type="dxa"/>
            <w:shd w:val="clear" w:color="auto" w:fill="C8C8C7"/>
          </w:tcPr>
          <w:p>
            <w:pPr>
              <w:pStyle w:val="TableParagraph"/>
              <w:spacing w:before="76"/>
              <w:ind w:left="805" w:right="804"/>
              <w:jc w:val="center"/>
              <w:rPr>
                <w:sz w:val="16"/>
              </w:rPr>
            </w:pPr>
            <w:r>
              <w:rPr>
                <w:sz w:val="16"/>
              </w:rPr>
              <w:t>76.7</w:t>
            </w:r>
          </w:p>
        </w:tc>
        <w:tc>
          <w:tcPr>
            <w:tcW w:w="2016" w:type="dxa"/>
            <w:shd w:val="clear" w:color="auto" w:fill="C8C8C7"/>
          </w:tcPr>
          <w:p>
            <w:pPr>
              <w:pStyle w:val="TableParagraph"/>
              <w:spacing w:before="82"/>
              <w:ind w:left="805" w:right="804"/>
              <w:jc w:val="center"/>
              <w:rPr>
                <w:rFonts w:ascii="Gotham Narrow Bold"/>
                <w:b/>
                <w:sz w:val="16"/>
              </w:rPr>
            </w:pPr>
            <w:r>
              <w:rPr>
                <w:rFonts w:ascii="Gotham Narrow Bold"/>
                <w:b/>
                <w:sz w:val="16"/>
              </w:rPr>
              <w:t>79.4</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NSW</w:t>
            </w:r>
          </w:p>
        </w:tc>
        <w:tc>
          <w:tcPr>
            <w:tcW w:w="2016" w:type="dxa"/>
            <w:shd w:val="clear" w:color="auto" w:fill="FFFFFF"/>
          </w:tcPr>
          <w:p>
            <w:pPr>
              <w:pStyle w:val="TableParagraph"/>
              <w:spacing w:before="76"/>
              <w:ind w:right="850"/>
              <w:rPr>
                <w:sz w:val="16"/>
              </w:rPr>
            </w:pPr>
            <w:r>
              <w:rPr>
                <w:w w:val="95"/>
                <w:sz w:val="16"/>
              </w:rPr>
              <w:t>82.6</w:t>
            </w:r>
          </w:p>
        </w:tc>
        <w:tc>
          <w:tcPr>
            <w:tcW w:w="2016" w:type="dxa"/>
            <w:shd w:val="clear" w:color="auto" w:fill="FFFFFF"/>
          </w:tcPr>
          <w:p>
            <w:pPr>
              <w:pStyle w:val="TableParagraph"/>
              <w:spacing w:before="76"/>
              <w:ind w:left="862" w:right="299"/>
              <w:jc w:val="left"/>
              <w:rPr>
                <w:sz w:val="16"/>
              </w:rPr>
            </w:pPr>
            <w:r>
              <w:rPr>
                <w:sz w:val="16"/>
              </w:rPr>
              <w:t>77.4</w:t>
            </w:r>
          </w:p>
        </w:tc>
        <w:tc>
          <w:tcPr>
            <w:tcW w:w="2016" w:type="dxa"/>
            <w:shd w:val="clear" w:color="auto" w:fill="E9E9E9"/>
          </w:tcPr>
          <w:p>
            <w:pPr>
              <w:pStyle w:val="TableParagraph"/>
              <w:spacing w:before="82"/>
              <w:ind w:left="805" w:right="804"/>
              <w:jc w:val="center"/>
              <w:rPr>
                <w:rFonts w:ascii="Gotham Narrow Bold"/>
                <w:b/>
                <w:sz w:val="16"/>
              </w:rPr>
            </w:pPr>
            <w:r>
              <w:rPr>
                <w:rFonts w:ascii="Gotham Narrow Bold"/>
                <w:b/>
                <w:sz w:val="16"/>
              </w:rPr>
              <w:t>80.6</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All</w:t>
            </w:r>
          </w:p>
        </w:tc>
        <w:tc>
          <w:tcPr>
            <w:tcW w:w="2016" w:type="dxa"/>
            <w:shd w:val="clear" w:color="auto" w:fill="FFFFFF"/>
          </w:tcPr>
          <w:p>
            <w:pPr>
              <w:pStyle w:val="TableParagraph"/>
              <w:spacing w:before="76"/>
              <w:ind w:right="846"/>
              <w:rPr>
                <w:sz w:val="16"/>
              </w:rPr>
            </w:pPr>
            <w:r>
              <w:rPr>
                <w:w w:val="90"/>
                <w:sz w:val="16"/>
              </w:rPr>
              <w:t>83.9</w:t>
            </w:r>
          </w:p>
        </w:tc>
        <w:tc>
          <w:tcPr>
            <w:tcW w:w="2016" w:type="dxa"/>
            <w:shd w:val="clear" w:color="auto" w:fill="FFFFFF"/>
          </w:tcPr>
          <w:p>
            <w:pPr>
              <w:pStyle w:val="TableParagraph"/>
              <w:spacing w:before="76"/>
              <w:ind w:left="805" w:right="804"/>
              <w:jc w:val="center"/>
              <w:rPr>
                <w:sz w:val="16"/>
              </w:rPr>
            </w:pPr>
            <w:r>
              <w:rPr>
                <w:sz w:val="16"/>
              </w:rPr>
              <w:t>78.0</w:t>
            </w:r>
          </w:p>
        </w:tc>
        <w:tc>
          <w:tcPr>
            <w:tcW w:w="2016" w:type="dxa"/>
            <w:shd w:val="clear" w:color="auto" w:fill="E9E9E9"/>
          </w:tcPr>
          <w:p>
            <w:pPr>
              <w:pStyle w:val="TableParagraph"/>
              <w:spacing w:before="82"/>
              <w:ind w:left="806" w:right="803"/>
              <w:jc w:val="center"/>
              <w:rPr>
                <w:rFonts w:ascii="Gotham Narrow Bold"/>
                <w:b/>
                <w:sz w:val="16"/>
              </w:rPr>
            </w:pPr>
            <w:r>
              <w:rPr>
                <w:rFonts w:ascii="Gotham Narrow Bold"/>
                <w:b/>
                <w:sz w:val="16"/>
              </w:rPr>
              <w:t>81.6</w:t>
            </w:r>
          </w:p>
        </w:tc>
      </w:tr>
      <w:tr>
        <w:trPr>
          <w:trHeight w:val="355" w:hRule="exact"/>
        </w:trPr>
        <w:tc>
          <w:tcPr>
            <w:tcW w:w="2016" w:type="dxa"/>
            <w:vMerge w:val="restart"/>
            <w:shd w:val="clear" w:color="auto" w:fill="E9E9E9"/>
          </w:tcPr>
          <w:p>
            <w:pPr>
              <w:pStyle w:val="TableParagraph"/>
              <w:spacing w:before="82"/>
              <w:ind w:left="52" w:right="299"/>
              <w:jc w:val="left"/>
              <w:rPr>
                <w:rFonts w:ascii="Gotham Narrow Bold"/>
                <w:b/>
                <w:sz w:val="16"/>
              </w:rPr>
            </w:pPr>
            <w:r>
              <w:rPr>
                <w:rFonts w:ascii="Gotham Narrow Bold"/>
                <w:b/>
                <w:w w:val="95"/>
                <w:sz w:val="16"/>
              </w:rPr>
              <w:t>Student Support</w:t>
            </w:r>
          </w:p>
        </w:tc>
        <w:tc>
          <w:tcPr>
            <w:tcW w:w="2016" w:type="dxa"/>
            <w:shd w:val="clear" w:color="auto" w:fill="C8C8C7"/>
          </w:tcPr>
          <w:p>
            <w:pPr>
              <w:pStyle w:val="TableParagraph"/>
              <w:spacing w:before="82"/>
              <w:ind w:left="52" w:right="299"/>
              <w:jc w:val="left"/>
              <w:rPr>
                <w:rFonts w:ascii="Gotham Narrow Bold"/>
                <w:b/>
                <w:sz w:val="16"/>
              </w:rPr>
            </w:pPr>
            <w:r>
              <w:rPr>
                <w:rFonts w:ascii="Gotham Narrow Bold"/>
                <w:b/>
                <w:sz w:val="16"/>
              </w:rPr>
              <w:t>WS</w:t>
            </w:r>
          </w:p>
        </w:tc>
        <w:tc>
          <w:tcPr>
            <w:tcW w:w="2016" w:type="dxa"/>
            <w:shd w:val="clear" w:color="auto" w:fill="C8C8C7"/>
          </w:tcPr>
          <w:p>
            <w:pPr>
              <w:pStyle w:val="TableParagraph"/>
              <w:spacing w:before="76"/>
              <w:ind w:right="853"/>
              <w:rPr>
                <w:sz w:val="16"/>
              </w:rPr>
            </w:pPr>
            <w:r>
              <w:rPr>
                <w:w w:val="90"/>
                <w:sz w:val="16"/>
              </w:rPr>
              <w:t>73.5</w:t>
            </w:r>
          </w:p>
        </w:tc>
        <w:tc>
          <w:tcPr>
            <w:tcW w:w="2016" w:type="dxa"/>
            <w:shd w:val="clear" w:color="auto" w:fill="C8C8C7"/>
          </w:tcPr>
          <w:p>
            <w:pPr>
              <w:pStyle w:val="TableParagraph"/>
              <w:spacing w:before="76"/>
              <w:ind w:left="805" w:right="804"/>
              <w:jc w:val="center"/>
              <w:rPr>
                <w:sz w:val="16"/>
              </w:rPr>
            </w:pPr>
            <w:r>
              <w:rPr>
                <w:sz w:val="16"/>
              </w:rPr>
              <w:t>64.5</w:t>
            </w:r>
          </w:p>
        </w:tc>
        <w:tc>
          <w:tcPr>
            <w:tcW w:w="2016" w:type="dxa"/>
            <w:shd w:val="clear" w:color="auto" w:fill="C8C8C7"/>
          </w:tcPr>
          <w:p>
            <w:pPr>
              <w:pStyle w:val="TableParagraph"/>
              <w:spacing w:before="82"/>
              <w:ind w:left="804" w:right="804"/>
              <w:jc w:val="center"/>
              <w:rPr>
                <w:rFonts w:ascii="Gotham Narrow Bold"/>
                <w:b/>
                <w:sz w:val="16"/>
              </w:rPr>
            </w:pPr>
            <w:r>
              <w:rPr>
                <w:rFonts w:ascii="Gotham Narrow Bold"/>
                <w:b/>
                <w:sz w:val="16"/>
              </w:rPr>
              <w:t>70.1</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NSW</w:t>
            </w:r>
          </w:p>
        </w:tc>
        <w:tc>
          <w:tcPr>
            <w:tcW w:w="2016" w:type="dxa"/>
            <w:shd w:val="clear" w:color="auto" w:fill="FFFFFF"/>
          </w:tcPr>
          <w:p>
            <w:pPr>
              <w:pStyle w:val="TableParagraph"/>
              <w:spacing w:before="75"/>
              <w:ind w:right="850"/>
              <w:rPr>
                <w:sz w:val="16"/>
              </w:rPr>
            </w:pPr>
            <w:r>
              <w:rPr>
                <w:w w:val="90"/>
                <w:sz w:val="16"/>
              </w:rPr>
              <w:t>72.6</w:t>
            </w:r>
          </w:p>
        </w:tc>
        <w:tc>
          <w:tcPr>
            <w:tcW w:w="2016" w:type="dxa"/>
            <w:shd w:val="clear" w:color="auto" w:fill="FFFFFF"/>
          </w:tcPr>
          <w:p>
            <w:pPr>
              <w:pStyle w:val="TableParagraph"/>
              <w:spacing w:before="75"/>
              <w:ind w:left="806" w:right="803"/>
              <w:jc w:val="center"/>
              <w:rPr>
                <w:sz w:val="16"/>
              </w:rPr>
            </w:pPr>
            <w:r>
              <w:rPr>
                <w:sz w:val="16"/>
              </w:rPr>
              <w:t>66.0</w:t>
            </w:r>
          </w:p>
        </w:tc>
        <w:tc>
          <w:tcPr>
            <w:tcW w:w="2016" w:type="dxa"/>
            <w:shd w:val="clear" w:color="auto" w:fill="E9E9E9"/>
          </w:tcPr>
          <w:p>
            <w:pPr>
              <w:pStyle w:val="TableParagraph"/>
              <w:spacing w:before="82"/>
              <w:ind w:left="804" w:right="804"/>
              <w:jc w:val="center"/>
              <w:rPr>
                <w:rFonts w:ascii="Gotham Narrow Bold"/>
                <w:b/>
                <w:sz w:val="16"/>
              </w:rPr>
            </w:pPr>
            <w:r>
              <w:rPr>
                <w:rFonts w:ascii="Gotham Narrow Bold"/>
                <w:b/>
                <w:sz w:val="16"/>
              </w:rPr>
              <w:t>70.1</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All</w:t>
            </w:r>
          </w:p>
        </w:tc>
        <w:tc>
          <w:tcPr>
            <w:tcW w:w="2016" w:type="dxa"/>
            <w:shd w:val="clear" w:color="auto" w:fill="FFFFFF"/>
          </w:tcPr>
          <w:p>
            <w:pPr>
              <w:pStyle w:val="TableParagraph"/>
              <w:spacing w:before="75"/>
              <w:ind w:right="854"/>
              <w:rPr>
                <w:sz w:val="16"/>
              </w:rPr>
            </w:pPr>
            <w:r>
              <w:rPr>
                <w:w w:val="85"/>
                <w:sz w:val="16"/>
              </w:rPr>
              <w:t>75.2</w:t>
            </w:r>
          </w:p>
        </w:tc>
        <w:tc>
          <w:tcPr>
            <w:tcW w:w="2016" w:type="dxa"/>
            <w:shd w:val="clear" w:color="auto" w:fill="FFFFFF"/>
          </w:tcPr>
          <w:p>
            <w:pPr>
              <w:pStyle w:val="TableParagraph"/>
              <w:spacing w:before="75"/>
              <w:ind w:left="856" w:right="299"/>
              <w:jc w:val="left"/>
              <w:rPr>
                <w:sz w:val="16"/>
              </w:rPr>
            </w:pPr>
            <w:r>
              <w:rPr>
                <w:sz w:val="16"/>
              </w:rPr>
              <w:t>67.0</w:t>
            </w:r>
          </w:p>
        </w:tc>
        <w:tc>
          <w:tcPr>
            <w:tcW w:w="2016" w:type="dxa"/>
            <w:shd w:val="clear" w:color="auto" w:fill="E9E9E9"/>
          </w:tcPr>
          <w:p>
            <w:pPr>
              <w:pStyle w:val="TableParagraph"/>
              <w:spacing w:before="82"/>
              <w:ind w:left="806" w:right="804"/>
              <w:jc w:val="center"/>
              <w:rPr>
                <w:rFonts w:ascii="Gotham Narrow Bold"/>
                <w:b/>
                <w:sz w:val="16"/>
              </w:rPr>
            </w:pPr>
            <w:r>
              <w:rPr>
                <w:rFonts w:ascii="Gotham Narrow Bold"/>
                <w:b/>
                <w:sz w:val="16"/>
              </w:rPr>
              <w:t>72.0</w:t>
            </w:r>
          </w:p>
        </w:tc>
      </w:tr>
      <w:tr>
        <w:trPr>
          <w:trHeight w:val="355" w:hRule="exact"/>
        </w:trPr>
        <w:tc>
          <w:tcPr>
            <w:tcW w:w="2016" w:type="dxa"/>
            <w:vMerge w:val="restart"/>
            <w:shd w:val="clear" w:color="auto" w:fill="E9E9E9"/>
          </w:tcPr>
          <w:p>
            <w:pPr>
              <w:pStyle w:val="TableParagraph"/>
              <w:spacing w:before="82"/>
              <w:ind w:left="52" w:right="299"/>
              <w:jc w:val="left"/>
              <w:rPr>
                <w:rFonts w:ascii="Gotham Narrow Bold"/>
                <w:b/>
                <w:sz w:val="16"/>
              </w:rPr>
            </w:pPr>
            <w:r>
              <w:rPr>
                <w:rFonts w:ascii="Gotham Narrow Bold"/>
                <w:b/>
                <w:w w:val="95"/>
                <w:sz w:val="16"/>
              </w:rPr>
              <w:t>Learning Resources</w:t>
            </w:r>
          </w:p>
        </w:tc>
        <w:tc>
          <w:tcPr>
            <w:tcW w:w="2016" w:type="dxa"/>
            <w:shd w:val="clear" w:color="auto" w:fill="C8C8C7"/>
          </w:tcPr>
          <w:p>
            <w:pPr>
              <w:pStyle w:val="TableParagraph"/>
              <w:spacing w:before="82"/>
              <w:ind w:left="52" w:right="299"/>
              <w:jc w:val="left"/>
              <w:rPr>
                <w:rFonts w:ascii="Gotham Narrow Bold"/>
                <w:b/>
                <w:sz w:val="16"/>
              </w:rPr>
            </w:pPr>
            <w:r>
              <w:rPr>
                <w:rFonts w:ascii="Gotham Narrow Bold"/>
                <w:b/>
                <w:sz w:val="16"/>
              </w:rPr>
              <w:t>WS</w:t>
            </w:r>
          </w:p>
        </w:tc>
        <w:tc>
          <w:tcPr>
            <w:tcW w:w="2016" w:type="dxa"/>
            <w:shd w:val="clear" w:color="auto" w:fill="C8C8C7"/>
          </w:tcPr>
          <w:p>
            <w:pPr>
              <w:pStyle w:val="TableParagraph"/>
              <w:spacing w:before="75"/>
              <w:ind w:right="849"/>
              <w:rPr>
                <w:sz w:val="16"/>
              </w:rPr>
            </w:pPr>
            <w:r>
              <w:rPr>
                <w:w w:val="90"/>
                <w:sz w:val="16"/>
              </w:rPr>
              <w:t>89.5</w:t>
            </w:r>
          </w:p>
        </w:tc>
        <w:tc>
          <w:tcPr>
            <w:tcW w:w="2016" w:type="dxa"/>
            <w:shd w:val="clear" w:color="auto" w:fill="C8C8C7"/>
          </w:tcPr>
          <w:p>
            <w:pPr>
              <w:pStyle w:val="TableParagraph"/>
              <w:spacing w:before="75"/>
              <w:ind w:left="805" w:right="804"/>
              <w:jc w:val="center"/>
              <w:rPr>
                <w:sz w:val="16"/>
              </w:rPr>
            </w:pPr>
            <w:r>
              <w:rPr>
                <w:sz w:val="16"/>
              </w:rPr>
              <w:t>84.3</w:t>
            </w:r>
          </w:p>
        </w:tc>
        <w:tc>
          <w:tcPr>
            <w:tcW w:w="2016" w:type="dxa"/>
            <w:shd w:val="clear" w:color="auto" w:fill="C8C8C7"/>
          </w:tcPr>
          <w:p>
            <w:pPr>
              <w:pStyle w:val="TableParagraph"/>
              <w:spacing w:before="82"/>
              <w:ind w:left="850" w:right="299"/>
              <w:jc w:val="left"/>
              <w:rPr>
                <w:rFonts w:ascii="Gotham Narrow Bold"/>
                <w:b/>
                <w:sz w:val="16"/>
              </w:rPr>
            </w:pPr>
            <w:r>
              <w:rPr>
                <w:rFonts w:ascii="Gotham Narrow Bold"/>
                <w:b/>
                <w:sz w:val="16"/>
              </w:rPr>
              <w:t>87.6</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NSW</w:t>
            </w:r>
          </w:p>
        </w:tc>
        <w:tc>
          <w:tcPr>
            <w:tcW w:w="2016" w:type="dxa"/>
            <w:shd w:val="clear" w:color="auto" w:fill="FFFFFF"/>
          </w:tcPr>
          <w:p>
            <w:pPr>
              <w:pStyle w:val="TableParagraph"/>
              <w:spacing w:before="75"/>
              <w:ind w:right="867"/>
              <w:rPr>
                <w:sz w:val="16"/>
              </w:rPr>
            </w:pPr>
            <w:r>
              <w:rPr>
                <w:w w:val="80"/>
                <w:sz w:val="16"/>
              </w:rPr>
              <w:t>88.1</w:t>
            </w:r>
          </w:p>
        </w:tc>
        <w:tc>
          <w:tcPr>
            <w:tcW w:w="2016" w:type="dxa"/>
            <w:shd w:val="clear" w:color="auto" w:fill="FFFFFF"/>
          </w:tcPr>
          <w:p>
            <w:pPr>
              <w:pStyle w:val="TableParagraph"/>
              <w:spacing w:before="75"/>
              <w:ind w:left="805" w:right="804"/>
              <w:jc w:val="center"/>
              <w:rPr>
                <w:sz w:val="16"/>
              </w:rPr>
            </w:pPr>
            <w:r>
              <w:rPr>
                <w:sz w:val="16"/>
              </w:rPr>
              <w:t>82.6</w:t>
            </w:r>
          </w:p>
        </w:tc>
        <w:tc>
          <w:tcPr>
            <w:tcW w:w="2016" w:type="dxa"/>
            <w:shd w:val="clear" w:color="auto" w:fill="E9E9E9"/>
          </w:tcPr>
          <w:p>
            <w:pPr>
              <w:pStyle w:val="TableParagraph"/>
              <w:spacing w:before="82"/>
              <w:ind w:left="805" w:right="804"/>
              <w:jc w:val="center"/>
              <w:rPr>
                <w:rFonts w:ascii="Gotham Narrow Bold"/>
                <w:b/>
                <w:sz w:val="16"/>
              </w:rPr>
            </w:pPr>
            <w:r>
              <w:rPr>
                <w:rFonts w:ascii="Gotham Narrow Bold"/>
                <w:b/>
                <w:sz w:val="16"/>
              </w:rPr>
              <w:t>86.1</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All</w:t>
            </w:r>
          </w:p>
        </w:tc>
        <w:tc>
          <w:tcPr>
            <w:tcW w:w="2016" w:type="dxa"/>
            <w:shd w:val="clear" w:color="auto" w:fill="FFFFFF"/>
          </w:tcPr>
          <w:p>
            <w:pPr>
              <w:pStyle w:val="TableParagraph"/>
              <w:spacing w:before="75"/>
              <w:ind w:right="846"/>
              <w:rPr>
                <w:sz w:val="16"/>
              </w:rPr>
            </w:pPr>
            <w:r>
              <w:rPr>
                <w:w w:val="90"/>
                <w:sz w:val="16"/>
              </w:rPr>
              <w:t>88.9</w:t>
            </w:r>
          </w:p>
        </w:tc>
        <w:tc>
          <w:tcPr>
            <w:tcW w:w="2016" w:type="dxa"/>
            <w:shd w:val="clear" w:color="auto" w:fill="FFFFFF"/>
          </w:tcPr>
          <w:p>
            <w:pPr>
              <w:pStyle w:val="TableParagraph"/>
              <w:spacing w:before="75"/>
              <w:ind w:left="806" w:right="803"/>
              <w:jc w:val="center"/>
              <w:rPr>
                <w:sz w:val="16"/>
              </w:rPr>
            </w:pPr>
            <w:r>
              <w:rPr>
                <w:sz w:val="16"/>
              </w:rPr>
              <w:t>82.0</w:t>
            </w:r>
          </w:p>
        </w:tc>
        <w:tc>
          <w:tcPr>
            <w:tcW w:w="2016" w:type="dxa"/>
            <w:shd w:val="clear" w:color="auto" w:fill="E9E9E9"/>
          </w:tcPr>
          <w:p>
            <w:pPr>
              <w:pStyle w:val="TableParagraph"/>
              <w:spacing w:before="82"/>
              <w:ind w:left="805" w:right="804"/>
              <w:jc w:val="center"/>
              <w:rPr>
                <w:rFonts w:ascii="Gotham Narrow Bold"/>
                <w:b/>
                <w:sz w:val="16"/>
              </w:rPr>
            </w:pPr>
            <w:r>
              <w:rPr>
                <w:rFonts w:ascii="Gotham Narrow Bold"/>
                <w:b/>
                <w:sz w:val="16"/>
              </w:rPr>
              <w:t>86.3</w:t>
            </w:r>
          </w:p>
        </w:tc>
      </w:tr>
      <w:tr>
        <w:trPr>
          <w:trHeight w:val="355" w:hRule="exact"/>
        </w:trPr>
        <w:tc>
          <w:tcPr>
            <w:tcW w:w="2016" w:type="dxa"/>
            <w:vMerge w:val="restart"/>
            <w:shd w:val="clear" w:color="auto" w:fill="E9E9E9"/>
          </w:tcPr>
          <w:p>
            <w:pPr>
              <w:pStyle w:val="TableParagraph"/>
              <w:spacing w:before="82"/>
              <w:ind w:left="52" w:right="299"/>
              <w:jc w:val="left"/>
              <w:rPr>
                <w:rFonts w:ascii="Gotham Narrow Bold"/>
                <w:b/>
                <w:sz w:val="16"/>
              </w:rPr>
            </w:pPr>
            <w:r>
              <w:rPr>
                <w:rFonts w:ascii="Gotham Narrow Bold"/>
                <w:b/>
                <w:w w:val="95"/>
                <w:sz w:val="16"/>
              </w:rPr>
              <w:t>Overall Experience</w:t>
            </w:r>
          </w:p>
        </w:tc>
        <w:tc>
          <w:tcPr>
            <w:tcW w:w="2016" w:type="dxa"/>
            <w:shd w:val="clear" w:color="auto" w:fill="C8C8C7"/>
          </w:tcPr>
          <w:p>
            <w:pPr>
              <w:pStyle w:val="TableParagraph"/>
              <w:spacing w:before="82"/>
              <w:ind w:left="52" w:right="299"/>
              <w:jc w:val="left"/>
              <w:rPr>
                <w:rFonts w:ascii="Gotham Narrow Bold"/>
                <w:b/>
                <w:sz w:val="16"/>
              </w:rPr>
            </w:pPr>
            <w:r>
              <w:rPr>
                <w:rFonts w:ascii="Gotham Narrow Bold"/>
                <w:b/>
                <w:sz w:val="16"/>
              </w:rPr>
              <w:t>WS</w:t>
            </w:r>
          </w:p>
        </w:tc>
        <w:tc>
          <w:tcPr>
            <w:tcW w:w="2016" w:type="dxa"/>
            <w:shd w:val="clear" w:color="auto" w:fill="C8C8C7"/>
          </w:tcPr>
          <w:p>
            <w:pPr>
              <w:pStyle w:val="TableParagraph"/>
              <w:spacing w:before="75"/>
              <w:ind w:right="853"/>
              <w:rPr>
                <w:sz w:val="16"/>
              </w:rPr>
            </w:pPr>
            <w:r>
              <w:rPr>
                <w:w w:val="90"/>
                <w:sz w:val="16"/>
              </w:rPr>
              <w:t>79.2</w:t>
            </w:r>
          </w:p>
        </w:tc>
        <w:tc>
          <w:tcPr>
            <w:tcW w:w="2016" w:type="dxa"/>
            <w:shd w:val="clear" w:color="auto" w:fill="C8C8C7"/>
          </w:tcPr>
          <w:p>
            <w:pPr>
              <w:pStyle w:val="TableParagraph"/>
              <w:spacing w:before="75"/>
              <w:ind w:left="805" w:right="804"/>
              <w:jc w:val="center"/>
              <w:rPr>
                <w:sz w:val="16"/>
              </w:rPr>
            </w:pPr>
            <w:r>
              <w:rPr>
                <w:sz w:val="16"/>
              </w:rPr>
              <w:t>73.5</w:t>
            </w:r>
          </w:p>
        </w:tc>
        <w:tc>
          <w:tcPr>
            <w:tcW w:w="2016" w:type="dxa"/>
            <w:shd w:val="clear" w:color="auto" w:fill="C8C8C7"/>
          </w:tcPr>
          <w:p>
            <w:pPr>
              <w:pStyle w:val="TableParagraph"/>
              <w:spacing w:before="82"/>
              <w:ind w:left="847" w:right="299"/>
              <w:jc w:val="left"/>
              <w:rPr>
                <w:rFonts w:ascii="Gotham Narrow Bold"/>
                <w:b/>
                <w:sz w:val="16"/>
              </w:rPr>
            </w:pPr>
            <w:r>
              <w:rPr>
                <w:rFonts w:ascii="Gotham Narrow Bold"/>
                <w:b/>
                <w:sz w:val="16"/>
              </w:rPr>
              <w:t>77.0</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NSW</w:t>
            </w:r>
          </w:p>
        </w:tc>
        <w:tc>
          <w:tcPr>
            <w:tcW w:w="2016" w:type="dxa"/>
            <w:shd w:val="clear" w:color="auto" w:fill="FFFFFF"/>
          </w:tcPr>
          <w:p>
            <w:pPr>
              <w:pStyle w:val="TableParagraph"/>
              <w:spacing w:before="75"/>
              <w:ind w:right="841"/>
              <w:rPr>
                <w:sz w:val="16"/>
              </w:rPr>
            </w:pPr>
            <w:r>
              <w:rPr>
                <w:sz w:val="16"/>
              </w:rPr>
              <w:t>80.4</w:t>
            </w:r>
          </w:p>
        </w:tc>
        <w:tc>
          <w:tcPr>
            <w:tcW w:w="2016" w:type="dxa"/>
            <w:shd w:val="clear" w:color="auto" w:fill="FFFFFF"/>
          </w:tcPr>
          <w:p>
            <w:pPr>
              <w:pStyle w:val="TableParagraph"/>
              <w:spacing w:before="75"/>
              <w:ind w:left="805" w:right="804"/>
              <w:jc w:val="center"/>
              <w:rPr>
                <w:sz w:val="16"/>
              </w:rPr>
            </w:pPr>
            <w:r>
              <w:rPr>
                <w:sz w:val="16"/>
              </w:rPr>
              <w:t>75.4</w:t>
            </w:r>
          </w:p>
        </w:tc>
        <w:tc>
          <w:tcPr>
            <w:tcW w:w="2016" w:type="dxa"/>
            <w:shd w:val="clear" w:color="auto" w:fill="E9E9E9"/>
          </w:tcPr>
          <w:p>
            <w:pPr>
              <w:pStyle w:val="TableParagraph"/>
              <w:spacing w:before="82"/>
              <w:ind w:left="805" w:right="804"/>
              <w:jc w:val="center"/>
              <w:rPr>
                <w:rFonts w:ascii="Gotham Narrow Bold"/>
                <w:b/>
                <w:sz w:val="16"/>
              </w:rPr>
            </w:pPr>
            <w:r>
              <w:rPr>
                <w:rFonts w:ascii="Gotham Narrow Bold"/>
                <w:b/>
                <w:sz w:val="16"/>
              </w:rPr>
              <w:t>78.5</w:t>
            </w:r>
          </w:p>
        </w:tc>
      </w:tr>
      <w:tr>
        <w:trPr>
          <w:trHeight w:val="355" w:hRule="exact"/>
        </w:trPr>
        <w:tc>
          <w:tcPr>
            <w:tcW w:w="2016" w:type="dxa"/>
            <w:vMerge/>
            <w:shd w:val="clear" w:color="auto" w:fill="E9E9E9"/>
          </w:tcPr>
          <w:p>
            <w:pPr/>
          </w:p>
        </w:tc>
        <w:tc>
          <w:tcPr>
            <w:tcW w:w="2016" w:type="dxa"/>
            <w:shd w:val="clear" w:color="auto" w:fill="E9E9E9"/>
          </w:tcPr>
          <w:p>
            <w:pPr>
              <w:pStyle w:val="TableParagraph"/>
              <w:spacing w:before="82"/>
              <w:ind w:left="52" w:right="299"/>
              <w:jc w:val="left"/>
              <w:rPr>
                <w:rFonts w:ascii="Gotham Narrow Bold"/>
                <w:b/>
                <w:sz w:val="16"/>
              </w:rPr>
            </w:pPr>
            <w:r>
              <w:rPr>
                <w:rFonts w:ascii="Gotham Narrow Bold"/>
                <w:b/>
                <w:sz w:val="16"/>
              </w:rPr>
              <w:t>All</w:t>
            </w:r>
          </w:p>
        </w:tc>
        <w:tc>
          <w:tcPr>
            <w:tcW w:w="2016" w:type="dxa"/>
            <w:shd w:val="clear" w:color="auto" w:fill="FFFFFF"/>
          </w:tcPr>
          <w:p>
            <w:pPr>
              <w:pStyle w:val="TableParagraph"/>
              <w:spacing w:before="75"/>
              <w:ind w:right="852"/>
              <w:rPr>
                <w:sz w:val="16"/>
              </w:rPr>
            </w:pPr>
            <w:r>
              <w:rPr>
                <w:w w:val="90"/>
                <w:sz w:val="16"/>
              </w:rPr>
              <w:t>82.3</w:t>
            </w:r>
          </w:p>
        </w:tc>
        <w:tc>
          <w:tcPr>
            <w:tcW w:w="2016" w:type="dxa"/>
            <w:shd w:val="clear" w:color="auto" w:fill="FFFFFF"/>
          </w:tcPr>
          <w:p>
            <w:pPr>
              <w:pStyle w:val="TableParagraph"/>
              <w:spacing w:before="75"/>
              <w:ind w:left="805" w:right="804"/>
              <w:jc w:val="center"/>
              <w:rPr>
                <w:sz w:val="16"/>
              </w:rPr>
            </w:pPr>
            <w:r>
              <w:rPr>
                <w:sz w:val="16"/>
              </w:rPr>
              <w:t>76.2</w:t>
            </w:r>
          </w:p>
        </w:tc>
        <w:tc>
          <w:tcPr>
            <w:tcW w:w="2016" w:type="dxa"/>
            <w:shd w:val="clear" w:color="auto" w:fill="E9E9E9"/>
          </w:tcPr>
          <w:p>
            <w:pPr>
              <w:pStyle w:val="TableParagraph"/>
              <w:spacing w:before="82"/>
              <w:ind w:left="806" w:right="804"/>
              <w:jc w:val="center"/>
              <w:rPr>
                <w:rFonts w:ascii="Gotham Narrow Bold"/>
                <w:b/>
                <w:sz w:val="16"/>
              </w:rPr>
            </w:pPr>
            <w:r>
              <w:rPr>
                <w:rFonts w:ascii="Gotham Narrow Bold"/>
                <w:b/>
                <w:sz w:val="16"/>
              </w:rPr>
              <w:t>80.0</w:t>
            </w:r>
          </w:p>
        </w:tc>
      </w:tr>
    </w:tbl>
    <w:p>
      <w:pPr>
        <w:spacing w:after="0"/>
        <w:jc w:val="center"/>
        <w:rPr>
          <w:rFonts w:ascii="Gotham Narrow Bold"/>
          <w:sz w:val="16"/>
        </w:rPr>
        <w:sectPr>
          <w:type w:val="continuous"/>
          <w:pgSz w:w="11910" w:h="16840"/>
          <w:pgMar w:top="1580" w:bottom="280" w:left="580" w:right="580"/>
        </w:sectPr>
      </w:pPr>
    </w:p>
    <w:p>
      <w:pPr>
        <w:pStyle w:val="BodyText"/>
        <w:spacing w:before="9"/>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1"/>
      </w:pPr>
      <w:r>
        <w:rPr/>
        <w:t>in unit designs. This enables </w:t>
      </w:r>
      <w:r>
        <w:rPr>
          <w:spacing w:val="2"/>
        </w:rPr>
        <w:t>on-campus </w:t>
      </w:r>
      <w:r>
        <w:rPr/>
        <w:t>classes</w:t>
      </w:r>
      <w:r>
        <w:rPr>
          <w:spacing w:val="-19"/>
        </w:rPr>
        <w:t> </w:t>
      </w:r>
      <w:r>
        <w:rPr/>
        <w:t>to</w:t>
      </w:r>
      <w:r>
        <w:rPr>
          <w:spacing w:val="-19"/>
        </w:rPr>
        <w:t> </w:t>
      </w:r>
      <w:r>
        <w:rPr/>
        <w:t>emphasise</w:t>
      </w:r>
      <w:r>
        <w:rPr>
          <w:spacing w:val="-19"/>
        </w:rPr>
        <w:t> </w:t>
      </w:r>
      <w:r>
        <w:rPr/>
        <w:t>interactive,</w:t>
      </w:r>
      <w:r>
        <w:rPr>
          <w:spacing w:val="-19"/>
        </w:rPr>
        <w:t> </w:t>
      </w:r>
      <w:r>
        <w:rPr/>
        <w:t>group-based learning activities. Seventy-five academic staff completed the University’s Foundations of</w:t>
      </w:r>
      <w:r>
        <w:rPr>
          <w:spacing w:val="-16"/>
        </w:rPr>
        <w:t> </w:t>
      </w:r>
      <w:r>
        <w:rPr/>
        <w:t>University</w:t>
      </w:r>
      <w:r>
        <w:rPr>
          <w:spacing w:val="-16"/>
        </w:rPr>
        <w:t> </w:t>
      </w:r>
      <w:r>
        <w:rPr/>
        <w:t>Teaching</w:t>
      </w:r>
      <w:r>
        <w:rPr>
          <w:spacing w:val="-16"/>
        </w:rPr>
        <w:t> </w:t>
      </w:r>
      <w:r>
        <w:rPr/>
        <w:t>and</w:t>
      </w:r>
      <w:r>
        <w:rPr>
          <w:spacing w:val="-16"/>
        </w:rPr>
        <w:t> </w:t>
      </w:r>
      <w:r>
        <w:rPr/>
        <w:t>Learning</w:t>
      </w:r>
      <w:r>
        <w:rPr>
          <w:spacing w:val="-16"/>
        </w:rPr>
        <w:t> </w:t>
      </w:r>
      <w:r>
        <w:rPr/>
        <w:t>Program </w:t>
      </w:r>
      <w:r>
        <w:rPr>
          <w:w w:val="95"/>
        </w:rPr>
        <w:t>in </w:t>
      </w:r>
      <w:r>
        <w:rPr>
          <w:spacing w:val="2"/>
          <w:w w:val="85"/>
        </w:rPr>
        <w:t>2016,</w:t>
      </w:r>
      <w:r>
        <w:rPr>
          <w:w w:val="85"/>
        </w:rPr>
        <w:t> </w:t>
      </w:r>
      <w:r>
        <w:rPr>
          <w:spacing w:val="1"/>
          <w:w w:val="97"/>
        </w:rPr>
        <w:t>and</w:t>
      </w:r>
      <w:r>
        <w:rPr>
          <w:w w:val="97"/>
        </w:rPr>
        <w:t> </w:t>
      </w:r>
      <w:r>
        <w:rPr>
          <w:w w:val="97"/>
        </w:rPr>
        <w:t>the </w:t>
      </w:r>
      <w:r>
        <w:rPr>
          <w:spacing w:val="1"/>
          <w:w w:val="97"/>
        </w:rPr>
        <w:t>Learning</w:t>
      </w:r>
      <w:r>
        <w:rPr>
          <w:w w:val="97"/>
        </w:rPr>
        <w:t> </w:t>
      </w:r>
      <w:r>
        <w:rPr>
          <w:w w:val="97"/>
        </w:rPr>
        <w:t>Futures </w:t>
      </w:r>
      <w:r>
        <w:rPr>
          <w:spacing w:val="1"/>
          <w:w w:val="99"/>
        </w:rPr>
        <w:t>portfolio</w:t>
      </w:r>
      <w:r>
        <w:rPr>
          <w:w w:val="99"/>
        </w:rPr>
        <w:t> </w:t>
      </w:r>
      <w:r>
        <w:rPr/>
        <w:t>provided a further </w:t>
      </w:r>
      <w:r>
        <w:rPr>
          <w:spacing w:val="2"/>
        </w:rPr>
        <w:t>58 </w:t>
      </w:r>
      <w:r>
        <w:rPr/>
        <w:t>teaching development sessions,</w:t>
      </w:r>
      <w:r>
        <w:rPr>
          <w:spacing w:val="-24"/>
        </w:rPr>
        <w:t> </w:t>
      </w:r>
      <w:r>
        <w:rPr/>
        <w:t>which</w:t>
      </w:r>
      <w:r>
        <w:rPr>
          <w:spacing w:val="-24"/>
        </w:rPr>
        <w:t> </w:t>
      </w:r>
      <w:r>
        <w:rPr/>
        <w:t>reached</w:t>
      </w:r>
      <w:r>
        <w:rPr>
          <w:spacing w:val="-24"/>
        </w:rPr>
        <w:t> </w:t>
      </w:r>
      <w:r>
        <w:rPr>
          <w:spacing w:val="3"/>
        </w:rPr>
        <w:t>544</w:t>
      </w:r>
      <w:r>
        <w:rPr>
          <w:spacing w:val="-24"/>
        </w:rPr>
        <w:t> </w:t>
      </w:r>
      <w:r>
        <w:rPr/>
        <w:t>staff.</w:t>
      </w:r>
    </w:p>
    <w:p>
      <w:pPr>
        <w:pStyle w:val="BodyText"/>
        <w:rPr>
          <w:sz w:val="14"/>
        </w:rPr>
      </w:pPr>
    </w:p>
    <w:p>
      <w:pPr>
        <w:pStyle w:val="BodyText"/>
        <w:spacing w:line="249" w:lineRule="auto"/>
        <w:ind w:left="107" w:right="2"/>
      </w:pPr>
      <w:r>
        <w:rPr/>
        <w:t>The</w:t>
      </w:r>
      <w:r>
        <w:rPr>
          <w:spacing w:val="-17"/>
        </w:rPr>
        <w:t> </w:t>
      </w:r>
      <w:r>
        <w:rPr/>
        <w:t>next</w:t>
      </w:r>
      <w:r>
        <w:rPr>
          <w:spacing w:val="-17"/>
        </w:rPr>
        <w:t> </w:t>
      </w:r>
      <w:r>
        <w:rPr/>
        <w:t>phase</w:t>
      </w:r>
      <w:r>
        <w:rPr>
          <w:spacing w:val="-17"/>
        </w:rPr>
        <w:t> </w:t>
      </w:r>
      <w:r>
        <w:rPr/>
        <w:t>of</w:t>
      </w:r>
      <w:r>
        <w:rPr>
          <w:spacing w:val="-17"/>
        </w:rPr>
        <w:t> </w:t>
      </w:r>
      <w:r>
        <w:rPr/>
        <w:t>the</w:t>
      </w:r>
      <w:r>
        <w:rPr>
          <w:spacing w:val="-17"/>
        </w:rPr>
        <w:t> </w:t>
      </w:r>
      <w:r>
        <w:rPr/>
        <w:t>University’s</w:t>
      </w:r>
      <w:r>
        <w:rPr>
          <w:spacing w:val="-17"/>
        </w:rPr>
        <w:t> </w:t>
      </w:r>
      <w:r>
        <w:rPr>
          <w:spacing w:val="2"/>
        </w:rPr>
        <w:t>embedded </w:t>
      </w:r>
      <w:r>
        <w:rPr/>
        <w:t>teaching and learning support strategy was </w:t>
      </w:r>
      <w:r>
        <w:rPr>
          <w:spacing w:val="1"/>
          <w:w w:val="98"/>
        </w:rPr>
        <w:t>implemented</w:t>
      </w:r>
      <w:r>
        <w:rPr>
          <w:spacing w:val="-9"/>
          <w:w w:val="98"/>
        </w:rPr>
        <w:t> </w:t>
      </w:r>
      <w:r>
        <w:rPr>
          <w:w w:val="95"/>
        </w:rPr>
        <w:t>in</w:t>
      </w:r>
      <w:r>
        <w:rPr>
          <w:spacing w:val="-8"/>
          <w:w w:val="95"/>
        </w:rPr>
        <w:t> </w:t>
      </w:r>
      <w:r>
        <w:rPr>
          <w:spacing w:val="2"/>
          <w:w w:val="85"/>
        </w:rPr>
        <w:t>2016,</w:t>
      </w:r>
      <w:r>
        <w:rPr>
          <w:spacing w:val="-3"/>
          <w:w w:val="85"/>
        </w:rPr>
        <w:t> </w:t>
      </w:r>
      <w:r>
        <w:rPr>
          <w:w w:val="98"/>
        </w:rPr>
        <w:t>with</w:t>
      </w:r>
      <w:r>
        <w:rPr>
          <w:spacing w:val="-10"/>
          <w:w w:val="98"/>
        </w:rPr>
        <w:t> </w:t>
      </w:r>
      <w:r>
        <w:rPr>
          <w:w w:val="97"/>
        </w:rPr>
        <w:t>the</w:t>
      </w:r>
      <w:r>
        <w:rPr>
          <w:spacing w:val="-9"/>
          <w:w w:val="97"/>
        </w:rPr>
        <w:t> </w:t>
      </w:r>
      <w:r>
        <w:rPr>
          <w:spacing w:val="1"/>
          <w:w w:val="98"/>
        </w:rPr>
        <w:t>appointment</w:t>
      </w:r>
      <w:r>
        <w:rPr>
          <w:spacing w:val="-10"/>
          <w:w w:val="98"/>
        </w:rPr>
        <w:t> </w:t>
      </w:r>
      <w:r>
        <w:rPr>
          <w:w w:val="99"/>
        </w:rPr>
        <w:t>of </w:t>
      </w:r>
      <w:r>
        <w:rPr/>
        <w:t>a team of School-based Curriculum Advisors, Course Quality Officers and Learning Advisors, funded and coordinated through the</w:t>
      </w:r>
      <w:r>
        <w:rPr>
          <w:spacing w:val="-18"/>
        </w:rPr>
        <w:t> </w:t>
      </w:r>
      <w:r>
        <w:rPr/>
        <w:t>Academic</w:t>
      </w:r>
      <w:r>
        <w:rPr>
          <w:spacing w:val="-18"/>
        </w:rPr>
        <w:t> </w:t>
      </w:r>
      <w:r>
        <w:rPr/>
        <w:t>Division.</w:t>
      </w:r>
      <w:r>
        <w:rPr>
          <w:spacing w:val="-18"/>
        </w:rPr>
        <w:t> </w:t>
      </w:r>
      <w:r>
        <w:rPr/>
        <w:t>The</w:t>
      </w:r>
      <w:r>
        <w:rPr>
          <w:spacing w:val="-18"/>
        </w:rPr>
        <w:t> </w:t>
      </w:r>
      <w:r>
        <w:rPr>
          <w:spacing w:val="2"/>
        </w:rPr>
        <w:t>embedded</w:t>
      </w:r>
      <w:r>
        <w:rPr>
          <w:spacing w:val="-18"/>
        </w:rPr>
        <w:t> </w:t>
      </w:r>
      <w:r>
        <w:rPr/>
        <w:t>nature of</w:t>
      </w:r>
      <w:r>
        <w:rPr>
          <w:spacing w:val="-16"/>
        </w:rPr>
        <w:t> </w:t>
      </w:r>
      <w:r>
        <w:rPr/>
        <w:t>the</w:t>
      </w:r>
      <w:r>
        <w:rPr>
          <w:spacing w:val="-16"/>
        </w:rPr>
        <w:t> </w:t>
      </w:r>
      <w:r>
        <w:rPr/>
        <w:t>roles</w:t>
      </w:r>
      <w:r>
        <w:rPr>
          <w:spacing w:val="-16"/>
        </w:rPr>
        <w:t> </w:t>
      </w:r>
      <w:r>
        <w:rPr/>
        <w:t>ensures</w:t>
      </w:r>
      <w:r>
        <w:rPr>
          <w:spacing w:val="-16"/>
        </w:rPr>
        <w:t> </w:t>
      </w:r>
      <w:r>
        <w:rPr/>
        <w:t>effective</w:t>
      </w:r>
      <w:r>
        <w:rPr>
          <w:spacing w:val="-16"/>
        </w:rPr>
        <w:t> </w:t>
      </w:r>
      <w:r>
        <w:rPr/>
        <w:t>support</w:t>
      </w:r>
      <w:r>
        <w:rPr>
          <w:spacing w:val="-16"/>
        </w:rPr>
        <w:t> </w:t>
      </w:r>
      <w:r>
        <w:rPr/>
        <w:t>for</w:t>
      </w:r>
    </w:p>
    <w:p>
      <w:pPr>
        <w:pStyle w:val="BodyText"/>
        <w:spacing w:line="249" w:lineRule="auto"/>
        <w:ind w:left="107" w:right="45"/>
      </w:pPr>
      <w:r>
        <w:rPr/>
        <w:t>local</w:t>
      </w:r>
      <w:r>
        <w:rPr>
          <w:spacing w:val="-19"/>
        </w:rPr>
        <w:t> </w:t>
      </w:r>
      <w:r>
        <w:rPr/>
        <w:t>initiatives,</w:t>
      </w:r>
      <w:r>
        <w:rPr>
          <w:spacing w:val="-19"/>
        </w:rPr>
        <w:t> </w:t>
      </w:r>
      <w:r>
        <w:rPr/>
        <w:t>while</w:t>
      </w:r>
      <w:r>
        <w:rPr>
          <w:spacing w:val="-19"/>
        </w:rPr>
        <w:t> </w:t>
      </w:r>
      <w:r>
        <w:rPr/>
        <w:t>the</w:t>
      </w:r>
      <w:r>
        <w:rPr>
          <w:spacing w:val="-19"/>
        </w:rPr>
        <w:t> </w:t>
      </w:r>
      <w:r>
        <w:rPr/>
        <w:t>central</w:t>
      </w:r>
      <w:r>
        <w:rPr>
          <w:spacing w:val="-19"/>
        </w:rPr>
        <w:t> </w:t>
      </w:r>
      <w:r>
        <w:rPr/>
        <w:t>coordination ensures alignment with University strategic priorities. These staff work nine days a fortnight in Schools, coming together centrally</w:t>
      </w:r>
      <w:r>
        <w:rPr>
          <w:spacing w:val="-16"/>
        </w:rPr>
        <w:t> </w:t>
      </w:r>
      <w:r>
        <w:rPr/>
        <w:t>to</w:t>
      </w:r>
      <w:r>
        <w:rPr>
          <w:spacing w:val="-16"/>
        </w:rPr>
        <w:t> </w:t>
      </w:r>
      <w:r>
        <w:rPr/>
        <w:t>share</w:t>
      </w:r>
      <w:r>
        <w:rPr>
          <w:spacing w:val="-16"/>
        </w:rPr>
        <w:t> </w:t>
      </w:r>
      <w:r>
        <w:rPr/>
        <w:t>expertise</w:t>
      </w:r>
      <w:r>
        <w:rPr>
          <w:spacing w:val="-16"/>
        </w:rPr>
        <w:t> </w:t>
      </w:r>
      <w:r>
        <w:rPr/>
        <w:t>and</w:t>
      </w:r>
      <w:r>
        <w:rPr>
          <w:spacing w:val="-16"/>
        </w:rPr>
        <w:t> </w:t>
      </w:r>
      <w:r>
        <w:rPr/>
        <w:t>contribute</w:t>
      </w:r>
      <w:r>
        <w:rPr>
          <w:spacing w:val="-16"/>
        </w:rPr>
        <w:t> </w:t>
      </w:r>
      <w:r>
        <w:rPr/>
        <w:t>to University-wide</w:t>
      </w:r>
      <w:r>
        <w:rPr>
          <w:spacing w:val="-18"/>
        </w:rPr>
        <w:t> </w:t>
      </w:r>
      <w:r>
        <w:rPr/>
        <w:t>projects</w:t>
      </w:r>
      <w:r>
        <w:rPr>
          <w:spacing w:val="-18"/>
        </w:rPr>
        <w:t> </w:t>
      </w:r>
      <w:r>
        <w:rPr/>
        <w:t>for</w:t>
      </w:r>
      <w:r>
        <w:rPr>
          <w:spacing w:val="-18"/>
        </w:rPr>
        <w:t> </w:t>
      </w:r>
      <w:r>
        <w:rPr/>
        <w:t>the</w:t>
      </w:r>
      <w:r>
        <w:rPr>
          <w:spacing w:val="-18"/>
        </w:rPr>
        <w:t> </w:t>
      </w:r>
      <w:r>
        <w:rPr/>
        <w:t>other</w:t>
      </w:r>
      <w:r>
        <w:rPr>
          <w:spacing w:val="-18"/>
        </w:rPr>
        <w:t> </w:t>
      </w:r>
      <w:r>
        <w:rPr/>
        <w:t>day.</w:t>
      </w:r>
    </w:p>
    <w:p>
      <w:pPr>
        <w:pStyle w:val="BodyText"/>
        <w:rPr>
          <w:sz w:val="14"/>
        </w:rPr>
      </w:pPr>
    </w:p>
    <w:p>
      <w:pPr>
        <w:pStyle w:val="BodyText"/>
        <w:spacing w:line="249" w:lineRule="auto"/>
        <w:ind w:left="107" w:right="377"/>
      </w:pPr>
      <w:r>
        <w:rPr>
          <w:w w:val="80"/>
        </w:rPr>
        <w:t>In </w:t>
      </w:r>
      <w:r>
        <w:rPr>
          <w:w w:val="85"/>
        </w:rPr>
        <w:t>2016, </w:t>
      </w:r>
      <w:r>
        <w:rPr>
          <w:w w:val="97"/>
        </w:rPr>
        <w:t>the </w:t>
      </w:r>
      <w:r>
        <w:rPr>
          <w:w w:val="97"/>
        </w:rPr>
        <w:t>University </w:t>
      </w:r>
      <w:r>
        <w:rPr>
          <w:w w:val="98"/>
        </w:rPr>
        <w:t>began </w:t>
      </w:r>
      <w:r>
        <w:rPr>
          <w:w w:val="97"/>
        </w:rPr>
        <w:t>planning </w:t>
      </w:r>
      <w:r>
        <w:rPr/>
        <w:t>and implementing a major University- wide curriculum transformation project. This initiative will:</w:t>
      </w:r>
    </w:p>
    <w:p>
      <w:pPr>
        <w:pStyle w:val="BodyText"/>
        <w:spacing w:line="247" w:lineRule="auto" w:before="55"/>
        <w:ind w:left="305" w:right="5" w:hanging="199"/>
      </w:pPr>
      <w:r>
        <w:rPr>
          <w:rFonts w:ascii="Century Gothic" w:hAnsi="Century Gothic"/>
          <w:b/>
          <w:w w:val="115"/>
        </w:rPr>
        <w:t>≥ </w:t>
      </w:r>
      <w:r>
        <w:rPr/>
        <w:t>refine and simplify existing undergraduate and postgraduate coursework curriculum structures, removing unhelpful complexity</w:t>
      </w:r>
    </w:p>
    <w:p>
      <w:pPr>
        <w:pStyle w:val="BodyText"/>
        <w:spacing w:line="247" w:lineRule="auto" w:before="57"/>
        <w:ind w:left="305" w:right="20" w:hanging="199"/>
      </w:pPr>
      <w:r>
        <w:rPr>
          <w:rFonts w:ascii="Century Gothic" w:hAnsi="Century Gothic"/>
          <w:b/>
          <w:w w:val="115"/>
        </w:rPr>
        <w:t>≥ </w:t>
      </w:r>
      <w:r>
        <w:rPr/>
        <w:t>create ‘space’ in the curriculum for innovation, internships, research projects, capstones, international experiences, work-integrated learning and technology- enriched learning</w:t>
      </w:r>
    </w:p>
    <w:p>
      <w:pPr>
        <w:pStyle w:val="BodyText"/>
        <w:spacing w:line="244" w:lineRule="auto" w:before="57"/>
        <w:ind w:left="305" w:right="106" w:hanging="199"/>
      </w:pPr>
      <w:r>
        <w:rPr>
          <w:rFonts w:ascii="Century Gothic" w:hAnsi="Century Gothic"/>
          <w:b/>
          <w:w w:val="115"/>
        </w:rPr>
        <w:t>≥</w:t>
      </w:r>
      <w:r>
        <w:rPr>
          <w:rFonts w:ascii="Century Gothic" w:hAnsi="Century Gothic"/>
          <w:b/>
          <w:spacing w:val="-16"/>
          <w:w w:val="115"/>
        </w:rPr>
        <w:t> </w:t>
      </w:r>
      <w:r>
        <w:rPr>
          <w:w w:val="105"/>
        </w:rPr>
        <w:t>develop</w:t>
      </w:r>
      <w:r>
        <w:rPr>
          <w:spacing w:val="-33"/>
          <w:w w:val="105"/>
        </w:rPr>
        <w:t> </w:t>
      </w:r>
      <w:r>
        <w:rPr>
          <w:w w:val="105"/>
        </w:rPr>
        <w:t>a</w:t>
      </w:r>
      <w:r>
        <w:rPr>
          <w:spacing w:val="-33"/>
          <w:w w:val="105"/>
        </w:rPr>
        <w:t> </w:t>
      </w:r>
      <w:r>
        <w:rPr>
          <w:w w:val="105"/>
        </w:rPr>
        <w:t>framework</w:t>
      </w:r>
      <w:r>
        <w:rPr>
          <w:spacing w:val="-33"/>
          <w:w w:val="105"/>
        </w:rPr>
        <w:t> </w:t>
      </w:r>
      <w:r>
        <w:rPr>
          <w:w w:val="105"/>
        </w:rPr>
        <w:t>for</w:t>
      </w:r>
      <w:r>
        <w:rPr>
          <w:spacing w:val="-33"/>
          <w:w w:val="105"/>
        </w:rPr>
        <w:t> </w:t>
      </w:r>
      <w:r>
        <w:rPr>
          <w:w w:val="105"/>
        </w:rPr>
        <w:t>multidisciplinary programs</w:t>
      </w:r>
    </w:p>
    <w:p>
      <w:pPr>
        <w:pStyle w:val="BodyText"/>
        <w:spacing w:line="244" w:lineRule="auto" w:before="58"/>
        <w:ind w:left="305" w:right="91" w:hanging="199"/>
      </w:pPr>
      <w:r>
        <w:rPr>
          <w:rFonts w:ascii="Century Gothic" w:hAnsi="Century Gothic"/>
          <w:b/>
          <w:w w:val="115"/>
        </w:rPr>
        <w:t>≥</w:t>
      </w:r>
      <w:r>
        <w:rPr>
          <w:rFonts w:ascii="Century Gothic" w:hAnsi="Century Gothic"/>
          <w:b/>
          <w:spacing w:val="-8"/>
          <w:w w:val="115"/>
        </w:rPr>
        <w:t> </w:t>
      </w:r>
      <w:r>
        <w:rPr>
          <w:w w:val="105"/>
        </w:rPr>
        <w:t>identify</w:t>
      </w:r>
      <w:r>
        <w:rPr>
          <w:spacing w:val="-29"/>
          <w:w w:val="105"/>
        </w:rPr>
        <w:t> </w:t>
      </w:r>
      <w:r>
        <w:rPr>
          <w:w w:val="105"/>
        </w:rPr>
        <w:t>opportunities</w:t>
      </w:r>
      <w:r>
        <w:rPr>
          <w:spacing w:val="-29"/>
          <w:w w:val="105"/>
        </w:rPr>
        <w:t> </w:t>
      </w:r>
      <w:r>
        <w:rPr>
          <w:w w:val="105"/>
        </w:rPr>
        <w:t>for</w:t>
      </w:r>
      <w:r>
        <w:rPr>
          <w:spacing w:val="-29"/>
          <w:w w:val="105"/>
        </w:rPr>
        <w:t> </w:t>
      </w:r>
      <w:r>
        <w:rPr>
          <w:w w:val="105"/>
        </w:rPr>
        <w:t>courses</w:t>
      </w:r>
      <w:r>
        <w:rPr>
          <w:spacing w:val="-29"/>
          <w:w w:val="105"/>
        </w:rPr>
        <w:t> </w:t>
      </w:r>
      <w:r>
        <w:rPr>
          <w:w w:val="105"/>
        </w:rPr>
        <w:t>that</w:t>
      </w:r>
      <w:r>
        <w:rPr>
          <w:spacing w:val="-29"/>
          <w:w w:val="105"/>
        </w:rPr>
        <w:t> </w:t>
      </w:r>
      <w:r>
        <w:rPr>
          <w:w w:val="105"/>
        </w:rPr>
        <w:t>will </w:t>
      </w:r>
      <w:r>
        <w:rPr/>
        <w:t>transcend School</w:t>
      </w:r>
      <w:r>
        <w:rPr>
          <w:spacing w:val="-26"/>
        </w:rPr>
        <w:t> </w:t>
      </w:r>
      <w:r>
        <w:rPr/>
        <w:t>boundaries</w:t>
      </w:r>
    </w:p>
    <w:p>
      <w:pPr>
        <w:pStyle w:val="BodyText"/>
        <w:spacing w:before="58"/>
        <w:ind w:left="107" w:right="549"/>
      </w:pPr>
      <w:r>
        <w:rPr>
          <w:rFonts w:ascii="Century Gothic" w:hAnsi="Century Gothic"/>
          <w:b/>
          <w:w w:val="115"/>
        </w:rPr>
        <w:t>≥ </w:t>
      </w:r>
      <w:r>
        <w:rPr>
          <w:w w:val="105"/>
        </w:rPr>
        <w:t>reduce duplication of content</w:t>
      </w:r>
    </w:p>
    <w:p>
      <w:pPr>
        <w:pStyle w:val="BodyText"/>
        <w:spacing w:line="244" w:lineRule="auto" w:before="60"/>
        <w:ind w:left="305" w:right="157" w:hanging="199"/>
      </w:pPr>
      <w:r>
        <w:rPr>
          <w:rFonts w:ascii="Century Gothic" w:hAnsi="Century Gothic"/>
          <w:b/>
          <w:w w:val="115"/>
        </w:rPr>
        <w:t>≥</w:t>
      </w:r>
      <w:r>
        <w:rPr>
          <w:rFonts w:ascii="Century Gothic" w:hAnsi="Century Gothic"/>
          <w:b/>
          <w:spacing w:val="-13"/>
          <w:w w:val="115"/>
        </w:rPr>
        <w:t> </w:t>
      </w:r>
      <w:r>
        <w:rPr>
          <w:w w:val="105"/>
        </w:rPr>
        <w:t>use</w:t>
      </w:r>
      <w:r>
        <w:rPr>
          <w:spacing w:val="-32"/>
          <w:w w:val="105"/>
        </w:rPr>
        <w:t> </w:t>
      </w:r>
      <w:r>
        <w:rPr>
          <w:w w:val="105"/>
        </w:rPr>
        <w:t>resources</w:t>
      </w:r>
      <w:r>
        <w:rPr>
          <w:spacing w:val="-32"/>
          <w:w w:val="105"/>
        </w:rPr>
        <w:t> </w:t>
      </w:r>
      <w:r>
        <w:rPr>
          <w:w w:val="105"/>
        </w:rPr>
        <w:t>more</w:t>
      </w:r>
      <w:r>
        <w:rPr>
          <w:spacing w:val="-32"/>
          <w:w w:val="105"/>
        </w:rPr>
        <w:t> </w:t>
      </w:r>
      <w:r>
        <w:rPr>
          <w:w w:val="105"/>
        </w:rPr>
        <w:t>efficiently</w:t>
      </w:r>
      <w:r>
        <w:rPr>
          <w:spacing w:val="-32"/>
          <w:w w:val="105"/>
        </w:rPr>
        <w:t> </w:t>
      </w:r>
      <w:r>
        <w:rPr>
          <w:w w:val="105"/>
        </w:rPr>
        <w:t>to</w:t>
      </w:r>
      <w:r>
        <w:rPr>
          <w:spacing w:val="-32"/>
          <w:w w:val="105"/>
        </w:rPr>
        <w:t> </w:t>
      </w:r>
      <w:r>
        <w:rPr>
          <w:w w:val="105"/>
        </w:rPr>
        <w:t>support </w:t>
      </w:r>
      <w:r>
        <w:rPr/>
        <w:t>students’</w:t>
      </w:r>
      <w:r>
        <w:rPr>
          <w:spacing w:val="-33"/>
        </w:rPr>
        <w:t> </w:t>
      </w:r>
      <w:r>
        <w:rPr/>
        <w:t>learning.</w:t>
      </w:r>
    </w:p>
    <w:p>
      <w:pPr>
        <w:pStyle w:val="BodyText"/>
        <w:spacing w:before="4"/>
        <w:rPr>
          <w:sz w:val="14"/>
        </w:rPr>
      </w:pPr>
    </w:p>
    <w:p>
      <w:pPr>
        <w:pStyle w:val="BodyText"/>
        <w:spacing w:line="249" w:lineRule="auto"/>
        <w:ind w:left="107" w:right="94"/>
      </w:pPr>
      <w:r>
        <w:rPr>
          <w:spacing w:val="1"/>
          <w:w w:val="80"/>
        </w:rPr>
        <w:t>In</w:t>
      </w:r>
      <w:r>
        <w:rPr>
          <w:w w:val="80"/>
        </w:rPr>
        <w:t> </w:t>
      </w:r>
      <w:r>
        <w:rPr>
          <w:spacing w:val="2"/>
          <w:w w:val="85"/>
        </w:rPr>
        <w:t>2016,</w:t>
      </w:r>
      <w:r>
        <w:rPr>
          <w:w w:val="85"/>
        </w:rPr>
        <w:t> </w:t>
      </w:r>
      <w:r>
        <w:rPr>
          <w:w w:val="97"/>
        </w:rPr>
        <w:t>the </w:t>
      </w:r>
      <w:r>
        <w:rPr>
          <w:w w:val="97"/>
        </w:rPr>
        <w:t>University’s </w:t>
      </w:r>
      <w:r>
        <w:rPr>
          <w:spacing w:val="1"/>
          <w:w w:val="97"/>
        </w:rPr>
        <w:t>Curriculum</w:t>
      </w:r>
      <w:r>
        <w:rPr>
          <w:w w:val="97"/>
        </w:rPr>
        <w:t> </w:t>
      </w:r>
      <w:r>
        <w:rPr>
          <w:spacing w:val="1"/>
          <w:w w:val="98"/>
        </w:rPr>
        <w:t>Mapping</w:t>
      </w:r>
      <w:r>
        <w:rPr>
          <w:w w:val="98"/>
        </w:rPr>
        <w:t> </w:t>
      </w:r>
      <w:r>
        <w:rPr/>
        <w:t>Tool (CMT) was developed into an online platform. The CMT is used to map curricula to show alignment with intended learning, scaffolding of learning and assessment results.</w:t>
      </w:r>
      <w:r>
        <w:rPr>
          <w:spacing w:val="-25"/>
        </w:rPr>
        <w:t> </w:t>
      </w:r>
      <w:r>
        <w:rPr/>
        <w:t>It</w:t>
      </w:r>
      <w:r>
        <w:rPr>
          <w:spacing w:val="-25"/>
        </w:rPr>
        <w:t> </w:t>
      </w:r>
      <w:r>
        <w:rPr/>
        <w:t>identifies</w:t>
      </w:r>
      <w:r>
        <w:rPr>
          <w:spacing w:val="-25"/>
        </w:rPr>
        <w:t> </w:t>
      </w:r>
      <w:r>
        <w:rPr/>
        <w:t>gaps,</w:t>
      </w:r>
      <w:r>
        <w:rPr>
          <w:spacing w:val="-25"/>
        </w:rPr>
        <w:t> </w:t>
      </w:r>
      <w:r>
        <w:rPr/>
        <w:t>inconsistencies</w:t>
      </w:r>
      <w:r>
        <w:rPr>
          <w:spacing w:val="-25"/>
        </w:rPr>
        <w:t> </w:t>
      </w:r>
      <w:r>
        <w:rPr/>
        <w:t>and under-representation of key elements, as well</w:t>
      </w:r>
      <w:r>
        <w:rPr>
          <w:spacing w:val="-19"/>
        </w:rPr>
        <w:t> </w:t>
      </w:r>
      <w:r>
        <w:rPr/>
        <w:t>as</w:t>
      </w:r>
      <w:r>
        <w:rPr>
          <w:spacing w:val="-19"/>
        </w:rPr>
        <w:t> </w:t>
      </w:r>
      <w:r>
        <w:rPr/>
        <w:t>alignments,</w:t>
      </w:r>
      <w:r>
        <w:rPr>
          <w:spacing w:val="-19"/>
        </w:rPr>
        <w:t> </w:t>
      </w:r>
      <w:r>
        <w:rPr/>
        <w:t>strengths</w:t>
      </w:r>
      <w:r>
        <w:rPr>
          <w:spacing w:val="-19"/>
        </w:rPr>
        <w:t> </w:t>
      </w:r>
      <w:r>
        <w:rPr/>
        <w:t>and</w:t>
      </w:r>
      <w:r>
        <w:rPr>
          <w:spacing w:val="-19"/>
        </w:rPr>
        <w:t> </w:t>
      </w:r>
      <w:r>
        <w:rPr/>
        <w:t>coherence across</w:t>
      </w:r>
      <w:r>
        <w:rPr>
          <w:spacing w:val="-20"/>
        </w:rPr>
        <w:t> </w:t>
      </w:r>
      <w:r>
        <w:rPr/>
        <w:t>the</w:t>
      </w:r>
      <w:r>
        <w:rPr>
          <w:spacing w:val="-20"/>
        </w:rPr>
        <w:t> </w:t>
      </w:r>
      <w:r>
        <w:rPr/>
        <w:t>curriculum.</w:t>
      </w:r>
      <w:r>
        <w:rPr>
          <w:spacing w:val="-20"/>
        </w:rPr>
        <w:t> </w:t>
      </w:r>
      <w:r>
        <w:rPr/>
        <w:t>It</w:t>
      </w:r>
      <w:r>
        <w:rPr>
          <w:spacing w:val="-20"/>
        </w:rPr>
        <w:t> </w:t>
      </w:r>
      <w:r>
        <w:rPr/>
        <w:t>is</w:t>
      </w:r>
      <w:r>
        <w:rPr>
          <w:spacing w:val="-20"/>
        </w:rPr>
        <w:t> </w:t>
      </w:r>
      <w:r>
        <w:rPr/>
        <w:t>also</w:t>
      </w:r>
      <w:r>
        <w:rPr>
          <w:spacing w:val="-20"/>
        </w:rPr>
        <w:t> </w:t>
      </w:r>
      <w:r>
        <w:rPr/>
        <w:t>used</w:t>
      </w:r>
      <w:r>
        <w:rPr>
          <w:spacing w:val="-20"/>
        </w:rPr>
        <w:t> </w:t>
      </w:r>
      <w:r>
        <w:rPr/>
        <w:t>to</w:t>
      </w:r>
      <w:r>
        <w:rPr>
          <w:spacing w:val="-20"/>
        </w:rPr>
        <w:t> </w:t>
      </w:r>
      <w:r>
        <w:rPr/>
        <w:t>map</w:t>
      </w:r>
    </w:p>
    <w:p>
      <w:pPr>
        <w:pStyle w:val="BodyText"/>
        <w:spacing w:before="9"/>
      </w:pPr>
      <w:r>
        <w:rPr/>
        <w:br w:type="column"/>
      </w:r>
      <w:r>
        <w:rPr/>
      </w:r>
    </w:p>
    <w:p>
      <w:pPr>
        <w:pStyle w:val="BodyText"/>
        <w:spacing w:line="249" w:lineRule="auto"/>
        <w:ind w:left="107" w:right="20"/>
      </w:pPr>
      <w:r>
        <w:rPr/>
        <w:t>the</w:t>
      </w:r>
      <w:r>
        <w:rPr>
          <w:spacing w:val="-18"/>
        </w:rPr>
        <w:t> </w:t>
      </w:r>
      <w:r>
        <w:rPr/>
        <w:t>requirements</w:t>
      </w:r>
      <w:r>
        <w:rPr>
          <w:spacing w:val="-18"/>
        </w:rPr>
        <w:t> </w:t>
      </w:r>
      <w:r>
        <w:rPr/>
        <w:t>of</w:t>
      </w:r>
      <w:r>
        <w:rPr>
          <w:spacing w:val="-18"/>
        </w:rPr>
        <w:t> </w:t>
      </w:r>
      <w:r>
        <w:rPr/>
        <w:t>professional</w:t>
      </w:r>
      <w:r>
        <w:rPr>
          <w:spacing w:val="-18"/>
        </w:rPr>
        <w:t> </w:t>
      </w:r>
      <w:r>
        <w:rPr/>
        <w:t>accreditation bodies and to help develop documentation required</w:t>
      </w:r>
      <w:r>
        <w:rPr>
          <w:spacing w:val="-17"/>
        </w:rPr>
        <w:t> </w:t>
      </w:r>
      <w:r>
        <w:rPr/>
        <w:t>for</w:t>
      </w:r>
      <w:r>
        <w:rPr>
          <w:spacing w:val="-17"/>
        </w:rPr>
        <w:t> </w:t>
      </w:r>
      <w:r>
        <w:rPr/>
        <w:t>course</w:t>
      </w:r>
      <w:r>
        <w:rPr>
          <w:spacing w:val="-17"/>
        </w:rPr>
        <w:t> </w:t>
      </w:r>
      <w:r>
        <w:rPr/>
        <w:t>accreditation.</w:t>
      </w:r>
      <w:r>
        <w:rPr>
          <w:spacing w:val="-17"/>
        </w:rPr>
        <w:t> </w:t>
      </w:r>
      <w:r>
        <w:rPr/>
        <w:t>Schools</w:t>
      </w:r>
    </w:p>
    <w:p>
      <w:pPr>
        <w:pStyle w:val="BodyText"/>
        <w:spacing w:line="249" w:lineRule="auto"/>
        <w:ind w:left="107" w:right="206"/>
      </w:pPr>
      <w:r>
        <w:rPr/>
        <w:t>use the tool to assist in curriculum design and</w:t>
      </w:r>
      <w:r>
        <w:rPr>
          <w:spacing w:val="-22"/>
        </w:rPr>
        <w:t> </w:t>
      </w:r>
      <w:r>
        <w:rPr/>
        <w:t>renewal.</w:t>
      </w:r>
      <w:r>
        <w:rPr>
          <w:spacing w:val="-22"/>
        </w:rPr>
        <w:t> </w:t>
      </w:r>
      <w:r>
        <w:rPr/>
        <w:t>The</w:t>
      </w:r>
      <w:r>
        <w:rPr>
          <w:spacing w:val="-22"/>
        </w:rPr>
        <w:t> </w:t>
      </w:r>
      <w:r>
        <w:rPr/>
        <w:t>CMT</w:t>
      </w:r>
      <w:r>
        <w:rPr>
          <w:spacing w:val="-22"/>
        </w:rPr>
        <w:t> </w:t>
      </w:r>
      <w:r>
        <w:rPr/>
        <w:t>has</w:t>
      </w:r>
      <w:r>
        <w:rPr>
          <w:spacing w:val="-22"/>
        </w:rPr>
        <w:t> </w:t>
      </w:r>
      <w:r>
        <w:rPr/>
        <w:t>received</w:t>
      </w:r>
      <w:r>
        <w:rPr>
          <w:spacing w:val="-22"/>
        </w:rPr>
        <w:t> </w:t>
      </w:r>
      <w:r>
        <w:rPr/>
        <w:t>positive</w:t>
      </w:r>
    </w:p>
    <w:p>
      <w:pPr>
        <w:pStyle w:val="BodyText"/>
        <w:spacing w:line="249" w:lineRule="auto"/>
        <w:ind w:left="107" w:right="20"/>
      </w:pPr>
      <w:r>
        <w:rPr/>
        <w:t>feedback</w:t>
      </w:r>
      <w:r>
        <w:rPr>
          <w:spacing w:val="-16"/>
        </w:rPr>
        <w:t> </w:t>
      </w:r>
      <w:r>
        <w:rPr/>
        <w:t>from</w:t>
      </w:r>
      <w:r>
        <w:rPr>
          <w:spacing w:val="-16"/>
        </w:rPr>
        <w:t> </w:t>
      </w:r>
      <w:r>
        <w:rPr/>
        <w:t>a</w:t>
      </w:r>
      <w:r>
        <w:rPr>
          <w:spacing w:val="-16"/>
        </w:rPr>
        <w:t> </w:t>
      </w:r>
      <w:r>
        <w:rPr/>
        <w:t>range</w:t>
      </w:r>
      <w:r>
        <w:rPr>
          <w:spacing w:val="-16"/>
        </w:rPr>
        <w:t> </w:t>
      </w:r>
      <w:r>
        <w:rPr/>
        <w:t>of</w:t>
      </w:r>
      <w:r>
        <w:rPr>
          <w:spacing w:val="-16"/>
        </w:rPr>
        <w:t> </w:t>
      </w:r>
      <w:r>
        <w:rPr/>
        <w:t>professional</w:t>
      </w:r>
      <w:r>
        <w:rPr>
          <w:spacing w:val="-16"/>
        </w:rPr>
        <w:t> </w:t>
      </w:r>
      <w:r>
        <w:rPr/>
        <w:t>bodies, as</w:t>
      </w:r>
      <w:r>
        <w:rPr>
          <w:spacing w:val="-22"/>
        </w:rPr>
        <w:t> </w:t>
      </w:r>
      <w:r>
        <w:rPr/>
        <w:t>well</w:t>
      </w:r>
      <w:r>
        <w:rPr>
          <w:spacing w:val="-22"/>
        </w:rPr>
        <w:t> </w:t>
      </w:r>
      <w:r>
        <w:rPr/>
        <w:t>as</w:t>
      </w:r>
      <w:r>
        <w:rPr>
          <w:spacing w:val="-22"/>
        </w:rPr>
        <w:t> </w:t>
      </w:r>
      <w:r>
        <w:rPr/>
        <w:t>interest</w:t>
      </w:r>
      <w:r>
        <w:rPr>
          <w:spacing w:val="-22"/>
        </w:rPr>
        <w:t> </w:t>
      </w:r>
      <w:r>
        <w:rPr/>
        <w:t>from</w:t>
      </w:r>
      <w:r>
        <w:rPr>
          <w:spacing w:val="-22"/>
        </w:rPr>
        <w:t> </w:t>
      </w:r>
      <w:r>
        <w:rPr/>
        <w:t>other</w:t>
      </w:r>
      <w:r>
        <w:rPr>
          <w:spacing w:val="-22"/>
        </w:rPr>
        <w:t> </w:t>
      </w:r>
      <w:r>
        <w:rPr/>
        <w:t>universities.</w:t>
      </w:r>
    </w:p>
    <w:p>
      <w:pPr>
        <w:pStyle w:val="BodyText"/>
        <w:rPr>
          <w:sz w:val="14"/>
        </w:rPr>
      </w:pPr>
    </w:p>
    <w:p>
      <w:pPr>
        <w:pStyle w:val="BodyText"/>
        <w:spacing w:line="249" w:lineRule="auto"/>
        <w:ind w:left="107" w:right="317"/>
      </w:pPr>
      <w:r>
        <w:rPr/>
        <w:t>During the year, the University began transitioning</w:t>
      </w:r>
      <w:r>
        <w:rPr>
          <w:spacing w:val="-16"/>
        </w:rPr>
        <w:t> </w:t>
      </w:r>
      <w:r>
        <w:rPr/>
        <w:t>from</w:t>
      </w:r>
      <w:r>
        <w:rPr>
          <w:spacing w:val="-16"/>
        </w:rPr>
        <w:t> </w:t>
      </w:r>
      <w:r>
        <w:rPr/>
        <w:t>its</w:t>
      </w:r>
      <w:r>
        <w:rPr>
          <w:spacing w:val="-16"/>
        </w:rPr>
        <w:t> </w:t>
      </w:r>
      <w:r>
        <w:rPr/>
        <w:t>partnership</w:t>
      </w:r>
      <w:r>
        <w:rPr>
          <w:spacing w:val="-16"/>
        </w:rPr>
        <w:t> </w:t>
      </w:r>
      <w:r>
        <w:rPr/>
        <w:t>with</w:t>
      </w:r>
      <w:r>
        <w:rPr>
          <w:spacing w:val="-16"/>
        </w:rPr>
        <w:t> </w:t>
      </w:r>
      <w:r>
        <w:rPr/>
        <w:t>the Open University, </w:t>
      </w:r>
      <w:r>
        <w:rPr>
          <w:spacing w:val="3"/>
        </w:rPr>
        <w:t>UK, </w:t>
      </w:r>
      <w:r>
        <w:rPr/>
        <w:t>in preparation for </w:t>
      </w:r>
      <w:r>
        <w:rPr>
          <w:spacing w:val="1"/>
          <w:w w:val="97"/>
        </w:rPr>
        <w:t>launching</w:t>
      </w:r>
      <w:r>
        <w:rPr>
          <w:w w:val="97"/>
        </w:rPr>
        <w:t> </w:t>
      </w:r>
      <w:r>
        <w:rPr>
          <w:w w:val="94"/>
        </w:rPr>
        <w:t>a </w:t>
      </w:r>
      <w:r>
        <w:rPr>
          <w:w w:val="97"/>
        </w:rPr>
        <w:t>new </w:t>
      </w:r>
      <w:r>
        <w:rPr>
          <w:spacing w:val="1"/>
          <w:w w:val="96"/>
        </w:rPr>
        <w:t>online</w:t>
      </w:r>
      <w:r>
        <w:rPr>
          <w:w w:val="96"/>
        </w:rPr>
        <w:t> </w:t>
      </w:r>
      <w:r>
        <w:rPr>
          <w:w w:val="98"/>
        </w:rPr>
        <w:t>strategy </w:t>
      </w:r>
      <w:r>
        <w:rPr>
          <w:w w:val="95"/>
        </w:rPr>
        <w:t>in </w:t>
      </w:r>
      <w:r>
        <w:rPr>
          <w:spacing w:val="-2"/>
          <w:w w:val="83"/>
        </w:rPr>
        <w:t>2017.</w:t>
      </w:r>
      <w:r>
        <w:rPr>
          <w:w w:val="83"/>
        </w:rPr>
        <w:t> </w:t>
      </w:r>
      <w:r>
        <w:rPr/>
        <w:t>All Schools will have finished teaching </w:t>
      </w:r>
      <w:r>
        <w:rPr>
          <w:spacing w:val="1"/>
          <w:w w:val="97"/>
        </w:rPr>
        <w:t>their</w:t>
      </w:r>
      <w:r>
        <w:rPr>
          <w:spacing w:val="-9"/>
          <w:w w:val="97"/>
        </w:rPr>
        <w:t> </w:t>
      </w:r>
      <w:r>
        <w:rPr>
          <w:spacing w:val="1"/>
          <w:w w:val="100"/>
        </w:rPr>
        <w:t>OU</w:t>
      </w:r>
      <w:r>
        <w:rPr>
          <w:spacing w:val="-10"/>
          <w:w w:val="100"/>
        </w:rPr>
        <w:t> </w:t>
      </w:r>
      <w:r>
        <w:rPr>
          <w:spacing w:val="1"/>
          <w:w w:val="97"/>
        </w:rPr>
        <w:t>courses</w:t>
      </w:r>
      <w:r>
        <w:rPr>
          <w:spacing w:val="-9"/>
          <w:w w:val="97"/>
        </w:rPr>
        <w:t> </w:t>
      </w:r>
      <w:r>
        <w:rPr>
          <w:spacing w:val="-1"/>
          <w:w w:val="102"/>
        </w:rPr>
        <w:t>by</w:t>
      </w:r>
      <w:r>
        <w:rPr>
          <w:spacing w:val="-11"/>
          <w:w w:val="102"/>
        </w:rPr>
        <w:t> </w:t>
      </w:r>
      <w:r>
        <w:rPr>
          <w:spacing w:val="1"/>
          <w:w w:val="97"/>
        </w:rPr>
        <w:t>autumn</w:t>
      </w:r>
      <w:r>
        <w:rPr>
          <w:spacing w:val="-9"/>
          <w:w w:val="97"/>
        </w:rPr>
        <w:t> </w:t>
      </w:r>
      <w:r>
        <w:rPr>
          <w:spacing w:val="2"/>
          <w:w w:val="85"/>
        </w:rPr>
        <w:t>2018.</w:t>
      </w:r>
    </w:p>
    <w:p>
      <w:pPr>
        <w:pStyle w:val="BodyText"/>
        <w:spacing w:before="3"/>
        <w:rPr>
          <w:sz w:val="19"/>
        </w:rPr>
      </w:pPr>
    </w:p>
    <w:p>
      <w:pPr>
        <w:pStyle w:val="Heading7"/>
        <w:ind w:right="20"/>
      </w:pPr>
      <w:r>
        <w:rPr>
          <w:w w:val="95"/>
        </w:rPr>
        <w:t>INNOVATIVE LEARNING ENVIRONMENTS</w:t>
      </w:r>
    </w:p>
    <w:p>
      <w:pPr>
        <w:pStyle w:val="BodyText"/>
        <w:spacing w:line="249" w:lineRule="auto" w:before="58"/>
        <w:ind w:left="107" w:right="238"/>
      </w:pPr>
      <w:r>
        <w:rPr/>
        <w:t>The University continued investing in the renewal</w:t>
      </w:r>
      <w:r>
        <w:rPr>
          <w:spacing w:val="-17"/>
        </w:rPr>
        <w:t> </w:t>
      </w:r>
      <w:r>
        <w:rPr/>
        <w:t>of</w:t>
      </w:r>
      <w:r>
        <w:rPr>
          <w:spacing w:val="-17"/>
        </w:rPr>
        <w:t> </w:t>
      </w:r>
      <w:r>
        <w:rPr/>
        <w:t>its</w:t>
      </w:r>
      <w:r>
        <w:rPr>
          <w:spacing w:val="-17"/>
        </w:rPr>
        <w:t> </w:t>
      </w:r>
      <w:r>
        <w:rPr/>
        <w:t>teaching</w:t>
      </w:r>
      <w:r>
        <w:rPr>
          <w:spacing w:val="-17"/>
        </w:rPr>
        <w:t> </w:t>
      </w:r>
      <w:r>
        <w:rPr/>
        <w:t>and</w:t>
      </w:r>
      <w:r>
        <w:rPr>
          <w:spacing w:val="-17"/>
        </w:rPr>
        <w:t> </w:t>
      </w:r>
      <w:r>
        <w:rPr/>
        <w:t>learning</w:t>
      </w:r>
      <w:r>
        <w:rPr>
          <w:spacing w:val="-17"/>
        </w:rPr>
        <w:t> </w:t>
      </w:r>
      <w:r>
        <w:rPr/>
        <w:t>spaces to</w:t>
      </w:r>
      <w:r>
        <w:rPr>
          <w:spacing w:val="-20"/>
        </w:rPr>
        <w:t> </w:t>
      </w:r>
      <w:r>
        <w:rPr/>
        <w:t>create</w:t>
      </w:r>
      <w:r>
        <w:rPr>
          <w:spacing w:val="-20"/>
        </w:rPr>
        <w:t> </w:t>
      </w:r>
      <w:r>
        <w:rPr/>
        <w:t>transformative</w:t>
      </w:r>
      <w:r>
        <w:rPr>
          <w:spacing w:val="-20"/>
        </w:rPr>
        <w:t> </w:t>
      </w:r>
      <w:r>
        <w:rPr/>
        <w:t>pedagogies.</w:t>
      </w:r>
    </w:p>
    <w:p>
      <w:pPr>
        <w:pStyle w:val="BodyText"/>
        <w:spacing w:line="249" w:lineRule="auto"/>
        <w:ind w:left="107" w:right="179"/>
      </w:pPr>
      <w:r>
        <w:rPr/>
        <w:t>Notably, this included completing the innovative new facilities at Parramatta City campus (1PSQ) and the science building</w:t>
      </w:r>
    </w:p>
    <w:p>
      <w:pPr>
        <w:pStyle w:val="BodyText"/>
        <w:spacing w:line="192" w:lineRule="exact"/>
        <w:ind w:left="107" w:right="20"/>
      </w:pPr>
      <w:r>
        <w:rPr/>
        <w:t>at the Parramatta South campus.</w:t>
      </w:r>
    </w:p>
    <w:p>
      <w:pPr>
        <w:pStyle w:val="BodyText"/>
        <w:spacing w:before="7"/>
        <w:rPr>
          <w:sz w:val="14"/>
        </w:rPr>
      </w:pPr>
    </w:p>
    <w:p>
      <w:pPr>
        <w:pStyle w:val="BodyText"/>
        <w:spacing w:line="249" w:lineRule="auto" w:before="1"/>
        <w:ind w:left="107" w:right="-14"/>
      </w:pPr>
      <w:r>
        <w:rPr>
          <w:spacing w:val="2"/>
        </w:rPr>
        <w:t>1PSQ </w:t>
      </w:r>
      <w:r>
        <w:rPr/>
        <w:t>is the first of the University’s campuses to not have a single lecture theatre. Students will</w:t>
      </w:r>
      <w:r>
        <w:rPr>
          <w:spacing w:val="-17"/>
        </w:rPr>
        <w:t> </w:t>
      </w:r>
      <w:r>
        <w:rPr/>
        <w:t>work</w:t>
      </w:r>
      <w:r>
        <w:rPr>
          <w:spacing w:val="-17"/>
        </w:rPr>
        <w:t> </w:t>
      </w:r>
      <w:r>
        <w:rPr/>
        <w:t>in</w:t>
      </w:r>
      <w:r>
        <w:rPr>
          <w:spacing w:val="-17"/>
        </w:rPr>
        <w:t> </w:t>
      </w:r>
      <w:r>
        <w:rPr/>
        <w:t>informal</w:t>
      </w:r>
      <w:r>
        <w:rPr>
          <w:spacing w:val="-17"/>
        </w:rPr>
        <w:t> </w:t>
      </w:r>
      <w:r>
        <w:rPr/>
        <w:t>and</w:t>
      </w:r>
      <w:r>
        <w:rPr>
          <w:spacing w:val="-17"/>
        </w:rPr>
        <w:t> </w:t>
      </w:r>
      <w:r>
        <w:rPr/>
        <w:t>collaborative</w:t>
      </w:r>
      <w:r>
        <w:rPr>
          <w:spacing w:val="-17"/>
        </w:rPr>
        <w:t> </w:t>
      </w:r>
      <w:r>
        <w:rPr/>
        <w:t>learning environments, supported by state-of-the-art technology</w:t>
      </w:r>
      <w:r>
        <w:rPr>
          <w:spacing w:val="-18"/>
        </w:rPr>
        <w:t> </w:t>
      </w:r>
      <w:r>
        <w:rPr/>
        <w:t>and</w:t>
      </w:r>
      <w:r>
        <w:rPr>
          <w:spacing w:val="-18"/>
        </w:rPr>
        <w:t> </w:t>
      </w:r>
      <w:r>
        <w:rPr/>
        <w:t>newly</w:t>
      </w:r>
      <w:r>
        <w:rPr>
          <w:spacing w:val="-18"/>
        </w:rPr>
        <w:t> </w:t>
      </w:r>
      <w:r>
        <w:rPr/>
        <w:t>revised</w:t>
      </w:r>
      <w:r>
        <w:rPr>
          <w:spacing w:val="-18"/>
        </w:rPr>
        <w:t> </w:t>
      </w:r>
      <w:r>
        <w:rPr/>
        <w:t>curricula.</w:t>
      </w:r>
    </w:p>
    <w:p>
      <w:pPr>
        <w:pStyle w:val="BodyText"/>
        <w:rPr>
          <w:sz w:val="14"/>
        </w:rPr>
      </w:pPr>
    </w:p>
    <w:p>
      <w:pPr>
        <w:pStyle w:val="BodyText"/>
        <w:spacing w:line="249" w:lineRule="auto"/>
        <w:ind w:left="107" w:right="-1"/>
      </w:pPr>
      <w:r>
        <w:rPr/>
        <w:t>The new science building includes research laboratories</w:t>
      </w:r>
      <w:r>
        <w:rPr>
          <w:spacing w:val="-16"/>
        </w:rPr>
        <w:t> </w:t>
      </w:r>
      <w:r>
        <w:rPr/>
        <w:t>to</w:t>
      </w:r>
      <w:r>
        <w:rPr>
          <w:spacing w:val="-16"/>
        </w:rPr>
        <w:t> </w:t>
      </w:r>
      <w:r>
        <w:rPr/>
        <w:t>expand</w:t>
      </w:r>
      <w:r>
        <w:rPr>
          <w:spacing w:val="-16"/>
        </w:rPr>
        <w:t> </w:t>
      </w:r>
      <w:r>
        <w:rPr/>
        <w:t>the</w:t>
      </w:r>
      <w:r>
        <w:rPr>
          <w:spacing w:val="-16"/>
        </w:rPr>
        <w:t> </w:t>
      </w:r>
      <w:r>
        <w:rPr/>
        <w:t>University’s</w:t>
      </w:r>
      <w:r>
        <w:rPr>
          <w:spacing w:val="-16"/>
        </w:rPr>
        <w:t> </w:t>
      </w:r>
      <w:r>
        <w:rPr/>
        <w:t>science and</w:t>
      </w:r>
      <w:r>
        <w:rPr>
          <w:spacing w:val="-19"/>
        </w:rPr>
        <w:t> </w:t>
      </w:r>
      <w:r>
        <w:rPr/>
        <w:t>medical</w:t>
      </w:r>
      <w:r>
        <w:rPr>
          <w:spacing w:val="-19"/>
        </w:rPr>
        <w:t> </w:t>
      </w:r>
      <w:r>
        <w:rPr/>
        <w:t>science</w:t>
      </w:r>
      <w:r>
        <w:rPr>
          <w:spacing w:val="-19"/>
        </w:rPr>
        <w:t> </w:t>
      </w:r>
      <w:r>
        <w:rPr/>
        <w:t>research</w:t>
      </w:r>
      <w:r>
        <w:rPr>
          <w:spacing w:val="-19"/>
        </w:rPr>
        <w:t> </w:t>
      </w:r>
      <w:r>
        <w:rPr/>
        <w:t>programs,</w:t>
      </w:r>
    </w:p>
    <w:p>
      <w:pPr>
        <w:pStyle w:val="BodyText"/>
        <w:spacing w:line="249" w:lineRule="auto"/>
        <w:ind w:left="107" w:right="336"/>
      </w:pPr>
      <w:r>
        <w:rPr/>
        <w:t>and purpose-built teaching spaces for psychology, art therapy and social work.</w:t>
      </w:r>
    </w:p>
    <w:p>
      <w:pPr>
        <w:pStyle w:val="BodyText"/>
        <w:rPr>
          <w:sz w:val="14"/>
        </w:rPr>
      </w:pPr>
    </w:p>
    <w:p>
      <w:pPr>
        <w:pStyle w:val="BodyText"/>
        <w:spacing w:line="249" w:lineRule="auto"/>
        <w:ind w:left="107" w:right="207"/>
      </w:pPr>
      <w:r>
        <w:rPr/>
        <w:t>Prototypes of new learning studios were constructed on the Kingswood and Parramatta South campuses. Eleven workshops were run, reaching 118 staff, and practical resources were developed to</w:t>
      </w:r>
    </w:p>
    <w:p>
      <w:pPr>
        <w:pStyle w:val="BodyText"/>
        <w:spacing w:line="192" w:lineRule="exact"/>
        <w:ind w:left="107" w:right="20"/>
      </w:pPr>
      <w:r>
        <w:rPr/>
        <w:t>support</w:t>
      </w:r>
      <w:r>
        <w:rPr>
          <w:spacing w:val="-17"/>
        </w:rPr>
        <w:t> </w:t>
      </w:r>
      <w:r>
        <w:rPr/>
        <w:t>learning</w:t>
      </w:r>
      <w:r>
        <w:rPr>
          <w:spacing w:val="-17"/>
        </w:rPr>
        <w:t> </w:t>
      </w:r>
      <w:r>
        <w:rPr/>
        <w:t>design</w:t>
      </w:r>
      <w:r>
        <w:rPr>
          <w:spacing w:val="-17"/>
        </w:rPr>
        <w:t> </w:t>
      </w:r>
      <w:r>
        <w:rPr/>
        <w:t>for</w:t>
      </w:r>
      <w:r>
        <w:rPr>
          <w:spacing w:val="-17"/>
        </w:rPr>
        <w:t> </w:t>
      </w:r>
      <w:r>
        <w:rPr/>
        <w:t>these</w:t>
      </w:r>
      <w:r>
        <w:rPr>
          <w:spacing w:val="-17"/>
        </w:rPr>
        <w:t> </w:t>
      </w:r>
      <w:r>
        <w:rPr/>
        <w:t>new</w:t>
      </w:r>
      <w:r>
        <w:rPr>
          <w:spacing w:val="-17"/>
        </w:rPr>
        <w:t> </w:t>
      </w:r>
      <w:r>
        <w:rPr/>
        <w:t>spaces.</w:t>
      </w:r>
    </w:p>
    <w:p>
      <w:pPr>
        <w:pStyle w:val="BodyText"/>
        <w:spacing w:before="7"/>
        <w:rPr>
          <w:sz w:val="14"/>
        </w:rPr>
      </w:pPr>
    </w:p>
    <w:p>
      <w:pPr>
        <w:pStyle w:val="BodyText"/>
        <w:spacing w:line="249" w:lineRule="auto" w:before="1"/>
        <w:ind w:left="107" w:right="102"/>
      </w:pPr>
      <w:r>
        <w:rPr/>
        <w:t>With the support of School-based staff, close to </w:t>
      </w:r>
      <w:r>
        <w:rPr>
          <w:spacing w:val="2"/>
        </w:rPr>
        <w:t>200 </w:t>
      </w:r>
      <w:r>
        <w:rPr/>
        <w:t>units have been ‘flipped’ to deliver</w:t>
      </w:r>
      <w:r>
        <w:rPr>
          <w:spacing w:val="-20"/>
        </w:rPr>
        <w:t> </w:t>
      </w:r>
      <w:r>
        <w:rPr/>
        <w:t>lecture</w:t>
      </w:r>
      <w:r>
        <w:rPr>
          <w:spacing w:val="-20"/>
        </w:rPr>
        <w:t> </w:t>
      </w:r>
      <w:r>
        <w:rPr/>
        <w:t>content</w:t>
      </w:r>
      <w:r>
        <w:rPr>
          <w:spacing w:val="-20"/>
        </w:rPr>
        <w:t> </w:t>
      </w:r>
      <w:r>
        <w:rPr/>
        <w:t>online,</w:t>
      </w:r>
      <w:r>
        <w:rPr>
          <w:spacing w:val="-20"/>
        </w:rPr>
        <w:t> </w:t>
      </w:r>
      <w:r>
        <w:rPr/>
        <w:t>freeing</w:t>
      </w:r>
      <w:r>
        <w:rPr>
          <w:spacing w:val="-20"/>
        </w:rPr>
        <w:t> </w:t>
      </w:r>
      <w:r>
        <w:rPr/>
        <w:t>tutorial and face-to-face time for engagement and high-level problem solving. The School of </w:t>
      </w:r>
      <w:r>
        <w:rPr>
          <w:spacing w:val="2"/>
        </w:rPr>
        <w:t>Business, </w:t>
      </w:r>
      <w:r>
        <w:rPr/>
        <w:t>preparing for its move to </w:t>
      </w:r>
      <w:r>
        <w:rPr>
          <w:spacing w:val="2"/>
        </w:rPr>
        <w:t>1PSQ </w:t>
      </w:r>
      <w:r>
        <w:rPr/>
        <w:t>, developed a scalable method for flipping </w:t>
      </w:r>
      <w:r>
        <w:rPr>
          <w:w w:val="97"/>
        </w:rPr>
        <w:t>more </w:t>
      </w:r>
      <w:r>
        <w:rPr>
          <w:spacing w:val="1"/>
          <w:w w:val="97"/>
        </w:rPr>
        <w:t>than</w:t>
      </w:r>
      <w:r>
        <w:rPr>
          <w:w w:val="97"/>
        </w:rPr>
        <w:t> </w:t>
      </w:r>
      <w:r>
        <w:rPr>
          <w:spacing w:val="2"/>
          <w:w w:val="92"/>
        </w:rPr>
        <w:t>100</w:t>
      </w:r>
      <w:r>
        <w:rPr>
          <w:w w:val="92"/>
        </w:rPr>
        <w:t> </w:t>
      </w:r>
      <w:r>
        <w:rPr>
          <w:spacing w:val="1"/>
          <w:w w:val="92"/>
        </w:rPr>
        <w:t>units.</w:t>
      </w:r>
      <w:r>
        <w:rPr>
          <w:w w:val="92"/>
        </w:rPr>
        <w:t> </w:t>
      </w:r>
      <w:r>
        <w:rPr>
          <w:spacing w:val="1"/>
          <w:w w:val="94"/>
        </w:rPr>
        <w:t>The</w:t>
      </w:r>
      <w:r>
        <w:rPr>
          <w:w w:val="94"/>
        </w:rPr>
        <w:t> </w:t>
      </w:r>
      <w:r>
        <w:rPr>
          <w:spacing w:val="1"/>
          <w:w w:val="98"/>
        </w:rPr>
        <w:t>School</w:t>
      </w:r>
      <w:r>
        <w:rPr>
          <w:w w:val="98"/>
        </w:rPr>
        <w:t> </w:t>
      </w:r>
      <w:r>
        <w:rPr>
          <w:w w:val="99"/>
        </w:rPr>
        <w:t>of </w:t>
      </w:r>
      <w:r>
        <w:rPr>
          <w:spacing w:val="1"/>
          <w:w w:val="97"/>
        </w:rPr>
        <w:t>Nursing</w:t>
      </w:r>
      <w:r>
        <w:rPr>
          <w:w w:val="97"/>
        </w:rPr>
        <w:t> </w:t>
      </w:r>
      <w:r>
        <w:rPr/>
        <w:t>and Medicine has flipped 70 units. The School of Computing, Engineering and Mathematics, and the Law School are </w:t>
      </w:r>
      <w:r>
        <w:rPr>
          <w:spacing w:val="1"/>
          <w:w w:val="97"/>
        </w:rPr>
        <w:t>preparing</w:t>
      </w:r>
      <w:r>
        <w:rPr>
          <w:w w:val="97"/>
        </w:rPr>
        <w:t> </w:t>
      </w:r>
      <w:r>
        <w:rPr>
          <w:w w:val="98"/>
        </w:rPr>
        <w:t>for </w:t>
      </w:r>
      <w:r>
        <w:rPr>
          <w:w w:val="95"/>
        </w:rPr>
        <w:t>similar </w:t>
      </w:r>
      <w:r>
        <w:rPr>
          <w:w w:val="98"/>
        </w:rPr>
        <w:t>work </w:t>
      </w:r>
      <w:r>
        <w:rPr>
          <w:w w:val="95"/>
        </w:rPr>
        <w:t>in </w:t>
      </w:r>
      <w:r>
        <w:rPr>
          <w:spacing w:val="1"/>
          <w:w w:val="96"/>
        </w:rPr>
        <w:t>early</w:t>
      </w:r>
      <w:r>
        <w:rPr>
          <w:spacing w:val="-34"/>
          <w:w w:val="96"/>
        </w:rPr>
        <w:t> </w:t>
      </w:r>
      <w:r>
        <w:rPr>
          <w:spacing w:val="-2"/>
          <w:w w:val="83"/>
        </w:rPr>
        <w:t>2017.</w:t>
      </w:r>
    </w:p>
    <w:p>
      <w:pPr>
        <w:pStyle w:val="BodyText"/>
        <w:spacing w:before="3"/>
        <w:rPr>
          <w:sz w:val="17"/>
        </w:rPr>
      </w:pPr>
      <w:r>
        <w:rPr/>
        <w:br w:type="column"/>
      </w:r>
      <w:r>
        <w:rPr>
          <w:sz w:val="17"/>
        </w:rPr>
      </w:r>
    </w:p>
    <w:p>
      <w:pPr>
        <w:pStyle w:val="Heading7"/>
        <w:spacing w:before="1"/>
        <w:ind w:right="0"/>
      </w:pPr>
      <w:r>
        <w:rPr>
          <w:w w:val="95"/>
        </w:rPr>
        <w:t>EDUCATION  FOR SUSTAINABILITY</w:t>
      </w:r>
    </w:p>
    <w:p>
      <w:pPr>
        <w:pStyle w:val="BodyText"/>
        <w:spacing w:line="249" w:lineRule="auto" w:before="58"/>
        <w:ind w:left="107" w:right="153"/>
      </w:pPr>
      <w:r>
        <w:rPr>
          <w:w w:val="80"/>
        </w:rPr>
        <w:t>In </w:t>
      </w:r>
      <w:r>
        <w:rPr>
          <w:w w:val="85"/>
        </w:rPr>
        <w:t>2016, </w:t>
      </w:r>
      <w:r>
        <w:rPr>
          <w:w w:val="97"/>
        </w:rPr>
        <w:t>the </w:t>
      </w:r>
      <w:r>
        <w:rPr>
          <w:w w:val="98"/>
        </w:rPr>
        <w:t>Office </w:t>
      </w:r>
      <w:r>
        <w:rPr>
          <w:w w:val="99"/>
        </w:rPr>
        <w:t>of </w:t>
      </w:r>
      <w:r>
        <w:rPr>
          <w:w w:val="97"/>
        </w:rPr>
        <w:t>Sustainability </w:t>
      </w:r>
      <w:r>
        <w:rPr>
          <w:w w:val="94"/>
        </w:rPr>
        <w:t>joined </w:t>
      </w:r>
      <w:r>
        <w:rPr>
          <w:w w:val="97"/>
        </w:rPr>
        <w:t>the</w:t>
      </w:r>
      <w:r>
        <w:rPr/>
        <w:t> University’s new Learning Futures portfolio, to support a renewed focus on Education for Sustainability (EfS) as part of the curriculum transformation agenda. There are 32 programs, majors and minors across five schools with an EfS focus, as well as units that include sustainability case studies, assessments, experiential projects, problem- based learning and work-integrated learning placements. EfS learning concepts were tested in the School of Education programs and are now incorporated in the CMT.</w:t>
      </w:r>
    </w:p>
    <w:p>
      <w:pPr>
        <w:pStyle w:val="BodyText"/>
        <w:rPr>
          <w:sz w:val="14"/>
        </w:rPr>
      </w:pPr>
    </w:p>
    <w:p>
      <w:pPr>
        <w:pStyle w:val="BodyText"/>
        <w:spacing w:line="249" w:lineRule="auto"/>
        <w:ind w:left="107" w:right="212"/>
      </w:pPr>
      <w:r>
        <w:rPr>
          <w:w w:val="94"/>
        </w:rPr>
        <w:t>The </w:t>
      </w:r>
      <w:r>
        <w:rPr>
          <w:w w:val="97"/>
        </w:rPr>
        <w:t>University </w:t>
      </w:r>
      <w:r>
        <w:rPr>
          <w:w w:val="96"/>
        </w:rPr>
        <w:t>was </w:t>
      </w:r>
      <w:r>
        <w:rPr>
          <w:w w:val="94"/>
        </w:rPr>
        <w:t>a </w:t>
      </w:r>
      <w:r>
        <w:rPr>
          <w:w w:val="96"/>
        </w:rPr>
        <w:t>finalist </w:t>
      </w:r>
      <w:r>
        <w:rPr>
          <w:w w:val="95"/>
        </w:rPr>
        <w:t>in </w:t>
      </w:r>
      <w:r>
        <w:rPr>
          <w:w w:val="97"/>
        </w:rPr>
        <w:t>the </w:t>
      </w:r>
      <w:r>
        <w:rPr>
          <w:w w:val="90"/>
        </w:rPr>
        <w:t>2016 </w:t>
      </w:r>
      <w:r>
        <w:rPr/>
        <w:t>Green Gown Awards in the Student Engagement Category.</w:t>
      </w:r>
    </w:p>
    <w:p>
      <w:pPr>
        <w:pStyle w:val="BodyText"/>
        <w:spacing w:before="3"/>
        <w:rPr>
          <w:sz w:val="19"/>
        </w:rPr>
      </w:pPr>
    </w:p>
    <w:p>
      <w:pPr>
        <w:pStyle w:val="Heading7"/>
        <w:spacing w:line="249" w:lineRule="auto"/>
        <w:ind w:right="469"/>
      </w:pPr>
      <w:r>
        <w:rPr>
          <w:w w:val="95"/>
        </w:rPr>
        <w:t>ASSESSMENT STANDARDS AND ACADEMIC INTEGRITY</w:t>
      </w:r>
    </w:p>
    <w:p>
      <w:pPr>
        <w:pStyle w:val="BodyText"/>
        <w:spacing w:line="247" w:lineRule="auto" w:before="50"/>
        <w:ind w:left="107" w:right="19"/>
      </w:pPr>
      <w:r>
        <w:rPr>
          <w:w w:val="80"/>
        </w:rPr>
        <w:t>In </w:t>
      </w:r>
      <w:r>
        <w:rPr>
          <w:w w:val="84"/>
        </w:rPr>
        <w:t>2015, </w:t>
      </w:r>
      <w:r>
        <w:rPr>
          <w:w w:val="97"/>
        </w:rPr>
        <w:t>Professor </w:t>
      </w:r>
      <w:r>
        <w:rPr>
          <w:w w:val="98"/>
        </w:rPr>
        <w:t>Glover </w:t>
      </w:r>
      <w:r>
        <w:rPr>
          <w:w w:val="98"/>
        </w:rPr>
        <w:t>commissioned </w:t>
      </w:r>
      <w:r>
        <w:rPr>
          <w:w w:val="95"/>
        </w:rPr>
        <w:t>an </w:t>
      </w:r>
      <w:r>
        <w:rPr/>
        <w:t>Assessment Review, chaired by the Chair of </w:t>
      </w:r>
      <w:r>
        <w:rPr>
          <w:w w:val="100"/>
        </w:rPr>
        <w:t>Academic </w:t>
      </w:r>
      <w:r>
        <w:rPr>
          <w:w w:val="92"/>
        </w:rPr>
        <w:t>Senate. </w:t>
      </w:r>
      <w:r>
        <w:rPr>
          <w:w w:val="80"/>
        </w:rPr>
        <w:t>In </w:t>
      </w:r>
      <w:r>
        <w:rPr>
          <w:w w:val="85"/>
        </w:rPr>
        <w:t>2016, </w:t>
      </w:r>
      <w:r>
        <w:rPr>
          <w:w w:val="97"/>
        </w:rPr>
        <w:t>the </w:t>
      </w:r>
      <w:r>
        <w:rPr>
          <w:w w:val="99"/>
        </w:rPr>
        <w:t>proposed </w:t>
      </w:r>
      <w:r>
        <w:rPr>
          <w:w w:val="97"/>
        </w:rPr>
        <w:t>terms </w:t>
      </w:r>
      <w:r>
        <w:rPr/>
        <w:t>of reference were reviewed and prioritised to reflect recent University policy developments (notably the new </w:t>
      </w:r>
      <w:r>
        <w:rPr>
          <w:rFonts w:ascii="Century Gothic"/>
          <w:i/>
        </w:rPr>
        <w:t>Student Misconduct Rule</w:t>
      </w:r>
      <w:r>
        <w:rPr/>
        <w:t>), the new Higher Education Standards, and</w:t>
      </w:r>
    </w:p>
    <w:p>
      <w:pPr>
        <w:pStyle w:val="BodyText"/>
        <w:spacing w:line="249" w:lineRule="auto" w:before="1"/>
        <w:ind w:left="107" w:right="212"/>
      </w:pPr>
      <w:r>
        <w:rPr/>
        <w:t>the increasing potential of technology to both enhance and disrupt assessment practices. The Assessment Review reported </w:t>
      </w:r>
      <w:r>
        <w:rPr>
          <w:w w:val="98"/>
        </w:rPr>
        <w:t>on </w:t>
      </w:r>
      <w:r>
        <w:rPr>
          <w:w w:val="96"/>
        </w:rPr>
        <w:t>these </w:t>
      </w:r>
      <w:r>
        <w:rPr>
          <w:w w:val="97"/>
        </w:rPr>
        <w:t>priorities </w:t>
      </w:r>
      <w:r>
        <w:rPr>
          <w:w w:val="98"/>
        </w:rPr>
        <w:t>at </w:t>
      </w:r>
      <w:r>
        <w:rPr>
          <w:w w:val="97"/>
        </w:rPr>
        <w:t>the </w:t>
      </w:r>
      <w:r>
        <w:rPr>
          <w:w w:val="97"/>
        </w:rPr>
        <w:t>end </w:t>
      </w:r>
      <w:r>
        <w:rPr>
          <w:w w:val="99"/>
        </w:rPr>
        <w:t>of </w:t>
      </w:r>
      <w:r>
        <w:rPr>
          <w:w w:val="85"/>
        </w:rPr>
        <w:t>2016.</w:t>
      </w:r>
    </w:p>
    <w:p>
      <w:pPr>
        <w:pStyle w:val="BodyText"/>
        <w:rPr>
          <w:sz w:val="14"/>
        </w:rPr>
      </w:pPr>
    </w:p>
    <w:p>
      <w:pPr>
        <w:pStyle w:val="BodyText"/>
        <w:spacing w:line="249" w:lineRule="auto"/>
        <w:ind w:left="107" w:right="724"/>
      </w:pPr>
      <w:r>
        <w:rPr/>
        <w:t>The work of the Senate Assessment Committee was prioritised to meet the new Higher Education Standards</w:t>
      </w:r>
    </w:p>
    <w:p>
      <w:pPr>
        <w:pStyle w:val="BodyText"/>
        <w:spacing w:line="247" w:lineRule="auto"/>
        <w:ind w:left="107" w:right="218"/>
      </w:pPr>
      <w:r>
        <w:rPr/>
        <w:t>and the Assessment Review. This work included the revised School assessment results reporting, new unit coordinator assessment peer review processes, revised </w:t>
      </w:r>
      <w:r>
        <w:rPr>
          <w:w w:val="95"/>
        </w:rPr>
        <w:t>procedures for the new </w:t>
      </w:r>
      <w:r>
        <w:rPr>
          <w:rFonts w:ascii="Century Gothic"/>
          <w:i/>
          <w:w w:val="95"/>
        </w:rPr>
        <w:t>Student Misconduct </w:t>
      </w:r>
      <w:r>
        <w:rPr>
          <w:rFonts w:ascii="Century Gothic"/>
          <w:i/>
        </w:rPr>
        <w:t>Rule </w:t>
      </w:r>
      <w:r>
        <w:rPr/>
        <w:t>and an Education Framework for Academic Integrity to support the Rule.</w:t>
      </w:r>
    </w:p>
    <w:p>
      <w:pPr>
        <w:pStyle w:val="BodyText"/>
      </w:pPr>
    </w:p>
    <w:p>
      <w:pPr>
        <w:spacing w:before="138"/>
        <w:ind w:left="107" w:right="0" w:firstLine="0"/>
        <w:jc w:val="left"/>
        <w:rPr>
          <w:rFonts w:ascii="Gotham Narrow Bold"/>
          <w:b/>
          <w:sz w:val="24"/>
        </w:rPr>
      </w:pPr>
      <w:r>
        <w:rPr>
          <w:rFonts w:ascii="Gotham Narrow Bold"/>
          <w:b/>
          <w:w w:val="95"/>
          <w:sz w:val="24"/>
        </w:rPr>
        <w:t>THE WHITLAM INSTITUTE</w:t>
      </w:r>
    </w:p>
    <w:p>
      <w:pPr>
        <w:pStyle w:val="BodyText"/>
        <w:spacing w:line="249" w:lineRule="auto" w:before="95"/>
        <w:ind w:left="107" w:right="158"/>
      </w:pPr>
      <w:r>
        <w:rPr/>
        <w:t>The Whitlam Institute at Western Sydney University</w:t>
      </w:r>
      <w:r>
        <w:rPr>
          <w:spacing w:val="-13"/>
        </w:rPr>
        <w:t> </w:t>
      </w:r>
      <w:r>
        <w:rPr/>
        <w:t>is</w:t>
      </w:r>
      <w:r>
        <w:rPr>
          <w:spacing w:val="-13"/>
        </w:rPr>
        <w:t> </w:t>
      </w:r>
      <w:r>
        <w:rPr/>
        <w:t>a</w:t>
      </w:r>
      <w:r>
        <w:rPr>
          <w:spacing w:val="-13"/>
        </w:rPr>
        <w:t> </w:t>
      </w:r>
      <w:r>
        <w:rPr/>
        <w:t>dynamic</w:t>
      </w:r>
      <w:r>
        <w:rPr>
          <w:spacing w:val="-13"/>
        </w:rPr>
        <w:t> </w:t>
      </w:r>
      <w:r>
        <w:rPr/>
        <w:t>public</w:t>
      </w:r>
      <w:r>
        <w:rPr>
          <w:spacing w:val="-13"/>
        </w:rPr>
        <w:t> </w:t>
      </w:r>
      <w:r>
        <w:rPr/>
        <w:t>policy</w:t>
      </w:r>
      <w:r>
        <w:rPr>
          <w:spacing w:val="-13"/>
        </w:rPr>
        <w:t> </w:t>
      </w:r>
      <w:r>
        <w:rPr/>
        <w:t>institute that commemorates, and is inspired </w:t>
      </w:r>
      <w:r>
        <w:rPr>
          <w:spacing w:val="-3"/>
        </w:rPr>
        <w:t>by, </w:t>
      </w:r>
      <w:r>
        <w:rPr/>
        <w:t>the life</w:t>
      </w:r>
      <w:r>
        <w:rPr>
          <w:spacing w:val="-17"/>
        </w:rPr>
        <w:t> </w:t>
      </w:r>
      <w:r>
        <w:rPr/>
        <w:t>and</w:t>
      </w:r>
      <w:r>
        <w:rPr>
          <w:spacing w:val="-17"/>
        </w:rPr>
        <w:t> </w:t>
      </w:r>
      <w:r>
        <w:rPr/>
        <w:t>work</w:t>
      </w:r>
      <w:r>
        <w:rPr>
          <w:spacing w:val="-17"/>
        </w:rPr>
        <w:t> </w:t>
      </w:r>
      <w:r>
        <w:rPr/>
        <w:t>of</w:t>
      </w:r>
      <w:r>
        <w:rPr>
          <w:spacing w:val="-17"/>
        </w:rPr>
        <w:t> </w:t>
      </w:r>
      <w:r>
        <w:rPr/>
        <w:t>the</w:t>
      </w:r>
      <w:r>
        <w:rPr>
          <w:spacing w:val="-17"/>
        </w:rPr>
        <w:t> </w:t>
      </w:r>
      <w:r>
        <w:rPr>
          <w:spacing w:val="2"/>
        </w:rPr>
        <w:t>Hon.</w:t>
      </w:r>
      <w:r>
        <w:rPr>
          <w:spacing w:val="-17"/>
        </w:rPr>
        <w:t> </w:t>
      </w:r>
      <w:r>
        <w:rPr/>
        <w:t>Gough</w:t>
      </w:r>
      <w:r>
        <w:rPr>
          <w:spacing w:val="-17"/>
        </w:rPr>
        <w:t> </w:t>
      </w:r>
      <w:r>
        <w:rPr/>
        <w:t>Whitlam,</w:t>
      </w:r>
      <w:r>
        <w:rPr>
          <w:spacing w:val="-17"/>
        </w:rPr>
        <w:t> </w:t>
      </w:r>
      <w:r>
        <w:rPr/>
        <w:t>AC, </w:t>
      </w:r>
      <w:r>
        <w:rPr>
          <w:spacing w:val="3"/>
        </w:rPr>
        <w:t>QC. </w:t>
      </w:r>
      <w:r>
        <w:rPr/>
        <w:t>It pursues the causes he championed and is guided by the principles upon which his</w:t>
      </w:r>
      <w:r>
        <w:rPr>
          <w:spacing w:val="-16"/>
        </w:rPr>
        <w:t> </w:t>
      </w:r>
      <w:r>
        <w:rPr/>
        <w:t>parliamentary</w:t>
      </w:r>
      <w:r>
        <w:rPr>
          <w:spacing w:val="-16"/>
        </w:rPr>
        <w:t> </w:t>
      </w:r>
      <w:r>
        <w:rPr/>
        <w:t>career</w:t>
      </w:r>
      <w:r>
        <w:rPr>
          <w:spacing w:val="-16"/>
        </w:rPr>
        <w:t> </w:t>
      </w:r>
      <w:r>
        <w:rPr/>
        <w:t>and</w:t>
      </w:r>
      <w:r>
        <w:rPr>
          <w:spacing w:val="-16"/>
        </w:rPr>
        <w:t> </w:t>
      </w:r>
      <w:r>
        <w:rPr/>
        <w:t>years</w:t>
      </w:r>
      <w:r>
        <w:rPr>
          <w:spacing w:val="-16"/>
        </w:rPr>
        <w:t> </w:t>
      </w:r>
      <w:r>
        <w:rPr/>
        <w:t>of</w:t>
      </w:r>
      <w:r>
        <w:rPr>
          <w:spacing w:val="-16"/>
        </w:rPr>
        <w:t> </w:t>
      </w:r>
      <w:r>
        <w:rPr/>
        <w:t>service to</w:t>
      </w:r>
      <w:r>
        <w:rPr>
          <w:spacing w:val="-15"/>
        </w:rPr>
        <w:t> </w:t>
      </w:r>
      <w:r>
        <w:rPr/>
        <w:t>the</w:t>
      </w:r>
      <w:r>
        <w:rPr>
          <w:spacing w:val="-15"/>
        </w:rPr>
        <w:t> </w:t>
      </w:r>
      <w:r>
        <w:rPr/>
        <w:t>people</w:t>
      </w:r>
      <w:r>
        <w:rPr>
          <w:spacing w:val="-15"/>
        </w:rPr>
        <w:t> </w:t>
      </w:r>
      <w:r>
        <w:rPr/>
        <w:t>of</w:t>
      </w:r>
      <w:r>
        <w:rPr>
          <w:spacing w:val="-15"/>
        </w:rPr>
        <w:t> </w:t>
      </w:r>
      <w:r>
        <w:rPr/>
        <w:t>Australia</w:t>
      </w:r>
      <w:r>
        <w:rPr>
          <w:spacing w:val="-15"/>
        </w:rPr>
        <w:t> </w:t>
      </w:r>
      <w:r>
        <w:rPr/>
        <w:t>were</w:t>
      </w:r>
      <w:r>
        <w:rPr>
          <w:spacing w:val="-15"/>
        </w:rPr>
        <w:t> </w:t>
      </w:r>
      <w:r>
        <w:rPr/>
        <w:t>founded.</w:t>
      </w:r>
    </w:p>
    <w:p>
      <w:pPr>
        <w:spacing w:after="0" w:line="249" w:lineRule="auto"/>
        <w:sectPr>
          <w:type w:val="continuous"/>
          <w:pgSz w:w="11910" w:h="16840"/>
          <w:pgMar w:top="1580" w:bottom="280" w:left="800" w:right="800"/>
          <w:cols w:num="3" w:equalWidth="0">
            <w:col w:w="3294" w:space="145"/>
            <w:col w:w="3317" w:space="122"/>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153"/>
        <w:jc w:val="both"/>
      </w:pPr>
      <w:r>
        <w:rPr/>
        <w:t>The</w:t>
      </w:r>
      <w:r>
        <w:rPr>
          <w:spacing w:val="-18"/>
        </w:rPr>
        <w:t> </w:t>
      </w:r>
      <w:r>
        <w:rPr/>
        <w:t>Whitlam</w:t>
      </w:r>
      <w:r>
        <w:rPr>
          <w:spacing w:val="-18"/>
        </w:rPr>
        <w:t> </w:t>
      </w:r>
      <w:r>
        <w:rPr/>
        <w:t>Institute</w:t>
      </w:r>
      <w:r>
        <w:rPr>
          <w:spacing w:val="-18"/>
        </w:rPr>
        <w:t> </w:t>
      </w:r>
      <w:r>
        <w:rPr/>
        <w:t>is</w:t>
      </w:r>
      <w:r>
        <w:rPr>
          <w:spacing w:val="-18"/>
        </w:rPr>
        <w:t> </w:t>
      </w:r>
      <w:r>
        <w:rPr/>
        <w:t>guided</w:t>
      </w:r>
      <w:r>
        <w:rPr>
          <w:spacing w:val="-18"/>
        </w:rPr>
        <w:t> </w:t>
      </w:r>
      <w:r>
        <w:rPr/>
        <w:t>by</w:t>
      </w:r>
      <w:r>
        <w:rPr>
          <w:spacing w:val="-18"/>
        </w:rPr>
        <w:t> </w:t>
      </w:r>
      <w:r>
        <w:rPr/>
        <w:t>the</w:t>
      </w:r>
      <w:r>
        <w:rPr>
          <w:spacing w:val="-18"/>
        </w:rPr>
        <w:t> </w:t>
      </w:r>
      <w:r>
        <w:rPr/>
        <w:t>‘three great</w:t>
      </w:r>
      <w:r>
        <w:rPr>
          <w:spacing w:val="-15"/>
        </w:rPr>
        <w:t> </w:t>
      </w:r>
      <w:r>
        <w:rPr/>
        <w:t>aims’</w:t>
      </w:r>
      <w:r>
        <w:rPr>
          <w:spacing w:val="-15"/>
        </w:rPr>
        <w:t> </w:t>
      </w:r>
      <w:r>
        <w:rPr/>
        <w:t>that</w:t>
      </w:r>
      <w:r>
        <w:rPr>
          <w:spacing w:val="-15"/>
        </w:rPr>
        <w:t> </w:t>
      </w:r>
      <w:r>
        <w:rPr/>
        <w:t>drove</w:t>
      </w:r>
      <w:r>
        <w:rPr>
          <w:spacing w:val="-15"/>
        </w:rPr>
        <w:t> </w:t>
      </w:r>
      <w:r>
        <w:rPr/>
        <w:t>the</w:t>
      </w:r>
      <w:r>
        <w:rPr>
          <w:spacing w:val="-15"/>
        </w:rPr>
        <w:t> </w:t>
      </w:r>
      <w:r>
        <w:rPr/>
        <w:t>Whitlam</w:t>
      </w:r>
      <w:r>
        <w:rPr>
          <w:spacing w:val="-15"/>
        </w:rPr>
        <w:t> </w:t>
      </w:r>
      <w:r>
        <w:rPr/>
        <w:t>program </w:t>
      </w:r>
      <w:r>
        <w:rPr>
          <w:w w:val="95"/>
        </w:rPr>
        <w:t>of</w:t>
      </w:r>
      <w:r>
        <w:rPr>
          <w:spacing w:val="-25"/>
          <w:w w:val="95"/>
        </w:rPr>
        <w:t> </w:t>
      </w:r>
      <w:r>
        <w:rPr>
          <w:w w:val="95"/>
        </w:rPr>
        <w:t>1972.</w:t>
      </w:r>
      <w:r>
        <w:rPr>
          <w:spacing w:val="-25"/>
          <w:w w:val="95"/>
        </w:rPr>
        <w:t> </w:t>
      </w:r>
      <w:r>
        <w:rPr>
          <w:w w:val="95"/>
        </w:rPr>
        <w:t>They</w:t>
      </w:r>
      <w:r>
        <w:rPr>
          <w:spacing w:val="-25"/>
          <w:w w:val="95"/>
        </w:rPr>
        <w:t> </w:t>
      </w:r>
      <w:r>
        <w:rPr>
          <w:w w:val="95"/>
        </w:rPr>
        <w:t>are:</w:t>
      </w:r>
    </w:p>
    <w:p>
      <w:pPr>
        <w:pStyle w:val="BodyText"/>
        <w:spacing w:before="55"/>
        <w:ind w:left="107" w:right="323"/>
      </w:pPr>
      <w:r>
        <w:rPr>
          <w:rFonts w:ascii="Century Gothic" w:hAnsi="Century Gothic"/>
          <w:b/>
          <w:w w:val="110"/>
        </w:rPr>
        <w:t>≥ </w:t>
      </w:r>
      <w:r>
        <w:rPr>
          <w:w w:val="110"/>
        </w:rPr>
        <w:t>to promote equality</w:t>
      </w:r>
    </w:p>
    <w:p>
      <w:pPr>
        <w:pStyle w:val="BodyText"/>
        <w:spacing w:line="244" w:lineRule="auto" w:before="60"/>
        <w:ind w:left="305" w:right="323" w:hanging="199"/>
      </w:pPr>
      <w:r>
        <w:rPr>
          <w:rFonts w:ascii="Century Gothic" w:hAnsi="Century Gothic"/>
          <w:b/>
          <w:w w:val="115"/>
        </w:rPr>
        <w:t>≥</w:t>
      </w:r>
      <w:r>
        <w:rPr>
          <w:rFonts w:ascii="Century Gothic" w:hAnsi="Century Gothic"/>
          <w:b/>
          <w:spacing w:val="-3"/>
          <w:w w:val="115"/>
        </w:rPr>
        <w:t> </w:t>
      </w:r>
      <w:r>
        <w:rPr>
          <w:w w:val="105"/>
        </w:rPr>
        <w:t>to</w:t>
      </w:r>
      <w:r>
        <w:rPr>
          <w:spacing w:val="-27"/>
          <w:w w:val="105"/>
        </w:rPr>
        <w:t> </w:t>
      </w:r>
      <w:r>
        <w:rPr>
          <w:w w:val="105"/>
        </w:rPr>
        <w:t>involve</w:t>
      </w:r>
      <w:r>
        <w:rPr>
          <w:spacing w:val="-27"/>
          <w:w w:val="105"/>
        </w:rPr>
        <w:t> </w:t>
      </w:r>
      <w:r>
        <w:rPr>
          <w:w w:val="105"/>
        </w:rPr>
        <w:t>the</w:t>
      </w:r>
      <w:r>
        <w:rPr>
          <w:spacing w:val="-27"/>
          <w:w w:val="105"/>
        </w:rPr>
        <w:t> </w:t>
      </w:r>
      <w:r>
        <w:rPr>
          <w:w w:val="105"/>
        </w:rPr>
        <w:t>people</w:t>
      </w:r>
      <w:r>
        <w:rPr>
          <w:spacing w:val="-27"/>
          <w:w w:val="105"/>
        </w:rPr>
        <w:t> </w:t>
      </w:r>
      <w:r>
        <w:rPr>
          <w:w w:val="105"/>
        </w:rPr>
        <w:t>of</w:t>
      </w:r>
      <w:r>
        <w:rPr>
          <w:spacing w:val="-27"/>
          <w:w w:val="105"/>
        </w:rPr>
        <w:t> </w:t>
      </w:r>
      <w:r>
        <w:rPr>
          <w:w w:val="105"/>
        </w:rPr>
        <w:t>Australia</w:t>
      </w:r>
      <w:r>
        <w:rPr>
          <w:spacing w:val="-27"/>
          <w:w w:val="105"/>
        </w:rPr>
        <w:t> </w:t>
      </w:r>
      <w:r>
        <w:rPr>
          <w:w w:val="105"/>
        </w:rPr>
        <w:t>in</w:t>
      </w:r>
      <w:r>
        <w:rPr>
          <w:spacing w:val="-27"/>
          <w:w w:val="105"/>
        </w:rPr>
        <w:t> </w:t>
      </w:r>
      <w:r>
        <w:rPr>
          <w:w w:val="105"/>
        </w:rPr>
        <w:t>the </w:t>
      </w:r>
      <w:r>
        <w:rPr/>
        <w:t>decision-making</w:t>
      </w:r>
      <w:r>
        <w:rPr>
          <w:spacing w:val="-14"/>
        </w:rPr>
        <w:t> </w:t>
      </w:r>
      <w:r>
        <w:rPr/>
        <w:t>processes</w:t>
      </w:r>
      <w:r>
        <w:rPr>
          <w:spacing w:val="-14"/>
        </w:rPr>
        <w:t> </w:t>
      </w:r>
      <w:r>
        <w:rPr/>
        <w:t>of</w:t>
      </w:r>
      <w:r>
        <w:rPr>
          <w:spacing w:val="-14"/>
        </w:rPr>
        <w:t> </w:t>
      </w:r>
      <w:r>
        <w:rPr/>
        <w:t>our</w:t>
      </w:r>
      <w:r>
        <w:rPr>
          <w:spacing w:val="-14"/>
        </w:rPr>
        <w:t> </w:t>
      </w:r>
      <w:r>
        <w:rPr/>
        <w:t>land</w:t>
      </w:r>
    </w:p>
    <w:p>
      <w:pPr>
        <w:pStyle w:val="BodyText"/>
        <w:spacing w:line="244" w:lineRule="auto" w:before="58"/>
        <w:ind w:left="305" w:right="323" w:hanging="199"/>
      </w:pPr>
      <w:r>
        <w:rPr>
          <w:rFonts w:ascii="Century Gothic" w:hAnsi="Century Gothic"/>
          <w:b/>
          <w:w w:val="115"/>
        </w:rPr>
        <w:t>≥ </w:t>
      </w:r>
      <w:r>
        <w:rPr/>
        <w:t>to liberate the talents and uplift the horizons of the Australian people.</w:t>
      </w:r>
    </w:p>
    <w:p>
      <w:pPr>
        <w:pStyle w:val="BodyText"/>
        <w:spacing w:before="6"/>
        <w:rPr>
          <w:sz w:val="19"/>
        </w:rPr>
      </w:pPr>
    </w:p>
    <w:p>
      <w:pPr>
        <w:pStyle w:val="Heading7"/>
        <w:spacing w:before="1"/>
        <w:ind w:right="323"/>
      </w:pPr>
      <w:r>
        <w:rPr/>
        <w:t>MANAGEMENT</w:t>
      </w:r>
    </w:p>
    <w:p>
      <w:pPr>
        <w:pStyle w:val="BodyText"/>
        <w:spacing w:line="249" w:lineRule="auto" w:before="58"/>
        <w:ind w:left="107" w:right="99"/>
      </w:pPr>
      <w:r>
        <w:rPr/>
        <w:t>The Whitlam Institute Board is politically bipartisan and consists of leaders in academia, business, government and community organisations. The current Chair is the Hon. John Faulkner. Indicative of the importance the University attaches to the Whitlam Institute, the Vice-Chancellor is</w:t>
      </w:r>
    </w:p>
    <w:p>
      <w:pPr>
        <w:pStyle w:val="BodyText"/>
        <w:spacing w:line="247" w:lineRule="auto"/>
        <w:ind w:left="107" w:right="142"/>
      </w:pPr>
      <w:r>
        <w:rPr/>
        <w:t>a member of the Board </w:t>
      </w:r>
      <w:r>
        <w:rPr>
          <w:rFonts w:ascii="Century Gothic"/>
          <w:i/>
        </w:rPr>
        <w:t>ex officio</w:t>
      </w:r>
      <w:r>
        <w:rPr/>
        <w:t>. There </w:t>
      </w:r>
      <w:r>
        <w:rPr>
          <w:w w:val="97"/>
        </w:rPr>
        <w:t>were </w:t>
      </w:r>
      <w:r>
        <w:rPr>
          <w:w w:val="96"/>
        </w:rPr>
        <w:t>several </w:t>
      </w:r>
      <w:r>
        <w:rPr>
          <w:w w:val="97"/>
        </w:rPr>
        <w:t>changes </w:t>
      </w:r>
      <w:r>
        <w:rPr>
          <w:w w:val="101"/>
        </w:rPr>
        <w:t>to </w:t>
      </w:r>
      <w:r>
        <w:rPr>
          <w:w w:val="97"/>
        </w:rPr>
        <w:t>the </w:t>
      </w:r>
      <w:r>
        <w:rPr>
          <w:w w:val="99"/>
        </w:rPr>
        <w:t>Board </w:t>
      </w:r>
      <w:r>
        <w:rPr>
          <w:w w:val="95"/>
        </w:rPr>
        <w:t>in </w:t>
      </w:r>
      <w:r>
        <w:rPr>
          <w:w w:val="85"/>
        </w:rPr>
        <w:t>2016, </w:t>
      </w:r>
      <w:r>
        <w:rPr/>
        <w:t>with Dr Kerry Schott, AO retiring, and foundation Board member and former Chair, Geoffrey Roberson, QC standing down. Cameron Clyne joined the Board.</w:t>
      </w:r>
    </w:p>
    <w:p>
      <w:pPr>
        <w:pStyle w:val="BodyText"/>
        <w:spacing w:before="2"/>
        <w:rPr>
          <w:sz w:val="14"/>
        </w:rPr>
      </w:pPr>
    </w:p>
    <w:p>
      <w:pPr>
        <w:pStyle w:val="BodyText"/>
        <w:spacing w:line="249" w:lineRule="auto"/>
        <w:ind w:left="107" w:right="524"/>
      </w:pPr>
      <w:r>
        <w:rPr/>
        <w:t>The</w:t>
      </w:r>
      <w:r>
        <w:rPr>
          <w:spacing w:val="-18"/>
        </w:rPr>
        <w:t> </w:t>
      </w:r>
      <w:r>
        <w:rPr/>
        <w:t>Whitlam</w:t>
      </w:r>
      <w:r>
        <w:rPr>
          <w:spacing w:val="-18"/>
        </w:rPr>
        <w:t> </w:t>
      </w:r>
      <w:r>
        <w:rPr/>
        <w:t>Institute</w:t>
      </w:r>
      <w:r>
        <w:rPr>
          <w:spacing w:val="-18"/>
        </w:rPr>
        <w:t> </w:t>
      </w:r>
      <w:r>
        <w:rPr/>
        <w:t>is</w:t>
      </w:r>
      <w:r>
        <w:rPr>
          <w:spacing w:val="-18"/>
        </w:rPr>
        <w:t> </w:t>
      </w:r>
      <w:r>
        <w:rPr/>
        <w:t>led</w:t>
      </w:r>
      <w:r>
        <w:rPr>
          <w:spacing w:val="-18"/>
        </w:rPr>
        <w:t> </w:t>
      </w:r>
      <w:r>
        <w:rPr/>
        <w:t>by</w:t>
      </w:r>
      <w:r>
        <w:rPr>
          <w:spacing w:val="-18"/>
        </w:rPr>
        <w:t> </w:t>
      </w:r>
      <w:r>
        <w:rPr/>
        <w:t>Director Eric</w:t>
      </w:r>
      <w:r>
        <w:rPr>
          <w:spacing w:val="-21"/>
        </w:rPr>
        <w:t> </w:t>
      </w:r>
      <w:r>
        <w:rPr/>
        <w:t>Sidoti.</w:t>
      </w:r>
    </w:p>
    <w:p>
      <w:pPr>
        <w:pStyle w:val="BodyText"/>
        <w:spacing w:before="3"/>
        <w:rPr>
          <w:sz w:val="19"/>
        </w:rPr>
      </w:pPr>
    </w:p>
    <w:p>
      <w:pPr>
        <w:pStyle w:val="Heading7"/>
        <w:ind w:right="0"/>
      </w:pPr>
      <w:r>
        <w:rPr>
          <w:w w:val="95"/>
        </w:rPr>
        <w:t>WHITLAM PRIME MINISTERIAL COLLECTION</w:t>
      </w:r>
    </w:p>
    <w:p>
      <w:pPr>
        <w:pStyle w:val="BodyText"/>
        <w:spacing w:line="249" w:lineRule="auto" w:before="58"/>
        <w:ind w:left="107" w:right="275"/>
      </w:pPr>
      <w:r>
        <w:rPr/>
        <w:t>The Whitlam Prime Ministerial Collection is a significant national collection of more than 35,000 items, primarily donated</w:t>
      </w:r>
    </w:p>
    <w:p>
      <w:pPr>
        <w:pStyle w:val="BodyText"/>
        <w:spacing w:line="249" w:lineRule="auto"/>
        <w:ind w:left="107" w:right="376"/>
      </w:pPr>
      <w:r>
        <w:rPr/>
        <w:t>by Gough and Margaret Whitlam and the Whitlam family. The collection is notable for its comprehensiveness and the importance of individual items, such as Sir John Kerr’s letter of dismissal, Mr</w:t>
      </w:r>
    </w:p>
    <w:p>
      <w:pPr>
        <w:pStyle w:val="BodyText"/>
        <w:spacing w:line="249" w:lineRule="auto"/>
        <w:ind w:left="107" w:right="99"/>
      </w:pPr>
      <w:r>
        <w:rPr/>
        <w:t>Whitlam’s logbooks and Margaret Whitlam’s diaries. It continues to attract donations from associates of Mr Whitlam and the public. The collection is an important and freely available resource for students, researchers, journalists and the public.</w:t>
      </w:r>
    </w:p>
    <w:p>
      <w:pPr>
        <w:pStyle w:val="BodyText"/>
        <w:rPr>
          <w:sz w:val="14"/>
        </w:rPr>
      </w:pPr>
    </w:p>
    <w:p>
      <w:pPr>
        <w:pStyle w:val="BodyText"/>
        <w:spacing w:line="249" w:lineRule="auto"/>
        <w:ind w:left="107" w:right="278"/>
      </w:pPr>
      <w:r>
        <w:rPr/>
        <w:t>In addition to the permanent exhibition, </w:t>
      </w:r>
      <w:r>
        <w:rPr>
          <w:spacing w:val="-4"/>
        </w:rPr>
        <w:t>‘A </w:t>
      </w:r>
      <w:r>
        <w:rPr/>
        <w:t>Changing Australia: The time of Gough Whitlam’, other items from the collection were displayed on several occasions.</w:t>
      </w:r>
    </w:p>
    <w:p>
      <w:pPr>
        <w:pStyle w:val="BodyText"/>
        <w:spacing w:line="249" w:lineRule="auto"/>
        <w:ind w:left="107" w:right="244"/>
      </w:pPr>
      <w:r>
        <w:rPr/>
        <w:t>These included Institute open days; VIP visits, including international delegations; schools program; and relevant exhibitions in the Margaret Whitlam Galleries.</w:t>
      </w:r>
    </w:p>
    <w:p>
      <w:pPr>
        <w:pStyle w:val="BodyText"/>
        <w:spacing w:before="7"/>
        <w:rPr>
          <w:sz w:val="20"/>
        </w:rPr>
      </w:pPr>
      <w:r>
        <w:rPr/>
        <w:br w:type="column"/>
      </w:r>
      <w:r>
        <w:rPr>
          <w:sz w:val="20"/>
        </w:rPr>
      </w:r>
    </w:p>
    <w:p>
      <w:pPr>
        <w:pStyle w:val="Heading7"/>
      </w:pPr>
      <w:r>
        <w:rPr>
          <w:w w:val="95"/>
        </w:rPr>
        <w:t>WHITLAM INSTITUTE RESEARCH PROGRAM</w:t>
      </w:r>
    </w:p>
    <w:p>
      <w:pPr>
        <w:pStyle w:val="BodyText"/>
        <w:spacing w:line="249" w:lineRule="auto" w:before="58"/>
        <w:ind w:left="107" w:right="636"/>
      </w:pPr>
      <w:r>
        <w:rPr/>
        <w:t>The Whitlam Institute’s public policy research program included:</w:t>
      </w:r>
    </w:p>
    <w:p>
      <w:pPr>
        <w:pStyle w:val="BodyText"/>
        <w:spacing w:line="244" w:lineRule="auto" w:before="55"/>
        <w:ind w:left="305" w:right="149" w:hanging="199"/>
      </w:pPr>
      <w:r>
        <w:rPr>
          <w:rFonts w:ascii="Century Gothic" w:hAnsi="Century Gothic"/>
          <w:b/>
          <w:w w:val="115"/>
        </w:rPr>
        <w:t>≥ </w:t>
      </w:r>
      <w:r>
        <w:rPr/>
        <w:t>the Human Rights and Public Life program,</w:t>
      </w:r>
      <w:r>
        <w:rPr>
          <w:spacing w:val="-25"/>
        </w:rPr>
        <w:t> </w:t>
      </w:r>
      <w:r>
        <w:rPr/>
        <w:t>led</w:t>
      </w:r>
      <w:r>
        <w:rPr>
          <w:spacing w:val="-25"/>
        </w:rPr>
        <w:t> </w:t>
      </w:r>
      <w:r>
        <w:rPr/>
        <w:t>by</w:t>
      </w:r>
      <w:r>
        <w:rPr>
          <w:spacing w:val="-25"/>
        </w:rPr>
        <w:t> </w:t>
      </w:r>
      <w:r>
        <w:rPr/>
        <w:t>Professor</w:t>
      </w:r>
      <w:r>
        <w:rPr>
          <w:spacing w:val="-25"/>
        </w:rPr>
        <w:t> </w:t>
      </w:r>
      <w:r>
        <w:rPr/>
        <w:t>Anna</w:t>
      </w:r>
      <w:r>
        <w:rPr>
          <w:spacing w:val="-25"/>
        </w:rPr>
        <w:t> </w:t>
      </w:r>
      <w:r>
        <w:rPr/>
        <w:t>Yeatman,</w:t>
      </w:r>
    </w:p>
    <w:p>
      <w:pPr>
        <w:pStyle w:val="BodyText"/>
        <w:spacing w:line="247" w:lineRule="auto" w:before="3"/>
        <w:ind w:left="305" w:right="-7"/>
      </w:pPr>
      <w:r>
        <w:rPr/>
        <w:t>Professorial</w:t>
      </w:r>
      <w:r>
        <w:rPr>
          <w:spacing w:val="-31"/>
        </w:rPr>
        <w:t> </w:t>
      </w:r>
      <w:r>
        <w:rPr/>
        <w:t>Research</w:t>
      </w:r>
      <w:r>
        <w:rPr>
          <w:spacing w:val="-31"/>
        </w:rPr>
        <w:t> </w:t>
      </w:r>
      <w:r>
        <w:rPr/>
        <w:t>Fellow</w:t>
      </w:r>
      <w:r>
        <w:rPr>
          <w:spacing w:val="-31"/>
        </w:rPr>
        <w:t> </w:t>
      </w:r>
      <w:r>
        <w:rPr/>
        <w:t>at</w:t>
      </w:r>
      <w:r>
        <w:rPr>
          <w:spacing w:val="-31"/>
        </w:rPr>
        <w:t> </w:t>
      </w:r>
      <w:r>
        <w:rPr/>
        <w:t>the</w:t>
      </w:r>
      <w:r>
        <w:rPr>
          <w:spacing w:val="-31"/>
        </w:rPr>
        <w:t> </w:t>
      </w:r>
      <w:r>
        <w:rPr/>
        <w:t>Institute, which</w:t>
      </w:r>
      <w:r>
        <w:rPr>
          <w:spacing w:val="-20"/>
        </w:rPr>
        <w:t> </w:t>
      </w:r>
      <w:r>
        <w:rPr/>
        <w:t>released</w:t>
      </w:r>
      <w:r>
        <w:rPr>
          <w:spacing w:val="-20"/>
        </w:rPr>
        <w:t> </w:t>
      </w:r>
      <w:r>
        <w:rPr/>
        <w:t>the</w:t>
      </w:r>
      <w:r>
        <w:rPr>
          <w:spacing w:val="-20"/>
        </w:rPr>
        <w:t> </w:t>
      </w:r>
      <w:r>
        <w:rPr/>
        <w:t>third</w:t>
      </w:r>
      <w:r>
        <w:rPr>
          <w:spacing w:val="-20"/>
        </w:rPr>
        <w:t> </w:t>
      </w:r>
      <w:r>
        <w:rPr/>
        <w:t>volume</w:t>
      </w:r>
      <w:r>
        <w:rPr>
          <w:spacing w:val="-20"/>
        </w:rPr>
        <w:t> </w:t>
      </w:r>
      <w:r>
        <w:rPr/>
        <w:t>of</w:t>
      </w:r>
      <w:r>
        <w:rPr>
          <w:spacing w:val="-20"/>
        </w:rPr>
        <w:t> </w:t>
      </w:r>
      <w:r>
        <w:rPr/>
        <w:t>working </w:t>
      </w:r>
      <w:r>
        <w:rPr>
          <w:w w:val="95"/>
        </w:rPr>
        <w:t>papers,</w:t>
      </w:r>
      <w:r>
        <w:rPr>
          <w:spacing w:val="-35"/>
          <w:w w:val="95"/>
        </w:rPr>
        <w:t> </w:t>
      </w:r>
      <w:r>
        <w:rPr>
          <w:rFonts w:ascii="Century Gothic"/>
          <w:i/>
          <w:w w:val="95"/>
        </w:rPr>
        <w:t>Reclaiming</w:t>
      </w:r>
      <w:r>
        <w:rPr>
          <w:rFonts w:ascii="Century Gothic"/>
          <w:i/>
          <w:spacing w:val="-29"/>
          <w:w w:val="95"/>
        </w:rPr>
        <w:t> </w:t>
      </w:r>
      <w:r>
        <w:rPr>
          <w:rFonts w:ascii="Century Gothic"/>
          <w:i/>
          <w:w w:val="95"/>
        </w:rPr>
        <w:t>the</w:t>
      </w:r>
      <w:r>
        <w:rPr>
          <w:rFonts w:ascii="Century Gothic"/>
          <w:i/>
          <w:spacing w:val="-29"/>
          <w:w w:val="95"/>
        </w:rPr>
        <w:t> </w:t>
      </w:r>
      <w:r>
        <w:rPr>
          <w:rFonts w:ascii="Century Gothic"/>
          <w:i/>
          <w:w w:val="95"/>
        </w:rPr>
        <w:t>Public</w:t>
      </w:r>
      <w:r>
        <w:rPr>
          <w:w w:val="95"/>
        </w:rPr>
        <w:t>,</w:t>
      </w:r>
      <w:r>
        <w:rPr>
          <w:spacing w:val="-35"/>
          <w:w w:val="95"/>
        </w:rPr>
        <w:t> </w:t>
      </w:r>
      <w:r>
        <w:rPr>
          <w:w w:val="95"/>
        </w:rPr>
        <w:t>in</w:t>
      </w:r>
      <w:r>
        <w:rPr>
          <w:spacing w:val="-35"/>
          <w:w w:val="95"/>
        </w:rPr>
        <w:t> </w:t>
      </w:r>
      <w:r>
        <w:rPr>
          <w:w w:val="95"/>
        </w:rPr>
        <w:t>July</w:t>
      </w:r>
    </w:p>
    <w:p>
      <w:pPr>
        <w:pStyle w:val="BodyText"/>
        <w:spacing w:line="247" w:lineRule="auto" w:before="54"/>
        <w:ind w:left="305" w:right="59" w:hanging="199"/>
      </w:pPr>
      <w:r>
        <w:rPr>
          <w:rFonts w:ascii="Century Gothic" w:hAnsi="Century Gothic"/>
          <w:b/>
          <w:w w:val="115"/>
        </w:rPr>
        <w:t>≥ </w:t>
      </w:r>
      <w:r>
        <w:rPr/>
        <w:t>policy essays addressing historical aspects of the Whitlam program (published under the ‘Whitlam Legacy’ series) and areas of contemporary policy relevance (published under the ‘Perspectives’ series)</w:t>
      </w:r>
    </w:p>
    <w:p>
      <w:pPr>
        <w:pStyle w:val="BodyText"/>
        <w:spacing w:line="247" w:lineRule="auto" w:before="57"/>
        <w:ind w:left="305" w:right="219" w:hanging="199"/>
      </w:pPr>
      <w:r>
        <w:rPr>
          <w:rFonts w:ascii="Century Gothic" w:hAnsi="Century Gothic"/>
          <w:b/>
          <w:w w:val="115"/>
        </w:rPr>
        <w:t>≥ </w:t>
      </w:r>
      <w:r>
        <w:rPr/>
        <w:t>longer-term research projects; most notably, projects on the impacts of ‘high-stakes testing’ on school students and political participation by younger Australians</w:t>
      </w:r>
    </w:p>
    <w:p>
      <w:pPr>
        <w:pStyle w:val="BodyText"/>
        <w:spacing w:line="247" w:lineRule="auto" w:before="57"/>
        <w:ind w:left="305" w:right="53" w:hanging="199"/>
      </w:pPr>
      <w:r>
        <w:rPr>
          <w:rFonts w:ascii="Century Gothic" w:hAnsi="Century Gothic"/>
          <w:b/>
          <w:w w:val="115"/>
        </w:rPr>
        <w:t>≥</w:t>
      </w:r>
      <w:r>
        <w:rPr>
          <w:rFonts w:ascii="Century Gothic" w:hAnsi="Century Gothic"/>
          <w:b/>
          <w:spacing w:val="22"/>
          <w:w w:val="115"/>
        </w:rPr>
        <w:t> </w:t>
      </w:r>
      <w:r>
        <w:rPr/>
        <w:t>a</w:t>
      </w:r>
      <w:r>
        <w:rPr>
          <w:spacing w:val="-11"/>
        </w:rPr>
        <w:t> </w:t>
      </w:r>
      <w:r>
        <w:rPr/>
        <w:t>visit</w:t>
      </w:r>
      <w:r>
        <w:rPr>
          <w:spacing w:val="-11"/>
        </w:rPr>
        <w:t> </w:t>
      </w:r>
      <w:r>
        <w:rPr/>
        <w:t>in</w:t>
      </w:r>
      <w:r>
        <w:rPr>
          <w:spacing w:val="-11"/>
        </w:rPr>
        <w:t> </w:t>
      </w:r>
      <w:r>
        <w:rPr/>
        <w:t>June</w:t>
      </w:r>
      <w:r>
        <w:rPr>
          <w:spacing w:val="-11"/>
        </w:rPr>
        <w:t> </w:t>
      </w:r>
      <w:r>
        <w:rPr/>
        <w:t>by</w:t>
      </w:r>
      <w:r>
        <w:rPr>
          <w:spacing w:val="-11"/>
        </w:rPr>
        <w:t> </w:t>
      </w:r>
      <w:r>
        <w:rPr/>
        <w:t>Dr</w:t>
      </w:r>
      <w:r>
        <w:rPr>
          <w:spacing w:val="-11"/>
        </w:rPr>
        <w:t> </w:t>
      </w:r>
      <w:r>
        <w:rPr/>
        <w:t>Edward</w:t>
      </w:r>
      <w:r>
        <w:rPr>
          <w:spacing w:val="-11"/>
        </w:rPr>
        <w:t> </w:t>
      </w:r>
      <w:r>
        <w:rPr/>
        <w:t>Nik-Khah</w:t>
      </w:r>
      <w:r>
        <w:rPr>
          <w:spacing w:val="-11"/>
        </w:rPr>
        <w:t> </w:t>
      </w:r>
      <w:r>
        <w:rPr/>
        <w:t>from Roanoke College, Virginia, </w:t>
      </w:r>
      <w:r>
        <w:rPr>
          <w:spacing w:val="2"/>
        </w:rPr>
        <w:t>US, </w:t>
      </w:r>
      <w:r>
        <w:rPr/>
        <w:t>who spent time</w:t>
      </w:r>
      <w:r>
        <w:rPr>
          <w:spacing w:val="-19"/>
        </w:rPr>
        <w:t> </w:t>
      </w:r>
      <w:r>
        <w:rPr/>
        <w:t>with</w:t>
      </w:r>
      <w:r>
        <w:rPr>
          <w:spacing w:val="-19"/>
        </w:rPr>
        <w:t> </w:t>
      </w:r>
      <w:r>
        <w:rPr/>
        <w:t>the</w:t>
      </w:r>
      <w:r>
        <w:rPr>
          <w:spacing w:val="-19"/>
        </w:rPr>
        <w:t> </w:t>
      </w:r>
      <w:r>
        <w:rPr/>
        <w:t>Institute</w:t>
      </w:r>
      <w:r>
        <w:rPr>
          <w:spacing w:val="-19"/>
        </w:rPr>
        <w:t> </w:t>
      </w:r>
      <w:r>
        <w:rPr/>
        <w:t>and</w:t>
      </w:r>
      <w:r>
        <w:rPr>
          <w:spacing w:val="-19"/>
        </w:rPr>
        <w:t> </w:t>
      </w:r>
      <w:r>
        <w:rPr/>
        <w:t>spoke</w:t>
      </w:r>
      <w:r>
        <w:rPr>
          <w:spacing w:val="-19"/>
        </w:rPr>
        <w:t> </w:t>
      </w:r>
      <w:r>
        <w:rPr/>
        <w:t>at</w:t>
      </w:r>
      <w:r>
        <w:rPr>
          <w:spacing w:val="-19"/>
        </w:rPr>
        <w:t> </w:t>
      </w:r>
      <w:r>
        <w:rPr/>
        <w:t>forums in</w:t>
      </w:r>
      <w:r>
        <w:rPr>
          <w:spacing w:val="-24"/>
        </w:rPr>
        <w:t> </w:t>
      </w:r>
      <w:r>
        <w:rPr/>
        <w:t>Sydney,</w:t>
      </w:r>
      <w:r>
        <w:rPr>
          <w:spacing w:val="-24"/>
        </w:rPr>
        <w:t> </w:t>
      </w:r>
      <w:r>
        <w:rPr/>
        <w:t>Melbourne</w:t>
      </w:r>
      <w:r>
        <w:rPr>
          <w:spacing w:val="-24"/>
        </w:rPr>
        <w:t> </w:t>
      </w:r>
      <w:r>
        <w:rPr/>
        <w:t>and</w:t>
      </w:r>
      <w:r>
        <w:rPr>
          <w:spacing w:val="-24"/>
        </w:rPr>
        <w:t> </w:t>
      </w:r>
      <w:r>
        <w:rPr>
          <w:spacing w:val="2"/>
        </w:rPr>
        <w:t>Hobart</w:t>
      </w:r>
    </w:p>
    <w:p>
      <w:pPr>
        <w:pStyle w:val="BodyText"/>
        <w:spacing w:line="247" w:lineRule="auto" w:before="57"/>
        <w:ind w:left="305" w:right="106" w:hanging="199"/>
      </w:pPr>
      <w:r>
        <w:rPr>
          <w:rFonts w:ascii="Century Gothic" w:hAnsi="Century Gothic"/>
          <w:b/>
          <w:w w:val="145"/>
        </w:rPr>
        <w:t>≥ </w:t>
      </w:r>
      <w:r>
        <w:rPr>
          <w:w w:val="97"/>
        </w:rPr>
        <w:t>the </w:t>
      </w:r>
      <w:r>
        <w:rPr>
          <w:w w:val="90"/>
        </w:rPr>
        <w:t>2016 </w:t>
      </w:r>
      <w:r>
        <w:rPr>
          <w:w w:val="94"/>
        </w:rPr>
        <w:t>International </w:t>
      </w:r>
      <w:r>
        <w:rPr>
          <w:w w:val="98"/>
        </w:rPr>
        <w:t>Whitlam </w:t>
      </w:r>
      <w:r>
        <w:rPr>
          <w:w w:val="95"/>
        </w:rPr>
        <w:t>Workshop, </w:t>
      </w:r>
      <w:r>
        <w:rPr/>
        <w:t>titled ‘Economic Rationalism in Canberra: Twenty-Five Years On’</w:t>
      </w:r>
    </w:p>
    <w:p>
      <w:pPr>
        <w:pStyle w:val="BodyText"/>
        <w:spacing w:line="247" w:lineRule="auto" w:before="57"/>
        <w:ind w:left="305" w:right="-2" w:hanging="199"/>
      </w:pPr>
      <w:r>
        <w:rPr>
          <w:rFonts w:ascii="Century Gothic" w:hAnsi="Century Gothic"/>
          <w:b/>
          <w:w w:val="115"/>
        </w:rPr>
        <w:t>≥</w:t>
      </w:r>
      <w:r>
        <w:rPr>
          <w:rFonts w:ascii="Century Gothic" w:hAnsi="Century Gothic"/>
          <w:b/>
          <w:spacing w:val="22"/>
          <w:w w:val="115"/>
        </w:rPr>
        <w:t> </w:t>
      </w:r>
      <w:r>
        <w:rPr/>
        <w:t>a</w:t>
      </w:r>
      <w:r>
        <w:rPr>
          <w:spacing w:val="-11"/>
        </w:rPr>
        <w:t> </w:t>
      </w:r>
      <w:r>
        <w:rPr/>
        <w:t>visit</w:t>
      </w:r>
      <w:r>
        <w:rPr>
          <w:spacing w:val="-11"/>
        </w:rPr>
        <w:t> </w:t>
      </w:r>
      <w:r>
        <w:rPr/>
        <w:t>in</w:t>
      </w:r>
      <w:r>
        <w:rPr>
          <w:spacing w:val="-11"/>
        </w:rPr>
        <w:t> </w:t>
      </w:r>
      <w:r>
        <w:rPr/>
        <w:t>November</w:t>
      </w:r>
      <w:r>
        <w:rPr>
          <w:spacing w:val="-11"/>
        </w:rPr>
        <w:t> </w:t>
      </w:r>
      <w:r>
        <w:rPr/>
        <w:t>by</w:t>
      </w:r>
      <w:r>
        <w:rPr>
          <w:spacing w:val="-11"/>
        </w:rPr>
        <w:t> </w:t>
      </w:r>
      <w:r>
        <w:rPr/>
        <w:t>Dr</w:t>
      </w:r>
      <w:r>
        <w:rPr>
          <w:spacing w:val="-11"/>
        </w:rPr>
        <w:t> </w:t>
      </w:r>
      <w:r>
        <w:rPr/>
        <w:t>Justine</w:t>
      </w:r>
      <w:r>
        <w:rPr>
          <w:spacing w:val="-11"/>
        </w:rPr>
        <w:t> </w:t>
      </w:r>
      <w:r>
        <w:rPr/>
        <w:t>Gronbaek Pors from the Copenhagen Business School,</w:t>
      </w:r>
      <w:r>
        <w:rPr>
          <w:spacing w:val="-19"/>
        </w:rPr>
        <w:t> </w:t>
      </w:r>
      <w:r>
        <w:rPr/>
        <w:t>where</w:t>
      </w:r>
      <w:r>
        <w:rPr>
          <w:spacing w:val="-19"/>
        </w:rPr>
        <w:t> </w:t>
      </w:r>
      <w:r>
        <w:rPr/>
        <w:t>she</w:t>
      </w:r>
      <w:r>
        <w:rPr>
          <w:spacing w:val="-19"/>
        </w:rPr>
        <w:t> </w:t>
      </w:r>
      <w:r>
        <w:rPr/>
        <w:t>headlined</w:t>
      </w:r>
      <w:r>
        <w:rPr>
          <w:spacing w:val="-19"/>
        </w:rPr>
        <w:t> </w:t>
      </w:r>
      <w:r>
        <w:rPr/>
        <w:t>workshops</w:t>
      </w:r>
    </w:p>
    <w:p>
      <w:pPr>
        <w:pStyle w:val="BodyText"/>
        <w:spacing w:line="249" w:lineRule="auto" w:before="1"/>
        <w:ind w:left="305" w:right="39"/>
      </w:pPr>
      <w:r>
        <w:rPr/>
        <w:t>on ‘New Technologies of Government and Their Implications for Value’</w:t>
      </w:r>
    </w:p>
    <w:p>
      <w:pPr>
        <w:pStyle w:val="BodyText"/>
        <w:spacing w:line="247" w:lineRule="auto" w:before="55"/>
        <w:ind w:left="305" w:right="-3" w:hanging="199"/>
      </w:pPr>
      <w:r>
        <w:rPr>
          <w:rFonts w:ascii="Century Gothic" w:hAnsi="Century Gothic"/>
          <w:b/>
          <w:w w:val="115"/>
        </w:rPr>
        <w:t>≥</w:t>
      </w:r>
      <w:r>
        <w:rPr>
          <w:rFonts w:ascii="Century Gothic" w:hAnsi="Century Gothic"/>
          <w:b/>
          <w:spacing w:val="12"/>
          <w:w w:val="115"/>
        </w:rPr>
        <w:t> </w:t>
      </w:r>
      <w:r>
        <w:rPr/>
        <w:t>public</w:t>
      </w:r>
      <w:r>
        <w:rPr>
          <w:spacing w:val="-16"/>
        </w:rPr>
        <w:t> </w:t>
      </w:r>
      <w:r>
        <w:rPr/>
        <w:t>seminars,</w:t>
      </w:r>
      <w:r>
        <w:rPr>
          <w:spacing w:val="-16"/>
        </w:rPr>
        <w:t> </w:t>
      </w:r>
      <w:r>
        <w:rPr/>
        <w:t>forums</w:t>
      </w:r>
      <w:r>
        <w:rPr>
          <w:spacing w:val="-16"/>
        </w:rPr>
        <w:t> </w:t>
      </w:r>
      <w:r>
        <w:rPr/>
        <w:t>and</w:t>
      </w:r>
      <w:r>
        <w:rPr>
          <w:spacing w:val="-16"/>
        </w:rPr>
        <w:t> </w:t>
      </w:r>
      <w:r>
        <w:rPr>
          <w:spacing w:val="2"/>
        </w:rPr>
        <w:t>talks,</w:t>
      </w:r>
      <w:r>
        <w:rPr>
          <w:spacing w:val="-16"/>
        </w:rPr>
        <w:t> </w:t>
      </w:r>
      <w:r>
        <w:rPr/>
        <w:t>including a presentation by the </w:t>
      </w:r>
      <w:r>
        <w:rPr>
          <w:spacing w:val="2"/>
        </w:rPr>
        <w:t>Hon. </w:t>
      </w:r>
      <w:r>
        <w:rPr/>
        <w:t>Michael Kirby, AC,</w:t>
      </w:r>
      <w:r>
        <w:rPr>
          <w:spacing w:val="-18"/>
        </w:rPr>
        <w:t> </w:t>
      </w:r>
      <w:r>
        <w:rPr/>
        <w:t>CMG</w:t>
      </w:r>
      <w:r>
        <w:rPr>
          <w:spacing w:val="-18"/>
        </w:rPr>
        <w:t> </w:t>
      </w:r>
      <w:r>
        <w:rPr/>
        <w:t>on</w:t>
      </w:r>
      <w:r>
        <w:rPr>
          <w:spacing w:val="-18"/>
        </w:rPr>
        <w:t> </w:t>
      </w:r>
      <w:r>
        <w:rPr/>
        <w:t>the</w:t>
      </w:r>
      <w:r>
        <w:rPr>
          <w:spacing w:val="-18"/>
        </w:rPr>
        <w:t> </w:t>
      </w:r>
      <w:r>
        <w:rPr/>
        <w:t>marriage</w:t>
      </w:r>
      <w:r>
        <w:rPr>
          <w:spacing w:val="-18"/>
        </w:rPr>
        <w:t> </w:t>
      </w:r>
      <w:r>
        <w:rPr/>
        <w:t>plebiscite;</w:t>
      </w:r>
      <w:r>
        <w:rPr>
          <w:spacing w:val="-18"/>
        </w:rPr>
        <w:t> </w:t>
      </w:r>
      <w:r>
        <w:rPr/>
        <w:t>a</w:t>
      </w:r>
      <w:r>
        <w:rPr>
          <w:spacing w:val="-18"/>
        </w:rPr>
        <w:t> </w:t>
      </w:r>
      <w:r>
        <w:rPr/>
        <w:t>panel discussion</w:t>
      </w:r>
      <w:r>
        <w:rPr>
          <w:spacing w:val="-21"/>
        </w:rPr>
        <w:t> </w:t>
      </w:r>
      <w:r>
        <w:rPr/>
        <w:t>involving</w:t>
      </w:r>
      <w:r>
        <w:rPr>
          <w:spacing w:val="-21"/>
        </w:rPr>
        <w:t> </w:t>
      </w:r>
      <w:r>
        <w:rPr/>
        <w:t>the</w:t>
      </w:r>
      <w:r>
        <w:rPr>
          <w:spacing w:val="-21"/>
        </w:rPr>
        <w:t> </w:t>
      </w:r>
      <w:r>
        <w:rPr>
          <w:spacing w:val="2"/>
        </w:rPr>
        <w:t>Hon.</w:t>
      </w:r>
      <w:r>
        <w:rPr>
          <w:spacing w:val="-21"/>
        </w:rPr>
        <w:t> </w:t>
      </w:r>
      <w:r>
        <w:rPr/>
        <w:t>Linda</w:t>
      </w:r>
      <w:r>
        <w:rPr>
          <w:spacing w:val="-21"/>
        </w:rPr>
        <w:t> </w:t>
      </w:r>
      <w:r>
        <w:rPr/>
        <w:t>Burney, the</w:t>
      </w:r>
      <w:r>
        <w:rPr>
          <w:spacing w:val="-16"/>
        </w:rPr>
        <w:t> </w:t>
      </w:r>
      <w:r>
        <w:rPr>
          <w:spacing w:val="2"/>
        </w:rPr>
        <w:t>Hon.</w:t>
      </w:r>
      <w:r>
        <w:rPr>
          <w:spacing w:val="-16"/>
        </w:rPr>
        <w:t> </w:t>
      </w:r>
      <w:r>
        <w:rPr/>
        <w:t>Bob</w:t>
      </w:r>
      <w:r>
        <w:rPr>
          <w:spacing w:val="-16"/>
        </w:rPr>
        <w:t> </w:t>
      </w:r>
      <w:r>
        <w:rPr/>
        <w:t>Debus</w:t>
      </w:r>
      <w:r>
        <w:rPr>
          <w:spacing w:val="-16"/>
        </w:rPr>
        <w:t> </w:t>
      </w:r>
      <w:r>
        <w:rPr/>
        <w:t>and</w:t>
      </w:r>
      <w:r>
        <w:rPr>
          <w:spacing w:val="-16"/>
        </w:rPr>
        <w:t> </w:t>
      </w:r>
      <w:r>
        <w:rPr/>
        <w:t>Dr</w:t>
      </w:r>
      <w:r>
        <w:rPr>
          <w:spacing w:val="-16"/>
        </w:rPr>
        <w:t> </w:t>
      </w:r>
      <w:r>
        <w:rPr/>
        <w:t>Megan</w:t>
      </w:r>
      <w:r>
        <w:rPr>
          <w:spacing w:val="-16"/>
        </w:rPr>
        <w:t> </w:t>
      </w:r>
      <w:r>
        <w:rPr/>
        <w:t>Williams at the Indigenous Incarceration and Community</w:t>
      </w:r>
      <w:r>
        <w:rPr>
          <w:spacing w:val="-18"/>
        </w:rPr>
        <w:t> </w:t>
      </w:r>
      <w:r>
        <w:rPr/>
        <w:t>Solutions</w:t>
      </w:r>
      <w:r>
        <w:rPr>
          <w:spacing w:val="-18"/>
        </w:rPr>
        <w:t> </w:t>
      </w:r>
      <w:r>
        <w:rPr/>
        <w:t>event;</w:t>
      </w:r>
      <w:r>
        <w:rPr>
          <w:spacing w:val="-18"/>
        </w:rPr>
        <w:t> </w:t>
      </w:r>
      <w:r>
        <w:rPr/>
        <w:t>and</w:t>
      </w:r>
      <w:r>
        <w:rPr>
          <w:spacing w:val="-18"/>
        </w:rPr>
        <w:t> </w:t>
      </w:r>
      <w:r>
        <w:rPr/>
        <w:t>a</w:t>
      </w:r>
      <w:r>
        <w:rPr>
          <w:spacing w:val="-18"/>
        </w:rPr>
        <w:t> </w:t>
      </w:r>
      <w:r>
        <w:rPr/>
        <w:t>forum</w:t>
      </w:r>
      <w:r>
        <w:rPr>
          <w:spacing w:val="-18"/>
        </w:rPr>
        <w:t> </w:t>
      </w:r>
      <w:r>
        <w:rPr/>
        <w:t>in conjunction</w:t>
      </w:r>
      <w:r>
        <w:rPr>
          <w:spacing w:val="-17"/>
        </w:rPr>
        <w:t> </w:t>
      </w:r>
      <w:r>
        <w:rPr/>
        <w:t>with</w:t>
      </w:r>
      <w:r>
        <w:rPr>
          <w:spacing w:val="-17"/>
        </w:rPr>
        <w:t> </w:t>
      </w:r>
      <w:r>
        <w:rPr/>
        <w:t>the</w:t>
      </w:r>
      <w:r>
        <w:rPr>
          <w:spacing w:val="-17"/>
        </w:rPr>
        <w:t> </w:t>
      </w:r>
      <w:r>
        <w:rPr/>
        <w:t>US</w:t>
      </w:r>
      <w:r>
        <w:rPr>
          <w:spacing w:val="-17"/>
        </w:rPr>
        <w:t> </w:t>
      </w:r>
      <w:r>
        <w:rPr/>
        <w:t>Consulate</w:t>
      </w:r>
      <w:r>
        <w:rPr>
          <w:spacing w:val="-17"/>
        </w:rPr>
        <w:t> </w:t>
      </w:r>
      <w:r>
        <w:rPr/>
        <w:t>General on the then imminent US Presidential </w:t>
      </w:r>
      <w:r>
        <w:rPr>
          <w:spacing w:val="2"/>
        </w:rPr>
        <w:t>election,</w:t>
      </w:r>
      <w:r>
        <w:rPr>
          <w:spacing w:val="-20"/>
        </w:rPr>
        <w:t> </w:t>
      </w:r>
      <w:r>
        <w:rPr/>
        <w:t>which</w:t>
      </w:r>
      <w:r>
        <w:rPr>
          <w:spacing w:val="-20"/>
        </w:rPr>
        <w:t> </w:t>
      </w:r>
      <w:r>
        <w:rPr/>
        <w:t>featured</w:t>
      </w:r>
      <w:r>
        <w:rPr>
          <w:spacing w:val="-20"/>
        </w:rPr>
        <w:t> </w:t>
      </w:r>
      <w:r>
        <w:rPr/>
        <w:t>leading</w:t>
      </w:r>
      <w:r>
        <w:rPr>
          <w:spacing w:val="-20"/>
        </w:rPr>
        <w:t> </w:t>
      </w:r>
      <w:r>
        <w:rPr/>
        <w:t>strategists from both the Republican and Democratic </w:t>
      </w:r>
      <w:r>
        <w:rPr>
          <w:spacing w:val="2"/>
        </w:rPr>
        <w:t>party</w:t>
      </w:r>
      <w:r>
        <w:rPr>
          <w:spacing w:val="-19"/>
        </w:rPr>
        <w:t> </w:t>
      </w:r>
      <w:r>
        <w:rPr/>
        <w:t>establishments</w:t>
      </w:r>
    </w:p>
    <w:p>
      <w:pPr>
        <w:pStyle w:val="BodyText"/>
        <w:spacing w:line="247" w:lineRule="auto" w:before="57"/>
        <w:ind w:left="305" w:right="339" w:hanging="199"/>
      </w:pPr>
      <w:r>
        <w:rPr>
          <w:rFonts w:ascii="Century Gothic" w:hAnsi="Century Gothic"/>
          <w:b/>
          <w:w w:val="115"/>
        </w:rPr>
        <w:t>≥ </w:t>
      </w:r>
      <w:r>
        <w:rPr/>
        <w:t>collaborations in Denmark, the US, New Zealand and China (including representation at the 4th Federation of Australian Studies Centres in China conference in Guangzhou).</w:t>
      </w:r>
    </w:p>
    <w:p>
      <w:pPr>
        <w:pStyle w:val="BodyText"/>
        <w:spacing w:before="2"/>
        <w:rPr>
          <w:sz w:val="14"/>
        </w:rPr>
      </w:pPr>
    </w:p>
    <w:p>
      <w:pPr>
        <w:pStyle w:val="BodyText"/>
        <w:spacing w:line="249" w:lineRule="auto"/>
        <w:ind w:left="107" w:right="266"/>
      </w:pPr>
      <w:r>
        <w:rPr/>
        <w:t>Professor Margaret Wilson was appointed a Distinguished Whitlam Institute Fellow</w:t>
      </w:r>
    </w:p>
    <w:p>
      <w:pPr>
        <w:pStyle w:val="BodyText"/>
        <w:spacing w:line="249" w:lineRule="auto"/>
        <w:ind w:left="107" w:right="149"/>
      </w:pPr>
      <w:r>
        <w:rPr/>
        <w:t>and</w:t>
      </w:r>
      <w:r>
        <w:rPr>
          <w:spacing w:val="-17"/>
        </w:rPr>
        <w:t> </w:t>
      </w:r>
      <w:r>
        <w:rPr/>
        <w:t>Dr</w:t>
      </w:r>
      <w:r>
        <w:rPr>
          <w:spacing w:val="-17"/>
        </w:rPr>
        <w:t> </w:t>
      </w:r>
      <w:r>
        <w:rPr/>
        <w:t>Edward</w:t>
      </w:r>
      <w:r>
        <w:rPr>
          <w:spacing w:val="-17"/>
        </w:rPr>
        <w:t> </w:t>
      </w:r>
      <w:r>
        <w:rPr/>
        <w:t>Nik-Khah</w:t>
      </w:r>
      <w:r>
        <w:rPr>
          <w:spacing w:val="-17"/>
        </w:rPr>
        <w:t> </w:t>
      </w:r>
      <w:r>
        <w:rPr/>
        <w:t>a</w:t>
      </w:r>
      <w:r>
        <w:rPr>
          <w:spacing w:val="-17"/>
        </w:rPr>
        <w:t> </w:t>
      </w:r>
      <w:r>
        <w:rPr/>
        <w:t>Whitlam</w:t>
      </w:r>
      <w:r>
        <w:rPr>
          <w:spacing w:val="-17"/>
        </w:rPr>
        <w:t> </w:t>
      </w:r>
      <w:r>
        <w:rPr/>
        <w:t>Institute </w:t>
      </w:r>
      <w:r>
        <w:rPr>
          <w:w w:val="99"/>
        </w:rPr>
        <w:t>Fellow </w:t>
      </w:r>
      <w:r>
        <w:rPr>
          <w:w w:val="95"/>
        </w:rPr>
        <w:t>in</w:t>
      </w:r>
      <w:r>
        <w:rPr>
          <w:spacing w:val="-6"/>
          <w:w w:val="95"/>
        </w:rPr>
        <w:t> </w:t>
      </w:r>
      <w:r>
        <w:rPr>
          <w:spacing w:val="2"/>
          <w:w w:val="85"/>
        </w:rPr>
        <w:t>2016.</w:t>
      </w:r>
    </w:p>
    <w:p>
      <w:pPr>
        <w:pStyle w:val="BodyText"/>
        <w:rPr>
          <w:sz w:val="20"/>
        </w:rPr>
      </w:pPr>
      <w:r>
        <w:rPr/>
        <w:br w:type="column"/>
      </w:r>
      <w:r>
        <w:rPr>
          <w:sz w:val="20"/>
        </w:rPr>
      </w:r>
    </w:p>
    <w:p>
      <w:pPr>
        <w:pStyle w:val="BodyText"/>
        <w:spacing w:line="249" w:lineRule="auto"/>
        <w:ind w:left="107" w:right="27"/>
      </w:pPr>
      <w:r>
        <w:rPr/>
        <w:t>Importantly, the Institute has broken new ground in raising its public profile; for example, Michael Kirby’s presentation on the marriage plebiscite was viewed by more than 38,000 people within 24 hours of going online.</w:t>
      </w:r>
    </w:p>
    <w:p>
      <w:pPr>
        <w:pStyle w:val="BodyText"/>
        <w:spacing w:before="3"/>
        <w:rPr>
          <w:sz w:val="19"/>
        </w:rPr>
      </w:pPr>
    </w:p>
    <w:p>
      <w:pPr>
        <w:pStyle w:val="Heading7"/>
        <w:ind w:right="197"/>
      </w:pPr>
      <w:r>
        <w:rPr>
          <w:w w:val="95"/>
        </w:rPr>
        <w:t>EDUCATION AND COMMUNITY PROGRAM</w:t>
      </w:r>
    </w:p>
    <w:p>
      <w:pPr>
        <w:pStyle w:val="BodyText"/>
        <w:spacing w:line="249" w:lineRule="auto" w:before="58"/>
        <w:ind w:left="107" w:right="616"/>
      </w:pPr>
      <w:r>
        <w:rPr/>
        <w:t>The Whitlam Institute conducts a diverse program of education and community activities including:</w:t>
      </w:r>
    </w:p>
    <w:p>
      <w:pPr>
        <w:pStyle w:val="BodyText"/>
        <w:spacing w:line="247" w:lineRule="auto" w:before="55"/>
        <w:ind w:left="305" w:right="142" w:hanging="199"/>
      </w:pPr>
      <w:r>
        <w:rPr>
          <w:rFonts w:ascii="Century Gothic" w:hAnsi="Century Gothic"/>
          <w:b/>
          <w:w w:val="115"/>
        </w:rPr>
        <w:t>≥ </w:t>
      </w:r>
      <w:r>
        <w:rPr>
          <w:rFonts w:ascii="Century Gothic" w:hAnsi="Century Gothic"/>
          <w:i/>
        </w:rPr>
        <w:t>What Matters?</w:t>
      </w:r>
      <w:r>
        <w:rPr/>
        <w:t>, which is part of the redesigned schools’ program, with a more explicit civics focus (more than 5,000 young people participated in the program </w:t>
      </w:r>
      <w:r>
        <w:rPr>
          <w:w w:val="95"/>
        </w:rPr>
        <w:t>in </w:t>
      </w:r>
      <w:r>
        <w:rPr>
          <w:w w:val="91"/>
        </w:rPr>
        <w:t>2016)</w:t>
      </w:r>
    </w:p>
    <w:p>
      <w:pPr>
        <w:pStyle w:val="BodyText"/>
        <w:spacing w:line="244" w:lineRule="auto" w:before="57"/>
        <w:ind w:left="305" w:right="565" w:hanging="199"/>
      </w:pPr>
      <w:r>
        <w:rPr>
          <w:rFonts w:ascii="Century Gothic" w:hAnsi="Century Gothic"/>
          <w:b/>
          <w:w w:val="115"/>
        </w:rPr>
        <w:t>≥</w:t>
      </w:r>
      <w:r>
        <w:rPr>
          <w:rFonts w:ascii="Century Gothic" w:hAnsi="Century Gothic"/>
          <w:b/>
          <w:spacing w:val="-17"/>
          <w:w w:val="115"/>
        </w:rPr>
        <w:t> </w:t>
      </w:r>
      <w:r>
        <w:rPr>
          <w:w w:val="105"/>
        </w:rPr>
        <w:t>heritage</w:t>
      </w:r>
      <w:r>
        <w:rPr>
          <w:spacing w:val="-34"/>
          <w:w w:val="105"/>
        </w:rPr>
        <w:t> </w:t>
      </w:r>
      <w:r>
        <w:rPr>
          <w:w w:val="105"/>
        </w:rPr>
        <w:t>tours,</w:t>
      </w:r>
      <w:r>
        <w:rPr>
          <w:spacing w:val="-34"/>
          <w:w w:val="105"/>
        </w:rPr>
        <w:t> </w:t>
      </w:r>
      <w:r>
        <w:rPr>
          <w:w w:val="105"/>
        </w:rPr>
        <w:t>historical</w:t>
      </w:r>
      <w:r>
        <w:rPr>
          <w:spacing w:val="-34"/>
          <w:w w:val="105"/>
        </w:rPr>
        <w:t> </w:t>
      </w:r>
      <w:r>
        <w:rPr>
          <w:w w:val="105"/>
        </w:rPr>
        <w:t>insights</w:t>
      </w:r>
      <w:r>
        <w:rPr>
          <w:spacing w:val="-34"/>
          <w:w w:val="105"/>
        </w:rPr>
        <w:t> </w:t>
      </w:r>
      <w:r>
        <w:rPr>
          <w:w w:val="105"/>
        </w:rPr>
        <w:t>and </w:t>
      </w:r>
      <w:r>
        <w:rPr/>
        <w:t>curatorial</w:t>
      </w:r>
      <w:r>
        <w:rPr>
          <w:spacing w:val="-24"/>
        </w:rPr>
        <w:t> </w:t>
      </w:r>
      <w:r>
        <w:rPr/>
        <w:t>lectures</w:t>
      </w:r>
    </w:p>
    <w:p>
      <w:pPr>
        <w:pStyle w:val="BodyText"/>
        <w:spacing w:before="58"/>
        <w:ind w:left="107" w:right="-1"/>
      </w:pPr>
      <w:r>
        <w:rPr>
          <w:rFonts w:ascii="Century Gothic" w:hAnsi="Century Gothic"/>
          <w:b/>
          <w:w w:val="115"/>
        </w:rPr>
        <w:t>≥ </w:t>
      </w:r>
      <w:r>
        <w:rPr>
          <w:w w:val="105"/>
        </w:rPr>
        <w:t>regular weekend ‘open days’ for the public</w:t>
      </w:r>
    </w:p>
    <w:p>
      <w:pPr>
        <w:pStyle w:val="BodyText"/>
        <w:spacing w:before="60"/>
        <w:ind w:left="107" w:right="-1"/>
      </w:pPr>
      <w:r>
        <w:rPr>
          <w:rFonts w:ascii="Century Gothic" w:hAnsi="Century Gothic"/>
          <w:b/>
          <w:w w:val="115"/>
        </w:rPr>
        <w:t>≥ </w:t>
      </w:r>
      <w:r>
        <w:rPr>
          <w:w w:val="105"/>
        </w:rPr>
        <w:t>Christmas at the Female Orphan School</w:t>
      </w:r>
    </w:p>
    <w:p>
      <w:pPr>
        <w:pStyle w:val="BodyText"/>
        <w:spacing w:line="247" w:lineRule="auto" w:before="60"/>
        <w:ind w:left="305" w:right="433" w:hanging="199"/>
      </w:pPr>
      <w:r>
        <w:rPr>
          <w:rFonts w:ascii="Century Gothic" w:hAnsi="Century Gothic"/>
          <w:b/>
          <w:w w:val="115"/>
        </w:rPr>
        <w:t>≥</w:t>
      </w:r>
      <w:r>
        <w:rPr>
          <w:rFonts w:ascii="Century Gothic" w:hAnsi="Century Gothic"/>
          <w:b/>
          <w:spacing w:val="-13"/>
          <w:w w:val="115"/>
        </w:rPr>
        <w:t> </w:t>
      </w:r>
      <w:r>
        <w:rPr/>
        <w:t>the</w:t>
      </w:r>
      <w:r>
        <w:rPr>
          <w:spacing w:val="-29"/>
        </w:rPr>
        <w:t> </w:t>
      </w:r>
      <w:r>
        <w:rPr/>
        <w:t>annual</w:t>
      </w:r>
      <w:r>
        <w:rPr>
          <w:spacing w:val="-29"/>
        </w:rPr>
        <w:t> </w:t>
      </w:r>
      <w:r>
        <w:rPr>
          <w:rFonts w:ascii="Century Gothic" w:hAnsi="Century Gothic"/>
          <w:i/>
        </w:rPr>
        <w:t>What</w:t>
      </w:r>
      <w:r>
        <w:rPr>
          <w:rFonts w:ascii="Century Gothic" w:hAnsi="Century Gothic"/>
          <w:i/>
          <w:spacing w:val="-24"/>
        </w:rPr>
        <w:t> </w:t>
      </w:r>
      <w:r>
        <w:rPr>
          <w:rFonts w:ascii="Century Gothic" w:hAnsi="Century Gothic"/>
          <w:i/>
        </w:rPr>
        <w:t>Matters?</w:t>
      </w:r>
      <w:r>
        <w:rPr>
          <w:rFonts w:ascii="Century Gothic" w:hAnsi="Century Gothic"/>
          <w:i/>
          <w:spacing w:val="-24"/>
        </w:rPr>
        <w:t> </w:t>
      </w:r>
      <w:r>
        <w:rPr/>
        <w:t>school</w:t>
      </w:r>
      <w:r>
        <w:rPr>
          <w:spacing w:val="-29"/>
        </w:rPr>
        <w:t> </w:t>
      </w:r>
      <w:r>
        <w:rPr/>
        <w:t>essay </w:t>
      </w:r>
      <w:r>
        <w:rPr>
          <w:spacing w:val="1"/>
          <w:w w:val="96"/>
        </w:rPr>
        <w:t>competition,</w:t>
      </w:r>
      <w:r>
        <w:rPr>
          <w:w w:val="96"/>
        </w:rPr>
        <w:t> </w:t>
      </w:r>
      <w:r>
        <w:rPr>
          <w:w w:val="98"/>
        </w:rPr>
        <w:t>which </w:t>
      </w:r>
      <w:r>
        <w:rPr>
          <w:w w:val="95"/>
        </w:rPr>
        <w:t>in </w:t>
      </w:r>
      <w:r>
        <w:rPr>
          <w:spacing w:val="1"/>
          <w:w w:val="90"/>
        </w:rPr>
        <w:t>2016</w:t>
      </w:r>
      <w:r>
        <w:rPr>
          <w:w w:val="90"/>
        </w:rPr>
        <w:t> </w:t>
      </w:r>
      <w:r>
        <w:rPr>
          <w:w w:val="98"/>
        </w:rPr>
        <w:t>broke </w:t>
      </w:r>
      <w:r>
        <w:rPr>
          <w:w w:val="95"/>
        </w:rPr>
        <w:t>all </w:t>
      </w:r>
      <w:r>
        <w:rPr/>
        <w:t>previous records, receiving more than </w:t>
      </w:r>
      <w:r>
        <w:rPr>
          <w:spacing w:val="3"/>
        </w:rPr>
        <w:t>3,850</w:t>
      </w:r>
      <w:r>
        <w:rPr>
          <w:spacing w:val="-21"/>
        </w:rPr>
        <w:t> </w:t>
      </w:r>
      <w:r>
        <w:rPr/>
        <w:t>from</w:t>
      </w:r>
      <w:r>
        <w:rPr>
          <w:spacing w:val="-21"/>
        </w:rPr>
        <w:t> </w:t>
      </w:r>
      <w:r>
        <w:rPr/>
        <w:t>267</w:t>
      </w:r>
      <w:r>
        <w:rPr>
          <w:spacing w:val="-21"/>
        </w:rPr>
        <w:t> </w:t>
      </w:r>
      <w:r>
        <w:rPr/>
        <w:t>schools</w:t>
      </w:r>
    </w:p>
    <w:p>
      <w:pPr>
        <w:pStyle w:val="BodyText"/>
        <w:spacing w:line="247" w:lineRule="auto" w:before="57"/>
        <w:ind w:left="305" w:right="197" w:hanging="199"/>
      </w:pPr>
      <w:r>
        <w:rPr>
          <w:rFonts w:ascii="Century Gothic" w:hAnsi="Century Gothic"/>
          <w:b/>
          <w:w w:val="115"/>
        </w:rPr>
        <w:t>≥</w:t>
      </w:r>
      <w:r>
        <w:rPr>
          <w:rFonts w:ascii="Century Gothic" w:hAnsi="Century Gothic"/>
          <w:b/>
          <w:spacing w:val="19"/>
          <w:w w:val="115"/>
        </w:rPr>
        <w:t> </w:t>
      </w:r>
      <w:r>
        <w:rPr/>
        <w:t>a</w:t>
      </w:r>
      <w:r>
        <w:rPr>
          <w:spacing w:val="-12"/>
        </w:rPr>
        <w:t> </w:t>
      </w:r>
      <w:r>
        <w:rPr/>
        <w:t>one-day</w:t>
      </w:r>
      <w:r>
        <w:rPr>
          <w:spacing w:val="-12"/>
        </w:rPr>
        <w:t> </w:t>
      </w:r>
      <w:r>
        <w:rPr/>
        <w:t>civics</w:t>
      </w:r>
      <w:r>
        <w:rPr>
          <w:spacing w:val="-12"/>
        </w:rPr>
        <w:t> </w:t>
      </w:r>
      <w:r>
        <w:rPr/>
        <w:t>program</w:t>
      </w:r>
      <w:r>
        <w:rPr>
          <w:spacing w:val="-12"/>
        </w:rPr>
        <w:t> </w:t>
      </w:r>
      <w:r>
        <w:rPr/>
        <w:t>at</w:t>
      </w:r>
      <w:r>
        <w:rPr>
          <w:spacing w:val="-12"/>
        </w:rPr>
        <w:t> </w:t>
      </w:r>
      <w:r>
        <w:rPr/>
        <w:t>the</w:t>
      </w:r>
      <w:r>
        <w:rPr>
          <w:spacing w:val="-12"/>
        </w:rPr>
        <w:t> </w:t>
      </w:r>
      <w:r>
        <w:rPr/>
        <w:t>Institute </w:t>
      </w:r>
      <w:r>
        <w:rPr>
          <w:w w:val="98"/>
        </w:rPr>
        <w:t>that </w:t>
      </w:r>
      <w:r>
        <w:rPr>
          <w:spacing w:val="1"/>
          <w:w w:val="99"/>
        </w:rPr>
        <w:t>attracted</w:t>
      </w:r>
      <w:r>
        <w:rPr>
          <w:w w:val="99"/>
        </w:rPr>
        <w:t> </w:t>
      </w:r>
      <w:r>
        <w:rPr>
          <w:spacing w:val="3"/>
          <w:w w:val="87"/>
        </w:rPr>
        <w:t>1,300</w:t>
      </w:r>
      <w:r>
        <w:rPr>
          <w:w w:val="87"/>
        </w:rPr>
        <w:t> </w:t>
      </w:r>
      <w:r>
        <w:rPr>
          <w:spacing w:val="1"/>
          <w:w w:val="97"/>
        </w:rPr>
        <w:t>primary</w:t>
      </w:r>
      <w:r>
        <w:rPr>
          <w:w w:val="97"/>
        </w:rPr>
        <w:t> </w:t>
      </w:r>
      <w:r>
        <w:rPr>
          <w:spacing w:val="1"/>
          <w:w w:val="98"/>
        </w:rPr>
        <w:t>school</w:t>
      </w:r>
      <w:r>
        <w:rPr>
          <w:w w:val="98"/>
        </w:rPr>
        <w:t> </w:t>
      </w:r>
      <w:r>
        <w:rPr/>
        <w:t>students.</w:t>
      </w:r>
      <w:r>
        <w:rPr>
          <w:spacing w:val="-18"/>
        </w:rPr>
        <w:t> </w:t>
      </w:r>
      <w:r>
        <w:rPr/>
        <w:t>The</w:t>
      </w:r>
      <w:r>
        <w:rPr>
          <w:spacing w:val="-18"/>
        </w:rPr>
        <w:t> </w:t>
      </w:r>
      <w:r>
        <w:rPr/>
        <w:t>program</w:t>
      </w:r>
      <w:r>
        <w:rPr>
          <w:spacing w:val="-18"/>
        </w:rPr>
        <w:t> </w:t>
      </w:r>
      <w:r>
        <w:rPr/>
        <w:t>is</w:t>
      </w:r>
      <w:r>
        <w:rPr>
          <w:spacing w:val="-18"/>
        </w:rPr>
        <w:t> </w:t>
      </w:r>
      <w:r>
        <w:rPr/>
        <w:t>the</w:t>
      </w:r>
      <w:r>
        <w:rPr>
          <w:spacing w:val="-18"/>
        </w:rPr>
        <w:t> </w:t>
      </w:r>
      <w:r>
        <w:rPr/>
        <w:t>result</w:t>
      </w:r>
      <w:r>
        <w:rPr>
          <w:spacing w:val="-18"/>
        </w:rPr>
        <w:t> </w:t>
      </w:r>
      <w:r>
        <w:rPr/>
        <w:t>of</w:t>
      </w:r>
      <w:r>
        <w:rPr>
          <w:spacing w:val="-18"/>
        </w:rPr>
        <w:t> </w:t>
      </w:r>
      <w:r>
        <w:rPr/>
        <w:t>an exciting new partnership with Mission Australia</w:t>
      </w:r>
      <w:r>
        <w:rPr>
          <w:spacing w:val="-11"/>
        </w:rPr>
        <w:t> </w:t>
      </w:r>
      <w:r>
        <w:rPr/>
        <w:t>and</w:t>
      </w:r>
      <w:r>
        <w:rPr>
          <w:spacing w:val="-11"/>
        </w:rPr>
        <w:t> </w:t>
      </w:r>
      <w:r>
        <w:rPr/>
        <w:t>Liverpool</w:t>
      </w:r>
      <w:r>
        <w:rPr>
          <w:spacing w:val="-11"/>
        </w:rPr>
        <w:t> </w:t>
      </w:r>
      <w:r>
        <w:rPr/>
        <w:t>City</w:t>
      </w:r>
      <w:r>
        <w:rPr>
          <w:spacing w:val="-11"/>
        </w:rPr>
        <w:t> </w:t>
      </w:r>
      <w:r>
        <w:rPr/>
        <w:t>Council.</w:t>
      </w:r>
    </w:p>
    <w:p>
      <w:pPr>
        <w:pStyle w:val="BodyText"/>
        <w:spacing w:before="4"/>
        <w:rPr>
          <w:sz w:val="19"/>
        </w:rPr>
      </w:pPr>
    </w:p>
    <w:p>
      <w:pPr>
        <w:pStyle w:val="Heading7"/>
        <w:spacing w:before="1"/>
        <w:ind w:right="460"/>
      </w:pPr>
      <w:r>
        <w:rPr>
          <w:w w:val="95"/>
        </w:rPr>
        <w:t>THE FEMALE ORPHAN SCHOOL</w:t>
      </w:r>
    </w:p>
    <w:p>
      <w:pPr>
        <w:pStyle w:val="BodyText"/>
        <w:spacing w:line="249" w:lineRule="auto" w:before="58"/>
        <w:ind w:left="107" w:right="459"/>
      </w:pPr>
      <w:r>
        <w:rPr/>
        <w:t>This magnificent 1813 building houses the Whitlam Prime Ministerial Collection, reading room, permanent exhibition,</w:t>
      </w:r>
    </w:p>
    <w:p>
      <w:pPr>
        <w:pStyle w:val="BodyText"/>
        <w:spacing w:line="249" w:lineRule="auto"/>
        <w:ind w:left="107" w:right="286"/>
      </w:pPr>
      <w:r>
        <w:rPr/>
        <w:t>dedicated learning space for the Institute’s developing Education and Outreach program, the Margaret Whitlam Galleries, seminar and function spaces, visitor information centre and secretariat.</w:t>
      </w:r>
    </w:p>
    <w:p>
      <w:pPr>
        <w:pStyle w:val="BodyText"/>
        <w:rPr>
          <w:sz w:val="14"/>
        </w:rPr>
      </w:pPr>
    </w:p>
    <w:p>
      <w:pPr>
        <w:pStyle w:val="BodyText"/>
        <w:spacing w:line="249" w:lineRule="auto"/>
        <w:ind w:left="107" w:right="154"/>
      </w:pPr>
      <w:r>
        <w:rPr>
          <w:w w:val="97"/>
        </w:rPr>
        <w:t>One </w:t>
      </w:r>
      <w:r>
        <w:rPr>
          <w:w w:val="99"/>
        </w:rPr>
        <w:t>of </w:t>
      </w:r>
      <w:r>
        <w:rPr>
          <w:w w:val="97"/>
        </w:rPr>
        <w:t>the </w:t>
      </w:r>
      <w:r>
        <w:rPr>
          <w:w w:val="90"/>
        </w:rPr>
        <w:t>2016 </w:t>
      </w:r>
      <w:r>
        <w:rPr>
          <w:w w:val="97"/>
        </w:rPr>
        <w:t>highlights </w:t>
      </w:r>
      <w:r>
        <w:rPr>
          <w:w w:val="96"/>
        </w:rPr>
        <w:t>was </w:t>
      </w:r>
      <w:r>
        <w:rPr>
          <w:w w:val="97"/>
        </w:rPr>
        <w:t>the </w:t>
      </w:r>
      <w:r>
        <w:rPr>
          <w:w w:val="97"/>
        </w:rPr>
        <w:t>exhibition </w:t>
      </w:r>
      <w:r>
        <w:rPr/>
        <w:t>‘Way of the Reformer: Gough Whitlam in His Century’ in the Margaret Whitlam Galleries, marking the centenary of Mr Whitlam’s</w:t>
      </w:r>
    </w:p>
    <w:p>
      <w:pPr>
        <w:pStyle w:val="BodyText"/>
        <w:spacing w:line="249" w:lineRule="auto"/>
        <w:ind w:left="107" w:right="222"/>
      </w:pPr>
      <w:r>
        <w:rPr/>
        <w:t>birth. The National Archives of Australia will </w:t>
      </w:r>
      <w:r>
        <w:rPr>
          <w:w w:val="98"/>
        </w:rPr>
        <w:t>show </w:t>
      </w:r>
      <w:r>
        <w:rPr>
          <w:w w:val="97"/>
        </w:rPr>
        <w:t>the </w:t>
      </w:r>
      <w:r>
        <w:rPr>
          <w:w w:val="97"/>
        </w:rPr>
        <w:t>exhibition </w:t>
      </w:r>
      <w:r>
        <w:rPr>
          <w:w w:val="95"/>
        </w:rPr>
        <w:t>in </w:t>
      </w:r>
      <w:r>
        <w:rPr>
          <w:w w:val="97"/>
        </w:rPr>
        <w:t>Canberra </w:t>
      </w:r>
      <w:r>
        <w:rPr>
          <w:w w:val="95"/>
        </w:rPr>
        <w:t>in </w:t>
      </w:r>
      <w:r>
        <w:rPr>
          <w:w w:val="83"/>
        </w:rPr>
        <w:t>2017.</w:t>
      </w:r>
    </w:p>
    <w:p>
      <w:pPr>
        <w:pStyle w:val="BodyText"/>
        <w:rPr>
          <w:sz w:val="14"/>
        </w:rPr>
      </w:pPr>
    </w:p>
    <w:p>
      <w:pPr>
        <w:pStyle w:val="BodyText"/>
        <w:spacing w:line="249" w:lineRule="auto"/>
        <w:ind w:left="107" w:right="114"/>
      </w:pPr>
      <w:r>
        <w:rPr/>
        <w:t>The Female Orphan School had more than </w:t>
      </w:r>
      <w:r>
        <w:rPr>
          <w:w w:val="91"/>
        </w:rPr>
        <w:t>12,000 </w:t>
      </w:r>
      <w:r>
        <w:rPr>
          <w:w w:val="97"/>
        </w:rPr>
        <w:t>visitors </w:t>
      </w:r>
      <w:r>
        <w:rPr>
          <w:w w:val="95"/>
        </w:rPr>
        <w:t>in </w:t>
      </w:r>
      <w:r>
        <w:rPr>
          <w:w w:val="85"/>
        </w:rPr>
        <w:t>2016, </w:t>
      </w:r>
      <w:r>
        <w:rPr>
          <w:w w:val="94"/>
        </w:rPr>
        <w:t>a </w:t>
      </w:r>
      <w:r>
        <w:rPr>
          <w:w w:val="103"/>
        </w:rPr>
        <w:t>50 </w:t>
      </w:r>
      <w:r>
        <w:rPr>
          <w:w w:val="97"/>
        </w:rPr>
        <w:t>per </w:t>
      </w:r>
      <w:r>
        <w:rPr>
          <w:w w:val="99"/>
        </w:rPr>
        <w:t>cent </w:t>
      </w:r>
      <w:r>
        <w:rPr>
          <w:w w:val="96"/>
        </w:rPr>
        <w:t>increase </w:t>
      </w:r>
      <w:r>
        <w:rPr>
          <w:w w:val="98"/>
        </w:rPr>
        <w:t>on </w:t>
      </w:r>
      <w:r>
        <w:rPr>
          <w:w w:val="84"/>
        </w:rPr>
        <w:t>2015. </w:t>
      </w:r>
      <w:r>
        <w:rPr>
          <w:w w:val="97"/>
        </w:rPr>
        <w:t>Close </w:t>
      </w:r>
      <w:r>
        <w:rPr>
          <w:w w:val="101"/>
        </w:rPr>
        <w:t>to </w:t>
      </w:r>
      <w:r>
        <w:rPr>
          <w:w w:val="101"/>
        </w:rPr>
        <w:t>30,000 </w:t>
      </w:r>
      <w:r>
        <w:rPr>
          <w:w w:val="98"/>
        </w:rPr>
        <w:t>people </w:t>
      </w:r>
      <w:r>
        <w:rPr>
          <w:w w:val="97"/>
        </w:rPr>
        <w:t>were </w:t>
      </w:r>
      <w:r>
        <w:rPr>
          <w:w w:val="99"/>
        </w:rPr>
        <w:t>directly </w:t>
      </w:r>
      <w:r>
        <w:rPr/>
        <w:t>engaged with the Institute’s work in one way </w:t>
      </w:r>
      <w:r>
        <w:rPr>
          <w:w w:val="95"/>
        </w:rPr>
        <w:t>or another.</w:t>
      </w:r>
    </w:p>
    <w:p>
      <w:pPr>
        <w:spacing w:after="0" w:line="249" w:lineRule="auto"/>
        <w:sectPr>
          <w:type w:val="continuous"/>
          <w:pgSz w:w="11910" w:h="16840"/>
          <w:pgMar w:top="1580" w:bottom="280" w:left="800" w:right="800"/>
          <w:cols w:num="3" w:equalWidth="0">
            <w:col w:w="3324" w:space="116"/>
            <w:col w:w="3320" w:space="119"/>
            <w:col w:w="3431"/>
          </w:cols>
        </w:sectPr>
      </w:pPr>
    </w:p>
    <w:p>
      <w:pPr>
        <w:pStyle w:val="BodyText"/>
        <w:spacing w:before="9"/>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Heading5"/>
        <w:spacing w:before="197"/>
        <w:ind w:right="-2"/>
      </w:pPr>
      <w:bookmarkStart w:name="_TOC_250042" w:id="12"/>
      <w:bookmarkEnd w:id="12"/>
      <w:r>
        <w:rPr>
          <w:w w:val="95"/>
        </w:rPr>
        <w:t>THE ACADEMY</w:t>
      </w:r>
    </w:p>
    <w:p>
      <w:pPr>
        <w:pStyle w:val="BodyText"/>
        <w:spacing w:line="249" w:lineRule="auto" w:before="95"/>
        <w:ind w:left="107" w:right="286"/>
      </w:pPr>
      <w:r>
        <w:rPr>
          <w:spacing w:val="1"/>
          <w:w w:val="90"/>
        </w:rPr>
        <w:t>2016</w:t>
      </w:r>
      <w:r>
        <w:rPr>
          <w:w w:val="90"/>
        </w:rPr>
        <w:t> </w:t>
      </w:r>
      <w:r>
        <w:rPr>
          <w:w w:val="96"/>
        </w:rPr>
        <w:t>was </w:t>
      </w:r>
      <w:r>
        <w:rPr>
          <w:w w:val="94"/>
        </w:rPr>
        <w:t>a </w:t>
      </w:r>
      <w:r>
        <w:rPr>
          <w:w w:val="97"/>
        </w:rPr>
        <w:t>year </w:t>
      </w:r>
      <w:r>
        <w:rPr>
          <w:w w:val="99"/>
        </w:rPr>
        <w:t>of </w:t>
      </w:r>
      <w:r>
        <w:rPr>
          <w:spacing w:val="1"/>
          <w:w w:val="94"/>
        </w:rPr>
        <w:t>progress,</w:t>
      </w:r>
      <w:r>
        <w:rPr>
          <w:w w:val="94"/>
        </w:rPr>
        <w:t> </w:t>
      </w:r>
      <w:r>
        <w:rPr>
          <w:w w:val="97"/>
        </w:rPr>
        <w:t>innovation </w:t>
      </w:r>
      <w:r>
        <w:rPr/>
        <w:t>and</w:t>
      </w:r>
      <w:r>
        <w:rPr>
          <w:spacing w:val="-19"/>
        </w:rPr>
        <w:t> </w:t>
      </w:r>
      <w:r>
        <w:rPr/>
        <w:t>consolidation</w:t>
      </w:r>
      <w:r>
        <w:rPr>
          <w:spacing w:val="-19"/>
        </w:rPr>
        <w:t> </w:t>
      </w:r>
      <w:r>
        <w:rPr/>
        <w:t>for</w:t>
      </w:r>
      <w:r>
        <w:rPr>
          <w:spacing w:val="-19"/>
        </w:rPr>
        <w:t> </w:t>
      </w:r>
      <w:r>
        <w:rPr/>
        <w:t>The</w:t>
      </w:r>
      <w:r>
        <w:rPr>
          <w:spacing w:val="-19"/>
        </w:rPr>
        <w:t> </w:t>
      </w:r>
      <w:r>
        <w:rPr/>
        <w:t>Academy.</w:t>
      </w:r>
      <w:r>
        <w:rPr>
          <w:spacing w:val="-19"/>
        </w:rPr>
        <w:t> </w:t>
      </w:r>
      <w:r>
        <w:rPr/>
        <w:t>It</w:t>
      </w:r>
      <w:r>
        <w:rPr>
          <w:spacing w:val="-19"/>
        </w:rPr>
        <w:t> </w:t>
      </w:r>
      <w:r>
        <w:rPr/>
        <w:t>was relocated to the Deputy Vice-Chancellor (Academic)</w:t>
      </w:r>
      <w:r>
        <w:rPr>
          <w:spacing w:val="-14"/>
        </w:rPr>
        <w:t> </w:t>
      </w:r>
      <w:r>
        <w:rPr/>
        <w:t>portfolio,</w:t>
      </w:r>
      <w:r>
        <w:rPr>
          <w:spacing w:val="-14"/>
        </w:rPr>
        <w:t> </w:t>
      </w:r>
      <w:r>
        <w:rPr/>
        <w:t>which</w:t>
      </w:r>
      <w:r>
        <w:rPr>
          <w:spacing w:val="-14"/>
        </w:rPr>
        <w:t> </w:t>
      </w:r>
      <w:r>
        <w:rPr/>
        <w:t>aligns</w:t>
      </w:r>
      <w:r>
        <w:rPr>
          <w:spacing w:val="-14"/>
        </w:rPr>
        <w:t> </w:t>
      </w:r>
      <w:r>
        <w:rPr/>
        <w:t>it</w:t>
      </w:r>
      <w:r>
        <w:rPr>
          <w:spacing w:val="-14"/>
        </w:rPr>
        <w:t> </w:t>
      </w:r>
      <w:r>
        <w:rPr/>
        <w:t>more closely with the academic leadership of the University and the future-focused Learning</w:t>
      </w:r>
      <w:r>
        <w:rPr>
          <w:spacing w:val="-36"/>
        </w:rPr>
        <w:t> </w:t>
      </w:r>
      <w:r>
        <w:rPr/>
        <w:t>Transformations</w:t>
      </w:r>
      <w:r>
        <w:rPr>
          <w:spacing w:val="-36"/>
        </w:rPr>
        <w:t> </w:t>
      </w:r>
      <w:r>
        <w:rPr/>
        <w:t>agenda.</w:t>
      </w:r>
    </w:p>
    <w:p>
      <w:pPr>
        <w:pStyle w:val="BodyText"/>
        <w:rPr>
          <w:sz w:val="14"/>
        </w:rPr>
      </w:pPr>
    </w:p>
    <w:p>
      <w:pPr>
        <w:spacing w:line="247" w:lineRule="auto" w:before="0"/>
        <w:ind w:left="107" w:right="-2" w:firstLine="0"/>
        <w:jc w:val="left"/>
        <w:rPr>
          <w:sz w:val="16"/>
        </w:rPr>
      </w:pPr>
      <w:r>
        <w:rPr>
          <w:sz w:val="16"/>
        </w:rPr>
        <w:t>The Academy was awarded the Learning </w:t>
      </w:r>
      <w:r>
        <w:rPr>
          <w:w w:val="95"/>
          <w:sz w:val="16"/>
        </w:rPr>
        <w:t>Experience Award at </w:t>
      </w:r>
      <w:r>
        <w:rPr>
          <w:rFonts w:ascii="Century Gothic"/>
          <w:i/>
          <w:w w:val="95"/>
          <w:sz w:val="16"/>
        </w:rPr>
        <w:t>The Australian Financial </w:t>
      </w:r>
      <w:r>
        <w:rPr>
          <w:rFonts w:ascii="Century Gothic"/>
          <w:i/>
          <w:sz w:val="16"/>
        </w:rPr>
        <w:t>Review </w:t>
      </w:r>
      <w:r>
        <w:rPr>
          <w:sz w:val="16"/>
        </w:rPr>
        <w:t>Higher Education Awards.</w:t>
      </w:r>
    </w:p>
    <w:p>
      <w:pPr>
        <w:pStyle w:val="BodyText"/>
        <w:spacing w:before="12"/>
        <w:rPr>
          <w:sz w:val="13"/>
        </w:rPr>
      </w:pPr>
    </w:p>
    <w:p>
      <w:pPr>
        <w:pStyle w:val="BodyText"/>
        <w:spacing w:line="249" w:lineRule="auto"/>
        <w:ind w:left="107" w:right="217"/>
      </w:pPr>
      <w:r>
        <w:rPr>
          <w:spacing w:val="1"/>
          <w:w w:val="80"/>
        </w:rPr>
        <w:t>In</w:t>
      </w:r>
      <w:r>
        <w:rPr>
          <w:w w:val="80"/>
        </w:rPr>
        <w:t> </w:t>
      </w:r>
      <w:r>
        <w:rPr>
          <w:spacing w:val="2"/>
          <w:w w:val="85"/>
        </w:rPr>
        <w:t>2016,</w:t>
      </w:r>
      <w:r>
        <w:rPr>
          <w:w w:val="85"/>
        </w:rPr>
        <w:t> </w:t>
      </w:r>
      <w:r>
        <w:rPr>
          <w:spacing w:val="1"/>
          <w:w w:val="94"/>
        </w:rPr>
        <w:t>The</w:t>
      </w:r>
      <w:r>
        <w:rPr>
          <w:w w:val="94"/>
        </w:rPr>
        <w:t> </w:t>
      </w:r>
      <w:r>
        <w:rPr>
          <w:w w:val="100"/>
        </w:rPr>
        <w:t>Academy’s </w:t>
      </w:r>
      <w:r>
        <w:rPr>
          <w:spacing w:val="1"/>
          <w:w w:val="97"/>
        </w:rPr>
        <w:t>membership</w:t>
      </w:r>
      <w:r>
        <w:rPr>
          <w:w w:val="97"/>
        </w:rPr>
        <w:t> </w:t>
      </w:r>
      <w:r>
        <w:rPr/>
        <w:t>increased</w:t>
      </w:r>
      <w:r>
        <w:rPr>
          <w:spacing w:val="-21"/>
        </w:rPr>
        <w:t> </w:t>
      </w:r>
      <w:r>
        <w:rPr/>
        <w:t>to</w:t>
      </w:r>
      <w:r>
        <w:rPr>
          <w:spacing w:val="-21"/>
        </w:rPr>
        <w:t> </w:t>
      </w:r>
      <w:r>
        <w:rPr/>
        <w:t>2,474</w:t>
      </w:r>
      <w:r>
        <w:rPr>
          <w:spacing w:val="-21"/>
        </w:rPr>
        <w:t> </w:t>
      </w:r>
      <w:r>
        <w:rPr/>
        <w:t>and</w:t>
      </w:r>
      <w:r>
        <w:rPr>
          <w:spacing w:val="-21"/>
        </w:rPr>
        <w:t> </w:t>
      </w:r>
      <w:r>
        <w:rPr/>
        <w:t>the</w:t>
      </w:r>
      <w:r>
        <w:rPr>
          <w:spacing w:val="-21"/>
        </w:rPr>
        <w:t> </w:t>
      </w:r>
      <w:r>
        <w:rPr/>
        <w:t>average</w:t>
      </w:r>
      <w:r>
        <w:rPr>
          <w:spacing w:val="-21"/>
        </w:rPr>
        <w:t> </w:t>
      </w:r>
      <w:r>
        <w:rPr/>
        <w:t>number of</w:t>
      </w:r>
      <w:r>
        <w:rPr>
          <w:spacing w:val="-16"/>
        </w:rPr>
        <w:t> </w:t>
      </w:r>
      <w:r>
        <w:rPr/>
        <w:t>live</w:t>
      </w:r>
      <w:r>
        <w:rPr>
          <w:spacing w:val="-16"/>
        </w:rPr>
        <w:t> </w:t>
      </w:r>
      <w:r>
        <w:rPr/>
        <w:t>projects</w:t>
      </w:r>
      <w:r>
        <w:rPr>
          <w:spacing w:val="-16"/>
        </w:rPr>
        <w:t> </w:t>
      </w:r>
      <w:r>
        <w:rPr/>
        <w:t>at</w:t>
      </w:r>
      <w:r>
        <w:rPr>
          <w:spacing w:val="-16"/>
        </w:rPr>
        <w:t> </w:t>
      </w:r>
      <w:r>
        <w:rPr/>
        <w:t>any</w:t>
      </w:r>
      <w:r>
        <w:rPr>
          <w:spacing w:val="-16"/>
        </w:rPr>
        <w:t> </w:t>
      </w:r>
      <w:r>
        <w:rPr/>
        <w:t>one</w:t>
      </w:r>
      <w:r>
        <w:rPr>
          <w:spacing w:val="-16"/>
        </w:rPr>
        <w:t> </w:t>
      </w:r>
      <w:r>
        <w:rPr/>
        <w:t>time</w:t>
      </w:r>
      <w:r>
        <w:rPr>
          <w:spacing w:val="-16"/>
        </w:rPr>
        <w:t> </w:t>
      </w:r>
      <w:r>
        <w:rPr/>
        <w:t>grew</w:t>
      </w:r>
      <w:r>
        <w:rPr>
          <w:spacing w:val="-16"/>
        </w:rPr>
        <w:t> </w:t>
      </w:r>
      <w:r>
        <w:rPr/>
        <w:t>to</w:t>
      </w:r>
    </w:p>
    <w:p>
      <w:pPr>
        <w:pStyle w:val="BodyText"/>
        <w:spacing w:line="249" w:lineRule="auto"/>
        <w:ind w:left="107" w:right="594"/>
        <w:jc w:val="both"/>
      </w:pPr>
      <w:r>
        <w:rPr/>
        <w:t>60.</w:t>
      </w:r>
      <w:r>
        <w:rPr>
          <w:spacing w:val="-13"/>
        </w:rPr>
        <w:t> </w:t>
      </w:r>
      <w:r>
        <w:rPr/>
        <w:t>The</w:t>
      </w:r>
      <w:r>
        <w:rPr>
          <w:spacing w:val="-13"/>
        </w:rPr>
        <w:t> </w:t>
      </w:r>
      <w:r>
        <w:rPr/>
        <w:t>Academy</w:t>
      </w:r>
      <w:r>
        <w:rPr>
          <w:spacing w:val="-13"/>
        </w:rPr>
        <w:t> </w:t>
      </w:r>
      <w:r>
        <w:rPr/>
        <w:t>held</w:t>
      </w:r>
      <w:r>
        <w:rPr>
          <w:spacing w:val="-13"/>
        </w:rPr>
        <w:t> </w:t>
      </w:r>
      <w:r>
        <w:rPr/>
        <w:t>more</w:t>
      </w:r>
      <w:r>
        <w:rPr>
          <w:spacing w:val="-13"/>
        </w:rPr>
        <w:t> </w:t>
      </w:r>
      <w:r>
        <w:rPr/>
        <w:t>than</w:t>
      </w:r>
      <w:r>
        <w:rPr>
          <w:spacing w:val="-13"/>
        </w:rPr>
        <w:t> </w:t>
      </w:r>
      <w:r>
        <w:rPr/>
        <w:t>330 peer</w:t>
      </w:r>
      <w:r>
        <w:rPr>
          <w:spacing w:val="-18"/>
        </w:rPr>
        <w:t> </w:t>
      </w:r>
      <w:r>
        <w:rPr/>
        <w:t>study</w:t>
      </w:r>
      <w:r>
        <w:rPr>
          <w:spacing w:val="-18"/>
        </w:rPr>
        <w:t> </w:t>
      </w:r>
      <w:r>
        <w:rPr/>
        <w:t>sessions,</w:t>
      </w:r>
      <w:r>
        <w:rPr>
          <w:spacing w:val="-18"/>
        </w:rPr>
        <w:t> </w:t>
      </w:r>
      <w:r>
        <w:rPr/>
        <w:t>social</w:t>
      </w:r>
      <w:r>
        <w:rPr>
          <w:spacing w:val="-18"/>
        </w:rPr>
        <w:t> </w:t>
      </w:r>
      <w:r>
        <w:rPr/>
        <w:t>events</w:t>
      </w:r>
      <w:r>
        <w:rPr>
          <w:spacing w:val="-18"/>
        </w:rPr>
        <w:t> </w:t>
      </w:r>
      <w:r>
        <w:rPr/>
        <w:t>and </w:t>
      </w:r>
      <w:r>
        <w:rPr>
          <w:spacing w:val="1"/>
          <w:w w:val="98"/>
        </w:rPr>
        <w:t>academic</w:t>
      </w:r>
      <w:r>
        <w:rPr>
          <w:w w:val="98"/>
        </w:rPr>
        <w:t> </w:t>
      </w:r>
      <w:r>
        <w:rPr>
          <w:w w:val="97"/>
        </w:rPr>
        <w:t>extension </w:t>
      </w:r>
      <w:r>
        <w:rPr>
          <w:w w:val="97"/>
        </w:rPr>
        <w:t>events </w:t>
      </w:r>
      <w:r>
        <w:rPr>
          <w:w w:val="95"/>
        </w:rPr>
        <w:t>in</w:t>
      </w:r>
      <w:r>
        <w:rPr>
          <w:spacing w:val="-19"/>
          <w:w w:val="95"/>
        </w:rPr>
        <w:t> </w:t>
      </w:r>
      <w:r>
        <w:rPr>
          <w:spacing w:val="2"/>
          <w:w w:val="85"/>
        </w:rPr>
        <w:t>2016.</w:t>
      </w:r>
    </w:p>
    <w:p>
      <w:pPr>
        <w:pStyle w:val="BodyText"/>
        <w:rPr>
          <w:sz w:val="14"/>
        </w:rPr>
      </w:pPr>
    </w:p>
    <w:p>
      <w:pPr>
        <w:pStyle w:val="BodyText"/>
        <w:spacing w:line="249" w:lineRule="auto"/>
        <w:ind w:left="107" w:right="-1"/>
      </w:pPr>
      <w:r>
        <w:rPr/>
        <w:t>A</w:t>
      </w:r>
      <w:r>
        <w:rPr>
          <w:spacing w:val="-15"/>
        </w:rPr>
        <w:t> </w:t>
      </w:r>
      <w:r>
        <w:rPr/>
        <w:t>wide</w:t>
      </w:r>
      <w:r>
        <w:rPr>
          <w:spacing w:val="-15"/>
        </w:rPr>
        <w:t> </w:t>
      </w:r>
      <w:r>
        <w:rPr/>
        <w:t>range</w:t>
      </w:r>
      <w:r>
        <w:rPr>
          <w:spacing w:val="-15"/>
        </w:rPr>
        <w:t> </w:t>
      </w:r>
      <w:r>
        <w:rPr/>
        <w:t>of</w:t>
      </w:r>
      <w:r>
        <w:rPr>
          <w:spacing w:val="-15"/>
        </w:rPr>
        <w:t> </w:t>
      </w:r>
      <w:r>
        <w:rPr/>
        <w:t>external</w:t>
      </w:r>
      <w:r>
        <w:rPr>
          <w:spacing w:val="-15"/>
        </w:rPr>
        <w:t> </w:t>
      </w:r>
      <w:r>
        <w:rPr/>
        <w:t>speakers</w:t>
      </w:r>
      <w:r>
        <w:rPr>
          <w:spacing w:val="-15"/>
        </w:rPr>
        <w:t> </w:t>
      </w:r>
      <w:r>
        <w:rPr/>
        <w:t>participated in co-curricular events and provided guest lectures,</w:t>
      </w:r>
      <w:r>
        <w:rPr>
          <w:spacing w:val="-20"/>
        </w:rPr>
        <w:t> </w:t>
      </w:r>
      <w:r>
        <w:rPr/>
        <w:t>including</w:t>
      </w:r>
      <w:r>
        <w:rPr>
          <w:spacing w:val="-20"/>
        </w:rPr>
        <w:t> </w:t>
      </w:r>
      <w:r>
        <w:rPr/>
        <w:t>the</w:t>
      </w:r>
      <w:r>
        <w:rPr>
          <w:spacing w:val="-20"/>
        </w:rPr>
        <w:t> </w:t>
      </w:r>
      <w:r>
        <w:rPr>
          <w:spacing w:val="2"/>
        </w:rPr>
        <w:t>Hon.</w:t>
      </w:r>
      <w:r>
        <w:rPr>
          <w:spacing w:val="-20"/>
        </w:rPr>
        <w:t> </w:t>
      </w:r>
      <w:r>
        <w:rPr/>
        <w:t>Jennifer</w:t>
      </w:r>
      <w:r>
        <w:rPr>
          <w:spacing w:val="-20"/>
        </w:rPr>
        <w:t> </w:t>
      </w:r>
      <w:r>
        <w:rPr/>
        <w:t>Aitchison, Shadow Minister for Small Business and Shadow Minister for the Prevention of Domestic</w:t>
      </w:r>
      <w:r>
        <w:rPr>
          <w:spacing w:val="-15"/>
        </w:rPr>
        <w:t> </w:t>
      </w:r>
      <w:r>
        <w:rPr/>
        <w:t>Violence</w:t>
      </w:r>
      <w:r>
        <w:rPr>
          <w:spacing w:val="-15"/>
        </w:rPr>
        <w:t> </w:t>
      </w:r>
      <w:r>
        <w:rPr/>
        <w:t>and</w:t>
      </w:r>
      <w:r>
        <w:rPr>
          <w:spacing w:val="-15"/>
        </w:rPr>
        <w:t> </w:t>
      </w:r>
      <w:r>
        <w:rPr/>
        <w:t>Sexual</w:t>
      </w:r>
      <w:r>
        <w:rPr>
          <w:spacing w:val="-15"/>
        </w:rPr>
        <w:t> </w:t>
      </w:r>
      <w:r>
        <w:rPr/>
        <w:t>Assault;</w:t>
      </w:r>
    </w:p>
    <w:p>
      <w:pPr>
        <w:pStyle w:val="BodyText"/>
        <w:spacing w:line="249" w:lineRule="auto"/>
        <w:ind w:left="107" w:right="228"/>
      </w:pPr>
      <w:r>
        <w:rPr/>
        <w:t>the Hon. Trevor Khan, Deputy President of the NSW Legislative Council; and Aaron</w:t>
      </w:r>
    </w:p>
    <w:p>
      <w:pPr>
        <w:pStyle w:val="BodyText"/>
        <w:spacing w:line="192" w:lineRule="exact"/>
        <w:ind w:left="107" w:right="-2"/>
      </w:pPr>
      <w:r>
        <w:rPr/>
        <w:t>Crowther,</w:t>
      </w:r>
      <w:r>
        <w:rPr>
          <w:spacing w:val="-23"/>
        </w:rPr>
        <w:t> </w:t>
      </w:r>
      <w:r>
        <w:rPr/>
        <w:t>General</w:t>
      </w:r>
      <w:r>
        <w:rPr>
          <w:spacing w:val="-23"/>
        </w:rPr>
        <w:t> </w:t>
      </w:r>
      <w:r>
        <w:rPr/>
        <w:t>Manager</w:t>
      </w:r>
      <w:r>
        <w:rPr>
          <w:spacing w:val="-23"/>
        </w:rPr>
        <w:t> </w:t>
      </w:r>
      <w:r>
        <w:rPr/>
        <w:t>at</w:t>
      </w:r>
      <w:r>
        <w:rPr>
          <w:spacing w:val="-23"/>
        </w:rPr>
        <w:t> </w:t>
      </w:r>
      <w:r>
        <w:rPr/>
        <w:t>Magnum</w:t>
      </w:r>
      <w:r>
        <w:rPr>
          <w:spacing w:val="-23"/>
        </w:rPr>
        <w:t> </w:t>
      </w:r>
      <w:r>
        <w:rPr/>
        <w:t>&amp;</w:t>
      </w:r>
      <w:r>
        <w:rPr>
          <w:spacing w:val="-23"/>
        </w:rPr>
        <w:t> </w:t>
      </w:r>
      <w:r>
        <w:rPr/>
        <w:t>Co.</w:t>
      </w:r>
    </w:p>
    <w:p>
      <w:pPr>
        <w:pStyle w:val="BodyText"/>
        <w:spacing w:before="7"/>
        <w:rPr>
          <w:sz w:val="14"/>
        </w:rPr>
      </w:pPr>
    </w:p>
    <w:p>
      <w:pPr>
        <w:pStyle w:val="BodyText"/>
        <w:spacing w:line="249" w:lineRule="auto" w:before="1"/>
        <w:ind w:left="107" w:right="448"/>
      </w:pPr>
      <w:r>
        <w:rPr/>
        <w:t>Several members of The Academy also achieved significant successes during </w:t>
      </w:r>
      <w:r>
        <w:rPr>
          <w:w w:val="85"/>
        </w:rPr>
        <w:t>2016, </w:t>
      </w:r>
      <w:r>
        <w:rPr>
          <w:w w:val="94"/>
        </w:rPr>
        <w:t>including:</w:t>
      </w:r>
    </w:p>
    <w:p>
      <w:pPr>
        <w:pStyle w:val="BodyText"/>
        <w:spacing w:line="244" w:lineRule="auto" w:before="55"/>
        <w:ind w:left="305" w:right="59" w:hanging="199"/>
      </w:pPr>
      <w:r>
        <w:rPr>
          <w:rFonts w:ascii="Century Gothic" w:hAnsi="Century Gothic"/>
          <w:b/>
          <w:w w:val="115"/>
        </w:rPr>
        <w:t>≥ </w:t>
      </w:r>
      <w:r>
        <w:rPr/>
        <w:t>Jennifer Armstrong, who was named NSW Woman of the Year</w:t>
      </w:r>
    </w:p>
    <w:p>
      <w:pPr>
        <w:pStyle w:val="BodyText"/>
        <w:spacing w:line="244" w:lineRule="auto" w:before="58"/>
        <w:ind w:left="305" w:right="-2" w:hanging="199"/>
      </w:pPr>
      <w:r>
        <w:rPr>
          <w:rFonts w:ascii="Century Gothic" w:hAnsi="Century Gothic"/>
          <w:b/>
          <w:w w:val="115"/>
        </w:rPr>
        <w:t>≥ </w:t>
      </w:r>
      <w:r>
        <w:rPr/>
        <w:t>Megan Hounslow, who won the Zest Awards Unsung Hero Award</w:t>
      </w:r>
    </w:p>
    <w:p>
      <w:pPr>
        <w:pStyle w:val="BodyText"/>
        <w:spacing w:line="247" w:lineRule="auto" w:before="58"/>
        <w:ind w:left="305" w:right="235" w:hanging="199"/>
      </w:pPr>
      <w:r>
        <w:rPr>
          <w:rFonts w:ascii="Century Gothic" w:hAnsi="Century Gothic"/>
          <w:b/>
          <w:w w:val="115"/>
        </w:rPr>
        <w:t>≥</w:t>
      </w:r>
      <w:r>
        <w:rPr>
          <w:rFonts w:ascii="Century Gothic" w:hAnsi="Century Gothic"/>
          <w:b/>
          <w:spacing w:val="-16"/>
          <w:w w:val="115"/>
        </w:rPr>
        <w:t> </w:t>
      </w:r>
      <w:r>
        <w:rPr>
          <w:w w:val="105"/>
        </w:rPr>
        <w:t>Lakshmi</w:t>
      </w:r>
      <w:r>
        <w:rPr>
          <w:spacing w:val="-34"/>
          <w:w w:val="105"/>
        </w:rPr>
        <w:t> </w:t>
      </w:r>
      <w:r>
        <w:rPr>
          <w:w w:val="105"/>
        </w:rPr>
        <w:t>Loganathan</w:t>
      </w:r>
      <w:r>
        <w:rPr>
          <w:spacing w:val="-34"/>
          <w:w w:val="105"/>
        </w:rPr>
        <w:t> </w:t>
      </w:r>
      <w:r>
        <w:rPr>
          <w:w w:val="105"/>
        </w:rPr>
        <w:t>and</w:t>
      </w:r>
      <w:r>
        <w:rPr>
          <w:spacing w:val="-34"/>
          <w:w w:val="105"/>
        </w:rPr>
        <w:t> </w:t>
      </w:r>
      <w:r>
        <w:rPr>
          <w:w w:val="105"/>
        </w:rPr>
        <w:t>Justin</w:t>
      </w:r>
      <w:r>
        <w:rPr>
          <w:spacing w:val="-34"/>
          <w:w w:val="105"/>
        </w:rPr>
        <w:t> </w:t>
      </w:r>
      <w:r>
        <w:rPr>
          <w:w w:val="105"/>
        </w:rPr>
        <w:t>Whittle, who both won New Colombo Plan Fellowships</w:t>
      </w:r>
    </w:p>
    <w:p>
      <w:pPr>
        <w:pStyle w:val="BodyText"/>
        <w:spacing w:line="244" w:lineRule="auto" w:before="57"/>
        <w:ind w:left="305" w:right="216" w:hanging="199"/>
      </w:pPr>
      <w:r>
        <w:rPr>
          <w:rFonts w:ascii="Century Gothic" w:hAnsi="Century Gothic"/>
          <w:b/>
          <w:w w:val="115"/>
        </w:rPr>
        <w:t>≥ </w:t>
      </w:r>
      <w:r>
        <w:rPr/>
        <w:t>Sarah Starnovsky, who won an Order of Australia Scholarship.</w:t>
      </w:r>
    </w:p>
    <w:p>
      <w:pPr>
        <w:pStyle w:val="BodyText"/>
        <w:spacing w:before="4"/>
        <w:rPr>
          <w:sz w:val="14"/>
        </w:rPr>
      </w:pPr>
    </w:p>
    <w:p>
      <w:pPr>
        <w:pStyle w:val="BodyText"/>
        <w:spacing w:line="249" w:lineRule="auto"/>
        <w:ind w:left="107" w:right="281"/>
      </w:pPr>
      <w:r>
        <w:rPr>
          <w:spacing w:val="1"/>
          <w:w w:val="80"/>
        </w:rPr>
        <w:t>In</w:t>
      </w:r>
      <w:r>
        <w:rPr>
          <w:w w:val="80"/>
        </w:rPr>
        <w:t> </w:t>
      </w:r>
      <w:r>
        <w:rPr>
          <w:spacing w:val="2"/>
          <w:w w:val="85"/>
        </w:rPr>
        <w:t>2016,</w:t>
      </w:r>
      <w:r>
        <w:rPr>
          <w:w w:val="85"/>
        </w:rPr>
        <w:t> </w:t>
      </w:r>
      <w:r>
        <w:rPr>
          <w:spacing w:val="1"/>
          <w:w w:val="94"/>
        </w:rPr>
        <w:t>The</w:t>
      </w:r>
      <w:r>
        <w:rPr>
          <w:w w:val="94"/>
        </w:rPr>
        <w:t> </w:t>
      </w:r>
      <w:r>
        <w:rPr>
          <w:spacing w:val="1"/>
          <w:w w:val="101"/>
        </w:rPr>
        <w:t>Academy</w:t>
      </w:r>
      <w:r>
        <w:rPr>
          <w:w w:val="101"/>
        </w:rPr>
        <w:t> </w:t>
      </w:r>
      <w:r>
        <w:rPr>
          <w:spacing w:val="1"/>
          <w:w w:val="100"/>
        </w:rPr>
        <w:t>Advisory</w:t>
      </w:r>
      <w:r>
        <w:rPr>
          <w:w w:val="100"/>
        </w:rPr>
        <w:t> </w:t>
      </w:r>
      <w:r>
        <w:rPr>
          <w:spacing w:val="1"/>
          <w:w w:val="98"/>
        </w:rPr>
        <w:t>Group</w:t>
      </w:r>
      <w:r>
        <w:rPr>
          <w:w w:val="98"/>
        </w:rPr>
        <w:t> </w:t>
      </w:r>
      <w:r>
        <w:rPr/>
        <w:t>was</w:t>
      </w:r>
      <w:r>
        <w:rPr>
          <w:spacing w:val="-21"/>
        </w:rPr>
        <w:t> </w:t>
      </w:r>
      <w:r>
        <w:rPr/>
        <w:t>established</w:t>
      </w:r>
      <w:r>
        <w:rPr>
          <w:spacing w:val="-21"/>
        </w:rPr>
        <w:t> </w:t>
      </w:r>
      <w:r>
        <w:rPr/>
        <w:t>with</w:t>
      </w:r>
      <w:r>
        <w:rPr>
          <w:spacing w:val="-21"/>
        </w:rPr>
        <w:t> </w:t>
      </w:r>
      <w:r>
        <w:rPr/>
        <w:t>internal,</w:t>
      </w:r>
      <w:r>
        <w:rPr>
          <w:spacing w:val="-21"/>
        </w:rPr>
        <w:t> </w:t>
      </w:r>
      <w:r>
        <w:rPr/>
        <w:t>external</w:t>
      </w:r>
      <w:r>
        <w:rPr>
          <w:spacing w:val="-21"/>
        </w:rPr>
        <w:t> </w:t>
      </w:r>
      <w:r>
        <w:rPr/>
        <w:t>and student stakeholder members to guide continuing</w:t>
      </w:r>
      <w:r>
        <w:rPr>
          <w:spacing w:val="-30"/>
        </w:rPr>
        <w:t> </w:t>
      </w:r>
      <w:r>
        <w:rPr/>
        <w:t>development.</w:t>
      </w:r>
    </w:p>
    <w:p>
      <w:pPr>
        <w:pStyle w:val="BodyText"/>
        <w:rPr>
          <w:sz w:val="14"/>
        </w:rPr>
      </w:pPr>
    </w:p>
    <w:p>
      <w:pPr>
        <w:pStyle w:val="BodyText"/>
        <w:spacing w:line="249" w:lineRule="auto"/>
        <w:ind w:left="107" w:right="443"/>
      </w:pPr>
      <w:r>
        <w:rPr/>
        <w:t>A review of The Academy’s program identified its positive effects, including:</w:t>
      </w:r>
    </w:p>
    <w:p>
      <w:pPr>
        <w:pStyle w:val="BodyText"/>
        <w:spacing w:line="244" w:lineRule="auto" w:before="55"/>
        <w:ind w:left="305" w:right="178" w:hanging="199"/>
      </w:pPr>
      <w:r>
        <w:rPr>
          <w:rFonts w:ascii="Century Gothic" w:hAnsi="Century Gothic"/>
          <w:b/>
          <w:w w:val="115"/>
        </w:rPr>
        <w:t>≥</w:t>
      </w:r>
      <w:r>
        <w:rPr>
          <w:rFonts w:ascii="Century Gothic" w:hAnsi="Century Gothic"/>
          <w:b/>
          <w:spacing w:val="-11"/>
          <w:w w:val="115"/>
        </w:rPr>
        <w:t> </w:t>
      </w:r>
      <w:r>
        <w:rPr>
          <w:w w:val="105"/>
        </w:rPr>
        <w:t>growing</w:t>
      </w:r>
      <w:r>
        <w:rPr>
          <w:spacing w:val="-31"/>
          <w:w w:val="105"/>
        </w:rPr>
        <w:t> </w:t>
      </w:r>
      <w:r>
        <w:rPr>
          <w:w w:val="105"/>
        </w:rPr>
        <w:t>attraction</w:t>
      </w:r>
      <w:r>
        <w:rPr>
          <w:spacing w:val="-31"/>
          <w:w w:val="105"/>
        </w:rPr>
        <w:t> </w:t>
      </w:r>
      <w:r>
        <w:rPr>
          <w:w w:val="105"/>
        </w:rPr>
        <w:t>and</w:t>
      </w:r>
      <w:r>
        <w:rPr>
          <w:spacing w:val="-31"/>
          <w:w w:val="105"/>
        </w:rPr>
        <w:t> </w:t>
      </w:r>
      <w:r>
        <w:rPr>
          <w:w w:val="105"/>
        </w:rPr>
        <w:t>retention</w:t>
      </w:r>
      <w:r>
        <w:rPr>
          <w:spacing w:val="-31"/>
          <w:w w:val="105"/>
        </w:rPr>
        <w:t> </w:t>
      </w:r>
      <w:r>
        <w:rPr>
          <w:w w:val="105"/>
        </w:rPr>
        <w:t>of</w:t>
      </w:r>
      <w:r>
        <w:rPr>
          <w:spacing w:val="-31"/>
          <w:w w:val="105"/>
        </w:rPr>
        <w:t> </w:t>
      </w:r>
      <w:r>
        <w:rPr>
          <w:w w:val="105"/>
        </w:rPr>
        <w:t>high- </w:t>
      </w:r>
      <w:r>
        <w:rPr/>
        <w:t>performing</w:t>
      </w:r>
      <w:r>
        <w:rPr>
          <w:spacing w:val="-8"/>
        </w:rPr>
        <w:t> </w:t>
      </w:r>
      <w:r>
        <w:rPr/>
        <w:t>students</w:t>
      </w:r>
    </w:p>
    <w:p>
      <w:pPr>
        <w:pStyle w:val="BodyText"/>
        <w:spacing w:before="8"/>
      </w:pPr>
      <w:r>
        <w:rPr/>
        <w:br w:type="column"/>
      </w:r>
      <w:r>
        <w:rPr/>
      </w:r>
    </w:p>
    <w:p>
      <w:pPr>
        <w:pStyle w:val="BodyText"/>
        <w:spacing w:line="244" w:lineRule="auto" w:before="1"/>
        <w:ind w:left="305" w:right="537" w:hanging="199"/>
      </w:pPr>
      <w:r>
        <w:rPr>
          <w:rFonts w:ascii="Century Gothic" w:hAnsi="Century Gothic"/>
          <w:b/>
          <w:w w:val="115"/>
        </w:rPr>
        <w:t>≥</w:t>
      </w:r>
      <w:r>
        <w:rPr>
          <w:rFonts w:ascii="Century Gothic" w:hAnsi="Century Gothic"/>
          <w:b/>
          <w:spacing w:val="-13"/>
          <w:w w:val="115"/>
        </w:rPr>
        <w:t> </w:t>
      </w:r>
      <w:r>
        <w:rPr>
          <w:w w:val="105"/>
        </w:rPr>
        <w:t>consistently</w:t>
      </w:r>
      <w:r>
        <w:rPr>
          <w:spacing w:val="-32"/>
          <w:w w:val="105"/>
        </w:rPr>
        <w:t> </w:t>
      </w:r>
      <w:r>
        <w:rPr>
          <w:w w:val="105"/>
        </w:rPr>
        <w:t>high</w:t>
      </w:r>
      <w:r>
        <w:rPr>
          <w:spacing w:val="-32"/>
          <w:w w:val="105"/>
        </w:rPr>
        <w:t> </w:t>
      </w:r>
      <w:r>
        <w:rPr>
          <w:w w:val="105"/>
        </w:rPr>
        <w:t>levels</w:t>
      </w:r>
      <w:r>
        <w:rPr>
          <w:spacing w:val="-32"/>
          <w:w w:val="105"/>
        </w:rPr>
        <w:t> </w:t>
      </w:r>
      <w:r>
        <w:rPr>
          <w:w w:val="105"/>
        </w:rPr>
        <w:t>of</w:t>
      </w:r>
      <w:r>
        <w:rPr>
          <w:spacing w:val="-32"/>
          <w:w w:val="105"/>
        </w:rPr>
        <w:t> </w:t>
      </w:r>
      <w:r>
        <w:rPr>
          <w:w w:val="105"/>
        </w:rPr>
        <w:t>academic </w:t>
      </w:r>
      <w:r>
        <w:rPr/>
        <w:t>performance by</w:t>
      </w:r>
      <w:r>
        <w:rPr>
          <w:spacing w:val="-26"/>
        </w:rPr>
        <w:t> </w:t>
      </w:r>
      <w:r>
        <w:rPr/>
        <w:t>members</w:t>
      </w:r>
    </w:p>
    <w:p>
      <w:pPr>
        <w:pStyle w:val="BodyText"/>
        <w:spacing w:line="247" w:lineRule="auto" w:before="58"/>
        <w:ind w:left="305" w:right="-2" w:hanging="199"/>
      </w:pPr>
      <w:r>
        <w:rPr>
          <w:rFonts w:ascii="Century Gothic" w:hAnsi="Century Gothic"/>
          <w:b/>
          <w:w w:val="115"/>
        </w:rPr>
        <w:t>≥</w:t>
      </w:r>
      <w:r>
        <w:rPr>
          <w:rFonts w:ascii="Century Gothic" w:hAnsi="Century Gothic"/>
          <w:b/>
          <w:spacing w:val="17"/>
          <w:w w:val="115"/>
        </w:rPr>
        <w:t> </w:t>
      </w:r>
      <w:r>
        <w:rPr/>
        <w:t>greatly</w:t>
      </w:r>
      <w:r>
        <w:rPr>
          <w:spacing w:val="-14"/>
        </w:rPr>
        <w:t> </w:t>
      </w:r>
      <w:r>
        <w:rPr/>
        <w:t>increased</w:t>
      </w:r>
      <w:r>
        <w:rPr>
          <w:spacing w:val="-14"/>
        </w:rPr>
        <w:t> </w:t>
      </w:r>
      <w:r>
        <w:rPr/>
        <w:t>sense</w:t>
      </w:r>
      <w:r>
        <w:rPr>
          <w:spacing w:val="-14"/>
        </w:rPr>
        <w:t> </w:t>
      </w:r>
      <w:r>
        <w:rPr/>
        <w:t>of</w:t>
      </w:r>
      <w:r>
        <w:rPr>
          <w:spacing w:val="-14"/>
        </w:rPr>
        <w:t> </w:t>
      </w:r>
      <w:r>
        <w:rPr/>
        <w:t>involvement</w:t>
      </w:r>
      <w:r>
        <w:rPr>
          <w:spacing w:val="-14"/>
        </w:rPr>
        <w:t> </w:t>
      </w:r>
      <w:r>
        <w:rPr/>
        <w:t>with the University and readiness to enter the workforce among</w:t>
      </w:r>
      <w:r>
        <w:rPr>
          <w:spacing w:val="-38"/>
        </w:rPr>
        <w:t> </w:t>
      </w:r>
      <w:r>
        <w:rPr/>
        <w:t>members.</w:t>
      </w:r>
    </w:p>
    <w:p>
      <w:pPr>
        <w:pStyle w:val="BodyText"/>
        <w:spacing w:before="4"/>
        <w:rPr>
          <w:sz w:val="19"/>
        </w:rPr>
      </w:pPr>
    </w:p>
    <w:p>
      <w:pPr>
        <w:pStyle w:val="Heading7"/>
        <w:spacing w:before="1"/>
      </w:pPr>
      <w:r>
        <w:rPr>
          <w:w w:val="95"/>
        </w:rPr>
        <w:t>ACADEMIC PROGRAM</w:t>
      </w:r>
    </w:p>
    <w:p>
      <w:pPr>
        <w:pStyle w:val="BodyText"/>
        <w:spacing w:line="249" w:lineRule="auto" w:before="58"/>
        <w:ind w:left="107" w:right="264"/>
      </w:pPr>
      <w:r>
        <w:rPr/>
        <w:t>Enrolments in the Bachelor of Applied Leadership and Critical Thinking (BALCT) </w:t>
      </w:r>
      <w:r>
        <w:rPr>
          <w:spacing w:val="1"/>
          <w:w w:val="97"/>
        </w:rPr>
        <w:t>increased</w:t>
      </w:r>
      <w:r>
        <w:rPr>
          <w:w w:val="97"/>
        </w:rPr>
        <w:t> </w:t>
      </w:r>
      <w:r>
        <w:rPr>
          <w:w w:val="95"/>
        </w:rPr>
        <w:t>in </w:t>
      </w:r>
      <w:r>
        <w:rPr>
          <w:spacing w:val="1"/>
          <w:w w:val="90"/>
        </w:rPr>
        <w:t>2016</w:t>
      </w:r>
      <w:r>
        <w:rPr>
          <w:w w:val="90"/>
        </w:rPr>
        <w:t> </w:t>
      </w:r>
      <w:r>
        <w:rPr>
          <w:spacing w:val="-1"/>
          <w:w w:val="101"/>
        </w:rPr>
        <w:t>to</w:t>
      </w:r>
      <w:r>
        <w:rPr>
          <w:w w:val="101"/>
        </w:rPr>
        <w:t> </w:t>
      </w:r>
      <w:r>
        <w:rPr>
          <w:spacing w:val="2"/>
          <w:w w:val="98"/>
        </w:rPr>
        <w:t>88</w:t>
      </w:r>
      <w:r>
        <w:rPr>
          <w:w w:val="98"/>
        </w:rPr>
        <w:t> </w:t>
      </w:r>
      <w:r>
        <w:rPr>
          <w:spacing w:val="2"/>
          <w:w w:val="94"/>
        </w:rPr>
        <w:t>students,</w:t>
      </w:r>
      <w:r>
        <w:rPr>
          <w:w w:val="94"/>
        </w:rPr>
        <w:t> </w:t>
      </w:r>
      <w:r>
        <w:rPr>
          <w:w w:val="98"/>
        </w:rPr>
        <w:t>with </w:t>
      </w:r>
      <w:r>
        <w:rPr/>
        <w:t>many more taking units offered by The Academy as electives or as formal sub- majors.</w:t>
      </w:r>
      <w:r>
        <w:rPr>
          <w:spacing w:val="-17"/>
        </w:rPr>
        <w:t> </w:t>
      </w:r>
      <w:r>
        <w:rPr/>
        <w:t>BALCT</w:t>
      </w:r>
      <w:r>
        <w:rPr>
          <w:spacing w:val="-17"/>
        </w:rPr>
        <w:t> </w:t>
      </w:r>
      <w:r>
        <w:rPr/>
        <w:t>units</w:t>
      </w:r>
      <w:r>
        <w:rPr>
          <w:spacing w:val="-17"/>
        </w:rPr>
        <w:t> </w:t>
      </w:r>
      <w:r>
        <w:rPr/>
        <w:t>are</w:t>
      </w:r>
      <w:r>
        <w:rPr>
          <w:spacing w:val="-17"/>
        </w:rPr>
        <w:t> </w:t>
      </w:r>
      <w:r>
        <w:rPr/>
        <w:t>now</w:t>
      </w:r>
      <w:r>
        <w:rPr>
          <w:spacing w:val="-17"/>
        </w:rPr>
        <w:t> </w:t>
      </w:r>
      <w:r>
        <w:rPr>
          <w:spacing w:val="2"/>
        </w:rPr>
        <w:t>embedded</w:t>
      </w:r>
      <w:r>
        <w:rPr>
          <w:spacing w:val="-17"/>
        </w:rPr>
        <w:t> </w:t>
      </w:r>
      <w:r>
        <w:rPr/>
        <w:t>in the Bachelor of Policing (Leadership) and the Bachelor of Sustainable Agriculture </w:t>
      </w:r>
      <w:r>
        <w:rPr>
          <w:spacing w:val="1"/>
          <w:w w:val="97"/>
        </w:rPr>
        <w:t>and</w:t>
      </w:r>
      <w:r>
        <w:rPr>
          <w:w w:val="97"/>
        </w:rPr>
        <w:t> </w:t>
      </w:r>
      <w:r>
        <w:rPr>
          <w:spacing w:val="1"/>
          <w:w w:val="102"/>
        </w:rPr>
        <w:t>Food</w:t>
      </w:r>
      <w:r>
        <w:rPr>
          <w:w w:val="102"/>
        </w:rPr>
        <w:t> </w:t>
      </w:r>
      <w:r>
        <w:rPr>
          <w:spacing w:val="1"/>
          <w:w w:val="95"/>
        </w:rPr>
        <w:t>Security.</w:t>
      </w:r>
      <w:r>
        <w:rPr>
          <w:w w:val="95"/>
        </w:rPr>
        <w:t> </w:t>
      </w:r>
      <w:r>
        <w:rPr>
          <w:spacing w:val="1"/>
          <w:w w:val="80"/>
        </w:rPr>
        <w:t>In</w:t>
      </w:r>
      <w:r>
        <w:rPr>
          <w:w w:val="80"/>
        </w:rPr>
        <w:t> </w:t>
      </w:r>
      <w:r>
        <w:rPr>
          <w:spacing w:val="1"/>
          <w:w w:val="100"/>
        </w:rPr>
        <w:t>April</w:t>
      </w:r>
      <w:r>
        <w:rPr>
          <w:w w:val="100"/>
        </w:rPr>
        <w:t> </w:t>
      </w:r>
      <w:r>
        <w:rPr>
          <w:spacing w:val="2"/>
          <w:w w:val="85"/>
        </w:rPr>
        <w:t>2016,</w:t>
      </w:r>
      <w:r>
        <w:rPr>
          <w:w w:val="85"/>
        </w:rPr>
        <w:t> </w:t>
      </w:r>
      <w:r>
        <w:rPr>
          <w:w w:val="97"/>
        </w:rPr>
        <w:t>the</w:t>
      </w:r>
      <w:r>
        <w:rPr>
          <w:spacing w:val="-35"/>
          <w:w w:val="97"/>
        </w:rPr>
        <w:t> </w:t>
      </w:r>
      <w:r>
        <w:rPr>
          <w:spacing w:val="1"/>
          <w:w w:val="97"/>
        </w:rPr>
        <w:t>first</w:t>
      </w:r>
    </w:p>
    <w:p>
      <w:pPr>
        <w:pStyle w:val="BodyText"/>
        <w:spacing w:line="249" w:lineRule="auto"/>
        <w:ind w:left="107" w:right="79"/>
      </w:pPr>
      <w:r>
        <w:rPr/>
        <w:t>seven students graduated from BALCT, with Helmut Uhlmann awarded a Dean’s Medal.</w:t>
      </w:r>
    </w:p>
    <w:p>
      <w:pPr>
        <w:pStyle w:val="BodyText"/>
        <w:rPr>
          <w:sz w:val="14"/>
        </w:rPr>
      </w:pPr>
    </w:p>
    <w:p>
      <w:pPr>
        <w:pStyle w:val="BodyText"/>
        <w:spacing w:line="249" w:lineRule="auto"/>
        <w:ind w:left="107" w:right="222"/>
      </w:pPr>
      <w:r>
        <w:rPr/>
        <w:t>The Academy Global Leaders Program enrolled 33 new students who were all high performers at secondary school, with</w:t>
      </w:r>
    </w:p>
    <w:p>
      <w:pPr>
        <w:pStyle w:val="BodyText"/>
        <w:spacing w:line="249" w:lineRule="auto"/>
        <w:ind w:left="107" w:right="-2"/>
      </w:pPr>
      <w:r>
        <w:rPr/>
        <w:t>significant contributions to their school and local communities. The University’s pre- tertiary Academy Access program supported </w:t>
      </w:r>
      <w:r>
        <w:rPr>
          <w:spacing w:val="-1"/>
          <w:w w:val="97"/>
        </w:rPr>
        <w:t>243</w:t>
      </w:r>
      <w:r>
        <w:rPr>
          <w:w w:val="97"/>
        </w:rPr>
        <w:t> </w:t>
      </w:r>
      <w:r>
        <w:rPr>
          <w:spacing w:val="1"/>
          <w:w w:val="97"/>
        </w:rPr>
        <w:t>students</w:t>
      </w:r>
      <w:r>
        <w:rPr>
          <w:w w:val="97"/>
        </w:rPr>
        <w:t> </w:t>
      </w:r>
      <w:r>
        <w:rPr>
          <w:w w:val="95"/>
        </w:rPr>
        <w:t>in </w:t>
      </w:r>
      <w:r>
        <w:rPr>
          <w:spacing w:val="2"/>
          <w:w w:val="85"/>
        </w:rPr>
        <w:t>2016.</w:t>
      </w:r>
      <w:r>
        <w:rPr>
          <w:w w:val="85"/>
        </w:rPr>
        <w:t> </w:t>
      </w:r>
      <w:r>
        <w:rPr>
          <w:w w:val="112"/>
        </w:rPr>
        <w:t>A </w:t>
      </w:r>
      <w:r>
        <w:rPr>
          <w:spacing w:val="1"/>
          <w:w w:val="95"/>
        </w:rPr>
        <w:t>series</w:t>
      </w:r>
      <w:r>
        <w:rPr>
          <w:w w:val="95"/>
        </w:rPr>
        <w:t> </w:t>
      </w:r>
      <w:r>
        <w:rPr>
          <w:w w:val="99"/>
        </w:rPr>
        <w:t>of </w:t>
      </w:r>
      <w:r>
        <w:rPr>
          <w:spacing w:val="1"/>
          <w:w w:val="92"/>
        </w:rPr>
        <w:t>VIP</w:t>
      </w:r>
      <w:r>
        <w:rPr>
          <w:w w:val="92"/>
        </w:rPr>
        <w:t> </w:t>
      </w:r>
      <w:r>
        <w:rPr/>
        <w:t>Experience</w:t>
      </w:r>
      <w:r>
        <w:rPr>
          <w:spacing w:val="-12"/>
        </w:rPr>
        <w:t> </w:t>
      </w:r>
      <w:r>
        <w:rPr/>
        <w:t>Events</w:t>
      </w:r>
      <w:r>
        <w:rPr>
          <w:spacing w:val="-12"/>
        </w:rPr>
        <w:t> </w:t>
      </w:r>
      <w:r>
        <w:rPr/>
        <w:t>provided</w:t>
      </w:r>
      <w:r>
        <w:rPr>
          <w:spacing w:val="-12"/>
        </w:rPr>
        <w:t> </w:t>
      </w:r>
      <w:r>
        <w:rPr/>
        <w:t>these</w:t>
      </w:r>
      <w:r>
        <w:rPr>
          <w:spacing w:val="-12"/>
        </w:rPr>
        <w:t> </w:t>
      </w:r>
      <w:r>
        <w:rPr/>
        <w:t>prospective students with detailed program information, opportunities</w:t>
      </w:r>
      <w:r>
        <w:rPr>
          <w:spacing w:val="-13"/>
        </w:rPr>
        <w:t> </w:t>
      </w:r>
      <w:r>
        <w:rPr/>
        <w:t>to</w:t>
      </w:r>
      <w:r>
        <w:rPr>
          <w:spacing w:val="-13"/>
        </w:rPr>
        <w:t> </w:t>
      </w:r>
      <w:r>
        <w:rPr/>
        <w:t>interact</w:t>
      </w:r>
      <w:r>
        <w:rPr>
          <w:spacing w:val="-13"/>
        </w:rPr>
        <w:t> </w:t>
      </w:r>
      <w:r>
        <w:rPr/>
        <w:t>with</w:t>
      </w:r>
      <w:r>
        <w:rPr>
          <w:spacing w:val="-13"/>
        </w:rPr>
        <w:t> </w:t>
      </w:r>
      <w:r>
        <w:rPr/>
        <w:t>current</w:t>
      </w:r>
      <w:r>
        <w:rPr>
          <w:spacing w:val="-13"/>
        </w:rPr>
        <w:t> </w:t>
      </w:r>
      <w:r>
        <w:rPr/>
        <w:t>students and the chance to see and experience the University’s facilities. The Academy Access Induction</w:t>
      </w:r>
      <w:r>
        <w:rPr>
          <w:spacing w:val="-19"/>
        </w:rPr>
        <w:t> </w:t>
      </w:r>
      <w:r>
        <w:rPr/>
        <w:t>Event</w:t>
      </w:r>
      <w:r>
        <w:rPr>
          <w:spacing w:val="-19"/>
        </w:rPr>
        <w:t> </w:t>
      </w:r>
      <w:r>
        <w:rPr/>
        <w:t>welcomed</w:t>
      </w:r>
      <w:r>
        <w:rPr>
          <w:spacing w:val="-19"/>
        </w:rPr>
        <w:t> </w:t>
      </w:r>
      <w:r>
        <w:rPr/>
        <w:t>237</w:t>
      </w:r>
      <w:r>
        <w:rPr>
          <w:spacing w:val="-19"/>
        </w:rPr>
        <w:t> </w:t>
      </w:r>
      <w:r>
        <w:rPr/>
        <w:t>students</w:t>
      </w:r>
    </w:p>
    <w:p>
      <w:pPr>
        <w:pStyle w:val="BodyText"/>
        <w:spacing w:line="249" w:lineRule="auto"/>
        <w:ind w:left="107" w:right="239"/>
      </w:pPr>
      <w:r>
        <w:rPr>
          <w:w w:val="98"/>
        </w:rPr>
        <w:t>into </w:t>
      </w:r>
      <w:r>
        <w:rPr>
          <w:w w:val="97"/>
        </w:rPr>
        <w:t>the </w:t>
      </w:r>
      <w:r>
        <w:rPr>
          <w:w w:val="87"/>
        </w:rPr>
        <w:t>2017 </w:t>
      </w:r>
      <w:r>
        <w:rPr>
          <w:w w:val="95"/>
        </w:rPr>
        <w:t>cohort, </w:t>
      </w:r>
      <w:r>
        <w:rPr>
          <w:w w:val="98"/>
        </w:rPr>
        <w:t>with </w:t>
      </w:r>
      <w:r>
        <w:rPr>
          <w:w w:val="97"/>
        </w:rPr>
        <w:t>more </w:t>
      </w:r>
      <w:r>
        <w:rPr>
          <w:w w:val="97"/>
        </w:rPr>
        <w:t>than </w:t>
      </w:r>
      <w:r>
        <w:rPr>
          <w:w w:val="105"/>
        </w:rPr>
        <w:t>500 </w:t>
      </w:r>
      <w:r>
        <w:rPr/>
        <w:t>students, teachers and parents attending.</w:t>
      </w:r>
    </w:p>
    <w:p>
      <w:pPr>
        <w:pStyle w:val="BodyText"/>
        <w:spacing w:before="3"/>
        <w:rPr>
          <w:sz w:val="19"/>
        </w:rPr>
      </w:pPr>
    </w:p>
    <w:p>
      <w:pPr>
        <w:pStyle w:val="Heading7"/>
        <w:spacing w:line="249" w:lineRule="auto"/>
        <w:ind w:right="714"/>
      </w:pPr>
      <w:r>
        <w:rPr/>
        <w:t>CO-CURRICULAR AND </w:t>
      </w:r>
      <w:r>
        <w:rPr>
          <w:w w:val="95"/>
        </w:rPr>
        <w:t>COMMUNITY PROGRAMMING</w:t>
      </w:r>
    </w:p>
    <w:p>
      <w:pPr>
        <w:pStyle w:val="BodyText"/>
        <w:spacing w:line="249" w:lineRule="auto" w:before="50"/>
        <w:ind w:left="107" w:right="664"/>
        <w:jc w:val="both"/>
      </w:pPr>
      <w:r>
        <w:rPr/>
        <w:t>The</w:t>
      </w:r>
      <w:r>
        <w:rPr>
          <w:spacing w:val="-12"/>
        </w:rPr>
        <w:t> </w:t>
      </w:r>
      <w:r>
        <w:rPr/>
        <w:t>Academy</w:t>
      </w:r>
      <w:r>
        <w:rPr>
          <w:spacing w:val="-12"/>
        </w:rPr>
        <w:t> </w:t>
      </w:r>
      <w:r>
        <w:rPr/>
        <w:t>continued</w:t>
      </w:r>
      <w:r>
        <w:rPr>
          <w:spacing w:val="-12"/>
        </w:rPr>
        <w:t> </w:t>
      </w:r>
      <w:r>
        <w:rPr/>
        <w:t>to</w:t>
      </w:r>
      <w:r>
        <w:rPr>
          <w:spacing w:val="-12"/>
        </w:rPr>
        <w:t> </w:t>
      </w:r>
      <w:r>
        <w:rPr/>
        <w:t>provide</w:t>
      </w:r>
      <w:r>
        <w:rPr>
          <w:spacing w:val="-12"/>
        </w:rPr>
        <w:t> </w:t>
      </w:r>
      <w:r>
        <w:rPr/>
        <w:t>a wide</w:t>
      </w:r>
      <w:r>
        <w:rPr>
          <w:spacing w:val="-13"/>
        </w:rPr>
        <w:t> </w:t>
      </w:r>
      <w:r>
        <w:rPr/>
        <w:t>range</w:t>
      </w:r>
      <w:r>
        <w:rPr>
          <w:spacing w:val="-13"/>
        </w:rPr>
        <w:t> </w:t>
      </w:r>
      <w:r>
        <w:rPr/>
        <w:t>of</w:t>
      </w:r>
      <w:r>
        <w:rPr>
          <w:spacing w:val="-13"/>
        </w:rPr>
        <w:t> </w:t>
      </w:r>
      <w:r>
        <w:rPr/>
        <w:t>enriching</w:t>
      </w:r>
      <w:r>
        <w:rPr>
          <w:spacing w:val="-13"/>
        </w:rPr>
        <w:t> </w:t>
      </w:r>
      <w:r>
        <w:rPr/>
        <w:t>community- based</w:t>
      </w:r>
      <w:r>
        <w:rPr>
          <w:spacing w:val="-14"/>
        </w:rPr>
        <w:t> </w:t>
      </w:r>
      <w:r>
        <w:rPr/>
        <w:t>and</w:t>
      </w:r>
      <w:r>
        <w:rPr>
          <w:spacing w:val="-14"/>
        </w:rPr>
        <w:t> </w:t>
      </w:r>
      <w:r>
        <w:rPr/>
        <w:t>co</w:t>
      </w:r>
      <w:r>
        <w:rPr>
          <w:spacing w:val="-14"/>
        </w:rPr>
        <w:t> </w:t>
      </w:r>
      <w:r>
        <w:rPr/>
        <w:t>curricular</w:t>
      </w:r>
      <w:r>
        <w:rPr>
          <w:spacing w:val="-14"/>
        </w:rPr>
        <w:t> </w:t>
      </w:r>
      <w:r>
        <w:rPr/>
        <w:t>projects</w:t>
      </w:r>
      <w:r>
        <w:rPr>
          <w:spacing w:val="-14"/>
        </w:rPr>
        <w:t> </w:t>
      </w:r>
      <w:r>
        <w:rPr/>
        <w:t>and experiences</w:t>
      </w:r>
      <w:r>
        <w:rPr>
          <w:spacing w:val="-27"/>
        </w:rPr>
        <w:t> </w:t>
      </w:r>
      <w:r>
        <w:rPr/>
        <w:t>for</w:t>
      </w:r>
      <w:r>
        <w:rPr>
          <w:spacing w:val="-27"/>
        </w:rPr>
        <w:t> </w:t>
      </w:r>
      <w:r>
        <w:rPr/>
        <w:t>members,</w:t>
      </w:r>
      <w:r>
        <w:rPr>
          <w:spacing w:val="-27"/>
        </w:rPr>
        <w:t> </w:t>
      </w:r>
      <w:r>
        <w:rPr/>
        <w:t>including:</w:t>
      </w:r>
    </w:p>
    <w:p>
      <w:pPr>
        <w:pStyle w:val="BodyText"/>
        <w:spacing w:line="244" w:lineRule="auto" w:before="55"/>
        <w:ind w:left="305" w:right="300" w:hanging="199"/>
      </w:pPr>
      <w:r>
        <w:rPr>
          <w:rFonts w:ascii="Century Gothic" w:hAnsi="Century Gothic"/>
          <w:b/>
          <w:w w:val="115"/>
        </w:rPr>
        <w:t>≥ </w:t>
      </w:r>
      <w:r>
        <w:rPr>
          <w:w w:val="105"/>
        </w:rPr>
        <w:t>the Reading Ambassador Program: </w:t>
      </w:r>
      <w:r>
        <w:rPr/>
        <w:t>52 students volunteered each week to</w:t>
      </w:r>
    </w:p>
    <w:p>
      <w:pPr>
        <w:pStyle w:val="BodyText"/>
        <w:spacing w:line="249" w:lineRule="auto" w:before="3"/>
        <w:ind w:left="305" w:right="-2"/>
      </w:pPr>
      <w:r>
        <w:rPr/>
        <w:t>provide reading recovery support at local disadvantaged primary schools</w:t>
      </w:r>
    </w:p>
    <w:p>
      <w:pPr>
        <w:pStyle w:val="BodyText"/>
        <w:spacing w:line="247" w:lineRule="auto" w:before="55"/>
        <w:ind w:left="305" w:right="198" w:hanging="199"/>
      </w:pPr>
      <w:r>
        <w:rPr>
          <w:rFonts w:ascii="Century Gothic" w:hAnsi="Century Gothic"/>
          <w:b/>
          <w:w w:val="115"/>
        </w:rPr>
        <w:t>≥ </w:t>
      </w:r>
      <w:r>
        <w:rPr/>
        <w:t>the We3T Project: completed three </w:t>
      </w:r>
      <w:r>
        <w:rPr>
          <w:w w:val="94"/>
        </w:rPr>
        <w:t>cycles, </w:t>
      </w:r>
      <w:r>
        <w:rPr>
          <w:w w:val="98"/>
        </w:rPr>
        <w:t>with </w:t>
      </w:r>
      <w:r>
        <w:rPr>
          <w:w w:val="98"/>
        </w:rPr>
        <w:t>up </w:t>
      </w:r>
      <w:r>
        <w:rPr>
          <w:w w:val="101"/>
        </w:rPr>
        <w:t>to </w:t>
      </w:r>
      <w:r>
        <w:rPr>
          <w:w w:val="82"/>
        </w:rPr>
        <w:t>10 </w:t>
      </w:r>
      <w:r>
        <w:rPr>
          <w:w w:val="97"/>
        </w:rPr>
        <w:t>students </w:t>
      </w:r>
      <w:r>
        <w:rPr>
          <w:w w:val="95"/>
        </w:rPr>
        <w:t>in </w:t>
      </w:r>
      <w:r>
        <w:rPr>
          <w:w w:val="97"/>
        </w:rPr>
        <w:t>each </w:t>
      </w:r>
      <w:r>
        <w:rPr/>
        <w:t>cycle working on projects to produce business development reports for small organisations to help them improve their business intelligence and outreach strategies</w:t>
      </w:r>
    </w:p>
    <w:p>
      <w:pPr>
        <w:pStyle w:val="BodyText"/>
        <w:spacing w:before="8"/>
      </w:pPr>
      <w:r>
        <w:rPr/>
        <w:br w:type="column"/>
      </w:r>
      <w:r>
        <w:rPr/>
      </w:r>
    </w:p>
    <w:p>
      <w:pPr>
        <w:pStyle w:val="BodyText"/>
        <w:spacing w:line="247" w:lineRule="auto"/>
        <w:ind w:left="305" w:right="27" w:hanging="199"/>
      </w:pPr>
      <w:r>
        <w:rPr>
          <w:rFonts w:ascii="Century Gothic" w:hAnsi="Century Gothic"/>
          <w:b/>
          <w:w w:val="115"/>
        </w:rPr>
        <w:t>≥ </w:t>
      </w:r>
      <w:r>
        <w:rPr/>
        <w:t>regional welcome days, social trivia events, International Women’s Day speakers lunches and several other campus-specific events: staff members and 14 senior students acting as Community Advisors delivered these events</w:t>
      </w:r>
    </w:p>
    <w:p>
      <w:pPr>
        <w:pStyle w:val="BodyText"/>
        <w:spacing w:line="247" w:lineRule="auto" w:before="57"/>
        <w:ind w:left="305" w:right="109" w:hanging="199"/>
      </w:pPr>
      <w:r>
        <w:rPr>
          <w:rFonts w:ascii="Century Gothic" w:hAnsi="Century Gothic"/>
          <w:b/>
          <w:w w:val="115"/>
        </w:rPr>
        <w:t>≥ </w:t>
      </w:r>
      <w:r>
        <w:rPr>
          <w:w w:val="95"/>
        </w:rPr>
        <w:t>11 </w:t>
      </w:r>
      <w:r>
        <w:rPr/>
        <w:t>leaders lunches, which gave students opportunities to learn about guest speakers’ lives and career journeys in an informal setting. </w:t>
      </w:r>
      <w:r>
        <w:rPr>
          <w:spacing w:val="2"/>
        </w:rPr>
        <w:t>Guest </w:t>
      </w:r>
      <w:r>
        <w:rPr/>
        <w:t>speakers included the Chancellor, Professor Peter Shergold, AC; Professor Glover; the Deputy Vice- Chancellor Research; leaders of large charitable and community organisations; leaders</w:t>
      </w:r>
      <w:r>
        <w:rPr>
          <w:spacing w:val="-20"/>
        </w:rPr>
        <w:t> </w:t>
      </w:r>
      <w:r>
        <w:rPr/>
        <w:t>in</w:t>
      </w:r>
      <w:r>
        <w:rPr>
          <w:spacing w:val="-20"/>
        </w:rPr>
        <w:t> </w:t>
      </w:r>
      <w:r>
        <w:rPr/>
        <w:t>industry;</w:t>
      </w:r>
      <w:r>
        <w:rPr>
          <w:spacing w:val="-20"/>
        </w:rPr>
        <w:t> </w:t>
      </w:r>
      <w:r>
        <w:rPr/>
        <w:t>current</w:t>
      </w:r>
      <w:r>
        <w:rPr>
          <w:spacing w:val="-20"/>
        </w:rPr>
        <w:t> </w:t>
      </w:r>
      <w:r>
        <w:rPr/>
        <w:t>groundbreaking researchers at Western Sydney University; politicians; and members of the Board of Trustees</w:t>
      </w:r>
    </w:p>
    <w:p>
      <w:pPr>
        <w:pStyle w:val="BodyText"/>
        <w:spacing w:line="247" w:lineRule="auto" w:before="57"/>
        <w:ind w:left="305" w:right="158" w:hanging="199"/>
      </w:pPr>
      <w:r>
        <w:rPr>
          <w:rFonts w:ascii="Century Gothic" w:hAnsi="Century Gothic"/>
          <w:b/>
          <w:w w:val="115"/>
        </w:rPr>
        <w:t>≥ </w:t>
      </w:r>
      <w:r>
        <w:rPr/>
        <w:t>research lunches, which allowed students to</w:t>
      </w:r>
      <w:r>
        <w:rPr>
          <w:spacing w:val="-17"/>
        </w:rPr>
        <w:t> </w:t>
      </w:r>
      <w:r>
        <w:rPr/>
        <w:t>discuss</w:t>
      </w:r>
      <w:r>
        <w:rPr>
          <w:spacing w:val="-17"/>
        </w:rPr>
        <w:t> </w:t>
      </w:r>
      <w:r>
        <w:rPr/>
        <w:t>the</w:t>
      </w:r>
      <w:r>
        <w:rPr>
          <w:spacing w:val="-17"/>
        </w:rPr>
        <w:t> </w:t>
      </w:r>
      <w:r>
        <w:rPr/>
        <w:t>practice</w:t>
      </w:r>
      <w:r>
        <w:rPr>
          <w:spacing w:val="-17"/>
        </w:rPr>
        <w:t> </w:t>
      </w:r>
      <w:r>
        <w:rPr/>
        <w:t>of</w:t>
      </w:r>
      <w:r>
        <w:rPr>
          <w:spacing w:val="-17"/>
        </w:rPr>
        <w:t> </w:t>
      </w:r>
      <w:r>
        <w:rPr/>
        <w:t>research,</w:t>
      </w:r>
      <w:r>
        <w:rPr>
          <w:spacing w:val="-17"/>
        </w:rPr>
        <w:t> </w:t>
      </w:r>
      <w:r>
        <w:rPr/>
        <w:t>making it</w:t>
      </w:r>
      <w:r>
        <w:rPr>
          <w:spacing w:val="-16"/>
        </w:rPr>
        <w:t> </w:t>
      </w:r>
      <w:r>
        <w:rPr/>
        <w:t>something</w:t>
      </w:r>
      <w:r>
        <w:rPr>
          <w:spacing w:val="-16"/>
        </w:rPr>
        <w:t> </w:t>
      </w:r>
      <w:r>
        <w:rPr/>
        <w:t>to</w:t>
      </w:r>
      <w:r>
        <w:rPr>
          <w:spacing w:val="-16"/>
        </w:rPr>
        <w:t> </w:t>
      </w:r>
      <w:r>
        <w:rPr/>
        <w:t>aspire</w:t>
      </w:r>
      <w:r>
        <w:rPr>
          <w:spacing w:val="-16"/>
        </w:rPr>
        <w:t> </w:t>
      </w:r>
      <w:r>
        <w:rPr/>
        <w:t>to</w:t>
      </w:r>
    </w:p>
    <w:p>
      <w:pPr>
        <w:pStyle w:val="BodyText"/>
        <w:spacing w:line="244" w:lineRule="auto" w:before="57"/>
        <w:ind w:left="305" w:right="459" w:hanging="199"/>
      </w:pPr>
      <w:r>
        <w:rPr>
          <w:rFonts w:ascii="Century Gothic" w:hAnsi="Century Gothic"/>
          <w:b/>
          <w:w w:val="115"/>
        </w:rPr>
        <w:t>≥</w:t>
      </w:r>
      <w:r>
        <w:rPr>
          <w:rFonts w:ascii="Century Gothic" w:hAnsi="Century Gothic"/>
          <w:b/>
          <w:spacing w:val="-9"/>
          <w:w w:val="115"/>
        </w:rPr>
        <w:t> </w:t>
      </w:r>
      <w:r>
        <w:rPr>
          <w:spacing w:val="2"/>
          <w:w w:val="105"/>
        </w:rPr>
        <w:t>300</w:t>
      </w:r>
      <w:r>
        <w:rPr>
          <w:spacing w:val="-30"/>
          <w:w w:val="105"/>
        </w:rPr>
        <w:t> </w:t>
      </w:r>
      <w:r>
        <w:rPr>
          <w:w w:val="105"/>
        </w:rPr>
        <w:t>study</w:t>
      </w:r>
      <w:r>
        <w:rPr>
          <w:spacing w:val="-30"/>
          <w:w w:val="105"/>
        </w:rPr>
        <w:t> </w:t>
      </w:r>
      <w:r>
        <w:rPr>
          <w:w w:val="105"/>
        </w:rPr>
        <w:t>sessions,</w:t>
      </w:r>
      <w:r>
        <w:rPr>
          <w:spacing w:val="-30"/>
          <w:w w:val="105"/>
        </w:rPr>
        <w:t> </w:t>
      </w:r>
      <w:r>
        <w:rPr>
          <w:w w:val="105"/>
        </w:rPr>
        <w:t>which</w:t>
      </w:r>
      <w:r>
        <w:rPr>
          <w:spacing w:val="-30"/>
          <w:w w:val="105"/>
        </w:rPr>
        <w:t> </w:t>
      </w:r>
      <w:r>
        <w:rPr>
          <w:w w:val="105"/>
        </w:rPr>
        <w:t>Community </w:t>
      </w:r>
      <w:r>
        <w:rPr/>
        <w:t>Advisors facilitated across</w:t>
      </w:r>
      <w:r>
        <w:rPr>
          <w:spacing w:val="-33"/>
        </w:rPr>
        <w:t> </w:t>
      </w:r>
      <w:r>
        <w:rPr/>
        <w:t>campuses</w:t>
      </w:r>
    </w:p>
    <w:p>
      <w:pPr>
        <w:pStyle w:val="BodyText"/>
        <w:spacing w:line="247" w:lineRule="auto" w:before="58"/>
        <w:ind w:left="305" w:right="165" w:hanging="199"/>
      </w:pPr>
      <w:r>
        <w:rPr>
          <w:rFonts w:ascii="Century Gothic" w:hAnsi="Century Gothic"/>
          <w:b/>
          <w:w w:val="115"/>
        </w:rPr>
        <w:t>≥ </w:t>
      </w:r>
      <w:r>
        <w:rPr/>
        <w:t>leadership events, such as the Out There Greater Western Sydney Conference, the Engagement Australia conference, the Women in Leadership conference and the Students in Leadership conference.</w:t>
      </w:r>
    </w:p>
    <w:p>
      <w:pPr>
        <w:pStyle w:val="BodyText"/>
        <w:spacing w:before="4"/>
        <w:rPr>
          <w:sz w:val="19"/>
        </w:rPr>
      </w:pPr>
    </w:p>
    <w:p>
      <w:pPr>
        <w:pStyle w:val="Heading7"/>
        <w:spacing w:line="249" w:lineRule="auto" w:before="1"/>
        <w:ind w:right="111"/>
      </w:pPr>
      <w:r>
        <w:rPr>
          <w:w w:val="95"/>
        </w:rPr>
        <w:t>TRANSFORMATIVE INTERNATIONAL LEARNING EXPERIENCES</w:t>
      </w:r>
    </w:p>
    <w:p>
      <w:pPr>
        <w:pStyle w:val="BodyText"/>
        <w:spacing w:line="249" w:lineRule="auto" w:before="50"/>
        <w:ind w:left="107" w:right="358"/>
      </w:pPr>
      <w:r>
        <w:rPr/>
        <w:t>The Academy is committed to globalising its student cohort via the Transformative International Learning Experiences (TILE) </w:t>
      </w:r>
      <w:r>
        <w:rPr>
          <w:w w:val="95"/>
        </w:rPr>
        <w:t>program. In 2016:</w:t>
      </w:r>
    </w:p>
    <w:p>
      <w:pPr>
        <w:pStyle w:val="BodyText"/>
        <w:spacing w:line="247" w:lineRule="auto" w:before="55"/>
        <w:ind w:left="305" w:right="212" w:hanging="199"/>
      </w:pPr>
      <w:r>
        <w:rPr>
          <w:rFonts w:ascii="Century Gothic" w:hAnsi="Century Gothic"/>
          <w:b/>
          <w:w w:val="115"/>
        </w:rPr>
        <w:t>≥ </w:t>
      </w:r>
      <w:r>
        <w:rPr/>
        <w:t>15 students spent six weeks with the social enterprise program 40K Globe in Bangalore</w:t>
      </w:r>
    </w:p>
    <w:p>
      <w:pPr>
        <w:pStyle w:val="BodyText"/>
        <w:spacing w:line="247" w:lineRule="auto" w:before="57"/>
        <w:ind w:left="305" w:right="319" w:hanging="199"/>
        <w:jc w:val="both"/>
      </w:pPr>
      <w:r>
        <w:rPr>
          <w:rFonts w:ascii="Century Gothic" w:hAnsi="Century Gothic"/>
          <w:b/>
          <w:w w:val="115"/>
        </w:rPr>
        <w:t>≥</w:t>
      </w:r>
      <w:r>
        <w:rPr>
          <w:rFonts w:ascii="Century Gothic" w:hAnsi="Century Gothic"/>
          <w:b/>
          <w:spacing w:val="19"/>
          <w:w w:val="115"/>
        </w:rPr>
        <w:t> </w:t>
      </w:r>
      <w:r>
        <w:rPr/>
        <w:t>nine</w:t>
      </w:r>
      <w:r>
        <w:rPr>
          <w:spacing w:val="-12"/>
        </w:rPr>
        <w:t> </w:t>
      </w:r>
      <w:r>
        <w:rPr/>
        <w:t>students</w:t>
      </w:r>
      <w:r>
        <w:rPr>
          <w:spacing w:val="-12"/>
        </w:rPr>
        <w:t> </w:t>
      </w:r>
      <w:r>
        <w:rPr/>
        <w:t>studied</w:t>
      </w:r>
      <w:r>
        <w:rPr>
          <w:spacing w:val="-12"/>
        </w:rPr>
        <w:t> </w:t>
      </w:r>
      <w:r>
        <w:rPr/>
        <w:t>Thai</w:t>
      </w:r>
      <w:r>
        <w:rPr>
          <w:spacing w:val="-12"/>
        </w:rPr>
        <w:t> </w:t>
      </w:r>
      <w:r>
        <w:rPr/>
        <w:t>language</w:t>
      </w:r>
      <w:r>
        <w:rPr>
          <w:spacing w:val="-12"/>
        </w:rPr>
        <w:t> </w:t>
      </w:r>
      <w:r>
        <w:rPr/>
        <w:t>and cultural</w:t>
      </w:r>
      <w:r>
        <w:rPr>
          <w:spacing w:val="-15"/>
        </w:rPr>
        <w:t> </w:t>
      </w:r>
      <w:r>
        <w:rPr/>
        <w:t>programs</w:t>
      </w:r>
      <w:r>
        <w:rPr>
          <w:spacing w:val="-15"/>
        </w:rPr>
        <w:t> </w:t>
      </w:r>
      <w:r>
        <w:rPr/>
        <w:t>with</w:t>
      </w:r>
      <w:r>
        <w:rPr>
          <w:spacing w:val="-15"/>
        </w:rPr>
        <w:t> </w:t>
      </w:r>
      <w:r>
        <w:rPr/>
        <w:t>new</w:t>
      </w:r>
      <w:r>
        <w:rPr>
          <w:spacing w:val="-15"/>
        </w:rPr>
        <w:t> </w:t>
      </w:r>
      <w:r>
        <w:rPr/>
        <w:t>collaborator </w:t>
      </w:r>
      <w:r>
        <w:rPr>
          <w:spacing w:val="2"/>
        </w:rPr>
        <w:t>Kasetsart</w:t>
      </w:r>
      <w:r>
        <w:rPr>
          <w:spacing w:val="-18"/>
        </w:rPr>
        <w:t> </w:t>
      </w:r>
      <w:r>
        <w:rPr/>
        <w:t>University</w:t>
      </w:r>
      <w:r>
        <w:rPr>
          <w:spacing w:val="-18"/>
        </w:rPr>
        <w:t> </w:t>
      </w:r>
      <w:r>
        <w:rPr/>
        <w:t>in</w:t>
      </w:r>
      <w:r>
        <w:rPr>
          <w:spacing w:val="-18"/>
        </w:rPr>
        <w:t> </w:t>
      </w:r>
      <w:r>
        <w:rPr/>
        <w:t>Bangkok</w:t>
      </w:r>
    </w:p>
    <w:p>
      <w:pPr>
        <w:pStyle w:val="BodyText"/>
        <w:spacing w:line="247" w:lineRule="auto" w:before="57"/>
        <w:ind w:left="305" w:right="158" w:hanging="199"/>
      </w:pPr>
      <w:r>
        <w:rPr>
          <w:rFonts w:ascii="Century Gothic" w:hAnsi="Century Gothic"/>
          <w:b/>
          <w:w w:val="115"/>
        </w:rPr>
        <w:t>≥ </w:t>
      </w:r>
      <w:r>
        <w:rPr/>
        <w:t>five students entered round four of the New Colombo Plan–funded and internally developed India Immersion Internship Program in Mumbai</w:t>
      </w:r>
    </w:p>
    <w:p>
      <w:pPr>
        <w:pStyle w:val="BodyText"/>
        <w:spacing w:line="247" w:lineRule="auto" w:before="57"/>
        <w:ind w:left="305" w:hanging="199"/>
      </w:pPr>
      <w:r>
        <w:rPr>
          <w:rFonts w:ascii="Century Gothic" w:hAnsi="Century Gothic"/>
          <w:b/>
          <w:w w:val="115"/>
        </w:rPr>
        <w:t>≥ </w:t>
      </w:r>
      <w:r>
        <w:rPr/>
        <w:t>15 students participated in the Democracy and Citizenship program at Stellenbosch University in South Africa, which The Academy Director co-developed and</w:t>
      </w:r>
    </w:p>
    <w:p>
      <w:pPr>
        <w:pStyle w:val="BodyText"/>
        <w:spacing w:before="1"/>
        <w:ind w:left="305"/>
      </w:pPr>
      <w:r>
        <w:rPr/>
        <w:t>co-taught.</w:t>
      </w:r>
    </w:p>
    <w:p>
      <w:pPr>
        <w:spacing w:after="0"/>
        <w:sectPr>
          <w:type w:val="continuous"/>
          <w:pgSz w:w="11910" w:h="16840"/>
          <w:pgMar w:top="1580" w:bottom="280" w:left="800" w:right="800"/>
          <w:cols w:num="3" w:equalWidth="0">
            <w:col w:w="3320" w:space="119"/>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rPr>
          <w:sz w:val="20"/>
        </w:rPr>
      </w:pPr>
    </w:p>
    <w:p>
      <w:pPr>
        <w:pStyle w:val="BodyText"/>
        <w:spacing w:line="247" w:lineRule="auto"/>
        <w:ind w:left="305" w:right="148" w:hanging="199"/>
        <w:jc w:val="both"/>
      </w:pPr>
      <w:r>
        <w:rPr>
          <w:rFonts w:ascii="Century Gothic" w:hAnsi="Century Gothic"/>
          <w:b/>
          <w:w w:val="115"/>
        </w:rPr>
        <w:t>≥ </w:t>
      </w:r>
      <w:r>
        <w:rPr/>
        <w:t>two students joined the prestigious</w:t>
      </w:r>
      <w:r>
        <w:rPr>
          <w:spacing w:val="-22"/>
        </w:rPr>
        <w:t> </w:t>
      </w:r>
      <w:r>
        <w:rPr/>
        <w:t>Kochi University</w:t>
      </w:r>
      <w:r>
        <w:rPr>
          <w:spacing w:val="-15"/>
        </w:rPr>
        <w:t> </w:t>
      </w:r>
      <w:r>
        <w:rPr/>
        <w:t>of</w:t>
      </w:r>
      <w:r>
        <w:rPr>
          <w:spacing w:val="-15"/>
        </w:rPr>
        <w:t> </w:t>
      </w:r>
      <w:r>
        <w:rPr/>
        <w:t>Technology</w:t>
      </w:r>
      <w:r>
        <w:rPr>
          <w:spacing w:val="-15"/>
        </w:rPr>
        <w:t> </w:t>
      </w:r>
      <w:r>
        <w:rPr/>
        <w:t>Summer</w:t>
      </w:r>
      <w:r>
        <w:rPr>
          <w:spacing w:val="-15"/>
        </w:rPr>
        <w:t> </w:t>
      </w:r>
      <w:r>
        <w:rPr/>
        <w:t>School and</w:t>
      </w:r>
      <w:r>
        <w:rPr>
          <w:spacing w:val="-17"/>
        </w:rPr>
        <w:t> </w:t>
      </w:r>
      <w:r>
        <w:rPr/>
        <w:t>took</w:t>
      </w:r>
      <w:r>
        <w:rPr>
          <w:spacing w:val="-17"/>
        </w:rPr>
        <w:t> </w:t>
      </w:r>
      <w:r>
        <w:rPr>
          <w:spacing w:val="2"/>
        </w:rPr>
        <w:t>part</w:t>
      </w:r>
      <w:r>
        <w:rPr>
          <w:spacing w:val="-17"/>
        </w:rPr>
        <w:t> </w:t>
      </w:r>
      <w:r>
        <w:rPr/>
        <w:t>in</w:t>
      </w:r>
      <w:r>
        <w:rPr>
          <w:spacing w:val="-17"/>
        </w:rPr>
        <w:t> </w:t>
      </w:r>
      <w:r>
        <w:rPr/>
        <w:t>the</w:t>
      </w:r>
      <w:r>
        <w:rPr>
          <w:spacing w:val="-17"/>
        </w:rPr>
        <w:t> </w:t>
      </w:r>
      <w:r>
        <w:rPr/>
        <w:t>Yosakoi</w:t>
      </w:r>
      <w:r>
        <w:rPr>
          <w:spacing w:val="-17"/>
        </w:rPr>
        <w:t> </w:t>
      </w:r>
      <w:r>
        <w:rPr/>
        <w:t>festival</w:t>
      </w:r>
    </w:p>
    <w:p>
      <w:pPr>
        <w:pStyle w:val="BodyText"/>
        <w:spacing w:line="247" w:lineRule="auto" w:before="57"/>
        <w:ind w:left="305" w:right="15" w:hanging="199"/>
      </w:pPr>
      <w:r>
        <w:rPr>
          <w:rFonts w:ascii="Century Gothic" w:hAnsi="Century Gothic"/>
          <w:b/>
          <w:w w:val="115"/>
        </w:rPr>
        <w:t>≥</w:t>
      </w:r>
      <w:r>
        <w:rPr>
          <w:rFonts w:ascii="Century Gothic" w:hAnsi="Century Gothic"/>
          <w:b/>
          <w:spacing w:val="15"/>
          <w:w w:val="115"/>
        </w:rPr>
        <w:t> </w:t>
      </w:r>
      <w:r>
        <w:rPr/>
        <w:t>15</w:t>
      </w:r>
      <w:r>
        <w:rPr>
          <w:spacing w:val="-14"/>
        </w:rPr>
        <w:t> </w:t>
      </w:r>
      <w:r>
        <w:rPr/>
        <w:t>students</w:t>
      </w:r>
      <w:r>
        <w:rPr>
          <w:spacing w:val="-14"/>
        </w:rPr>
        <w:t> </w:t>
      </w:r>
      <w:r>
        <w:rPr/>
        <w:t>attended</w:t>
      </w:r>
      <w:r>
        <w:rPr>
          <w:spacing w:val="-14"/>
        </w:rPr>
        <w:t> </w:t>
      </w:r>
      <w:r>
        <w:rPr/>
        <w:t>the</w:t>
      </w:r>
      <w:r>
        <w:rPr>
          <w:spacing w:val="-14"/>
        </w:rPr>
        <w:t> </w:t>
      </w:r>
      <w:r>
        <w:rPr/>
        <w:t>week-long</w:t>
      </w:r>
      <w:r>
        <w:rPr>
          <w:spacing w:val="-14"/>
        </w:rPr>
        <w:t> </w:t>
      </w:r>
      <w:r>
        <w:rPr/>
        <w:t>Oxford World Humanitarian Affairs – University Student</w:t>
      </w:r>
      <w:r>
        <w:rPr>
          <w:spacing w:val="-18"/>
        </w:rPr>
        <w:t> </w:t>
      </w:r>
      <w:r>
        <w:rPr/>
        <w:t>Leaders</w:t>
      </w:r>
      <w:r>
        <w:rPr>
          <w:spacing w:val="-18"/>
        </w:rPr>
        <w:t> </w:t>
      </w:r>
      <w:r>
        <w:rPr/>
        <w:t>Symposium</w:t>
      </w:r>
      <w:r>
        <w:rPr>
          <w:spacing w:val="-18"/>
        </w:rPr>
        <w:t> </w:t>
      </w:r>
      <w:r>
        <w:rPr/>
        <w:t>in</w:t>
      </w:r>
      <w:r>
        <w:rPr>
          <w:spacing w:val="-18"/>
        </w:rPr>
        <w:t> </w:t>
      </w:r>
      <w:r>
        <w:rPr/>
        <w:t>Hanoi</w:t>
      </w:r>
    </w:p>
    <w:p>
      <w:pPr>
        <w:pStyle w:val="BodyText"/>
        <w:spacing w:line="247" w:lineRule="auto" w:before="57"/>
        <w:ind w:left="305" w:right="141" w:hanging="199"/>
      </w:pPr>
      <w:r>
        <w:rPr>
          <w:rFonts w:ascii="Century Gothic" w:hAnsi="Century Gothic"/>
          <w:b/>
          <w:w w:val="145"/>
        </w:rPr>
        <w:t>≥ </w:t>
      </w:r>
      <w:r>
        <w:rPr>
          <w:spacing w:val="2"/>
          <w:w w:val="82"/>
        </w:rPr>
        <w:t>10</w:t>
      </w:r>
      <w:r>
        <w:rPr>
          <w:w w:val="82"/>
        </w:rPr>
        <w:t> </w:t>
      </w:r>
      <w:r>
        <w:rPr>
          <w:spacing w:val="1"/>
          <w:w w:val="97"/>
        </w:rPr>
        <w:t>students</w:t>
      </w:r>
      <w:r>
        <w:rPr>
          <w:w w:val="97"/>
        </w:rPr>
        <w:t> </w:t>
      </w:r>
      <w:r>
        <w:rPr>
          <w:spacing w:val="1"/>
          <w:w w:val="98"/>
        </w:rPr>
        <w:t>attended</w:t>
      </w:r>
      <w:r>
        <w:rPr>
          <w:w w:val="98"/>
        </w:rPr>
        <w:t> </w:t>
      </w:r>
      <w:r>
        <w:rPr>
          <w:w w:val="97"/>
        </w:rPr>
        <w:t>the </w:t>
      </w:r>
      <w:r>
        <w:rPr>
          <w:spacing w:val="1"/>
          <w:w w:val="97"/>
        </w:rPr>
        <w:t>Harvard</w:t>
      </w:r>
      <w:r>
        <w:rPr>
          <w:spacing w:val="-23"/>
          <w:w w:val="97"/>
        </w:rPr>
        <w:t> </w:t>
      </w:r>
      <w:r>
        <w:rPr>
          <w:spacing w:val="1"/>
          <w:w w:val="97"/>
        </w:rPr>
        <w:t>Project</w:t>
      </w:r>
      <w:r>
        <w:rPr>
          <w:w w:val="97"/>
        </w:rPr>
        <w:t> </w:t>
      </w:r>
      <w:r>
        <w:rPr/>
        <w:t>for Asian and International Relations conference in Hong Kong. </w:t>
      </w:r>
      <w:r>
        <w:rPr>
          <w:spacing w:val="-4"/>
        </w:rPr>
        <w:t>Two </w:t>
      </w:r>
      <w:r>
        <w:rPr/>
        <w:t>Academy students</w:t>
      </w:r>
      <w:r>
        <w:rPr>
          <w:spacing w:val="-17"/>
        </w:rPr>
        <w:t> </w:t>
      </w:r>
      <w:r>
        <w:rPr/>
        <w:t>were</w:t>
      </w:r>
      <w:r>
        <w:rPr>
          <w:spacing w:val="-17"/>
        </w:rPr>
        <w:t> </w:t>
      </w:r>
      <w:r>
        <w:rPr/>
        <w:t>on</w:t>
      </w:r>
      <w:r>
        <w:rPr>
          <w:spacing w:val="-17"/>
        </w:rPr>
        <w:t> </w:t>
      </w:r>
      <w:r>
        <w:rPr/>
        <w:t>the</w:t>
      </w:r>
      <w:r>
        <w:rPr>
          <w:spacing w:val="-17"/>
        </w:rPr>
        <w:t> </w:t>
      </w:r>
      <w:r>
        <w:rPr/>
        <w:t>winning</w:t>
      </w:r>
      <w:r>
        <w:rPr>
          <w:spacing w:val="-17"/>
        </w:rPr>
        <w:t> </w:t>
      </w:r>
      <w:r>
        <w:rPr/>
        <w:t>team</w:t>
      </w:r>
      <w:r>
        <w:rPr>
          <w:spacing w:val="-17"/>
        </w:rPr>
        <w:t> </w:t>
      </w:r>
      <w:r>
        <w:rPr/>
        <w:t>in</w:t>
      </w:r>
      <w:r>
        <w:rPr>
          <w:spacing w:val="-17"/>
        </w:rPr>
        <w:t> </w:t>
      </w:r>
      <w:r>
        <w:rPr/>
        <w:t>the student innovation</w:t>
      </w:r>
      <w:r>
        <w:rPr>
          <w:spacing w:val="-40"/>
        </w:rPr>
        <w:t> </w:t>
      </w:r>
      <w:r>
        <w:rPr/>
        <w:t>competition.</w:t>
      </w:r>
    </w:p>
    <w:p>
      <w:pPr>
        <w:pStyle w:val="BodyText"/>
        <w:spacing w:before="2"/>
        <w:rPr>
          <w:sz w:val="14"/>
        </w:rPr>
      </w:pPr>
    </w:p>
    <w:p>
      <w:pPr>
        <w:spacing w:line="249" w:lineRule="auto" w:before="0"/>
        <w:ind w:left="107" w:right="2" w:firstLine="0"/>
        <w:jc w:val="left"/>
        <w:rPr>
          <w:rFonts w:ascii="Gotham Narrow Bold" w:hAnsi="Gotham Narrow Bold"/>
          <w:b/>
          <w:sz w:val="16"/>
        </w:rPr>
      </w:pPr>
      <w:r>
        <w:rPr>
          <w:sz w:val="16"/>
        </w:rPr>
        <w:t>Blog posts detailing students’ most important experiences can be read at </w:t>
      </w:r>
      <w:r>
        <w:rPr>
          <w:rFonts w:ascii="Gotham Narrow Bold" w:hAnsi="Gotham Narrow Bold"/>
          <w:b/>
          <w:sz w:val="16"/>
        </w:rPr>
        <w:t>westernsydney. edu.au/theacademy/the_academy/ our_students/student_experiences</w:t>
      </w:r>
    </w:p>
    <w:p>
      <w:pPr>
        <w:pStyle w:val="BodyText"/>
        <w:rPr>
          <w:rFonts w:ascii="Gotham Narrow Bold"/>
          <w:b/>
        </w:rPr>
      </w:pPr>
    </w:p>
    <w:p>
      <w:pPr>
        <w:pStyle w:val="BodyText"/>
        <w:spacing w:before="10"/>
        <w:rPr>
          <w:rFonts w:ascii="Gotham Narrow Bold"/>
          <w:b/>
          <w:sz w:val="12"/>
        </w:rPr>
      </w:pPr>
    </w:p>
    <w:p>
      <w:pPr>
        <w:pStyle w:val="Heading5"/>
        <w:spacing w:line="260" w:lineRule="exact"/>
        <w:ind w:right="-2"/>
      </w:pPr>
      <w:r>
        <w:rPr/>
        <w:t>WESTERN SYDNEY </w:t>
      </w:r>
      <w:r>
        <w:rPr>
          <w:w w:val="95"/>
        </w:rPr>
        <w:t>UNIVERSITY THE COLLEGE</w:t>
      </w:r>
    </w:p>
    <w:p>
      <w:pPr>
        <w:pStyle w:val="BodyText"/>
        <w:spacing w:line="249" w:lineRule="auto" w:before="101"/>
        <w:ind w:left="107" w:right="-1"/>
      </w:pPr>
      <w:r>
        <w:rPr/>
        <w:t>The</w:t>
      </w:r>
      <w:r>
        <w:rPr>
          <w:spacing w:val="-21"/>
        </w:rPr>
        <w:t> </w:t>
      </w:r>
      <w:r>
        <w:rPr/>
        <w:t>College</w:t>
      </w:r>
      <w:r>
        <w:rPr>
          <w:spacing w:val="-21"/>
        </w:rPr>
        <w:t> </w:t>
      </w:r>
      <w:r>
        <w:rPr/>
        <w:t>is</w:t>
      </w:r>
      <w:r>
        <w:rPr>
          <w:spacing w:val="-21"/>
        </w:rPr>
        <w:t> </w:t>
      </w:r>
      <w:r>
        <w:rPr/>
        <w:t>a</w:t>
      </w:r>
      <w:r>
        <w:rPr>
          <w:spacing w:val="-21"/>
        </w:rPr>
        <w:t> </w:t>
      </w:r>
      <w:r>
        <w:rPr/>
        <w:t>not-for-profit</w:t>
      </w:r>
      <w:r>
        <w:rPr>
          <w:spacing w:val="-21"/>
        </w:rPr>
        <w:t> </w:t>
      </w:r>
      <w:r>
        <w:rPr/>
        <w:t>company,</w:t>
      </w:r>
      <w:r>
        <w:rPr>
          <w:spacing w:val="-21"/>
        </w:rPr>
        <w:t> </w:t>
      </w:r>
      <w:r>
        <w:rPr/>
        <w:t>wholly owned by Western Sydney University. The College provides quality academic pathways to</w:t>
      </w:r>
      <w:r>
        <w:rPr>
          <w:spacing w:val="-18"/>
        </w:rPr>
        <w:t> </w:t>
      </w:r>
      <w:r>
        <w:rPr/>
        <w:t>Western</w:t>
      </w:r>
      <w:r>
        <w:rPr>
          <w:spacing w:val="-18"/>
        </w:rPr>
        <w:t> </w:t>
      </w:r>
      <w:r>
        <w:rPr/>
        <w:t>Sydney</w:t>
      </w:r>
      <w:r>
        <w:rPr>
          <w:spacing w:val="-18"/>
        </w:rPr>
        <w:t> </w:t>
      </w:r>
      <w:r>
        <w:rPr/>
        <w:t>University,</w:t>
      </w:r>
      <w:r>
        <w:rPr>
          <w:spacing w:val="-18"/>
        </w:rPr>
        <w:t> </w:t>
      </w:r>
      <w:r>
        <w:rPr/>
        <w:t>complemented by English language and other professional and</w:t>
      </w:r>
      <w:r>
        <w:rPr>
          <w:spacing w:val="-12"/>
        </w:rPr>
        <w:t> </w:t>
      </w:r>
      <w:r>
        <w:rPr/>
        <w:t>community</w:t>
      </w:r>
      <w:r>
        <w:rPr>
          <w:spacing w:val="-12"/>
        </w:rPr>
        <w:t> </w:t>
      </w:r>
      <w:r>
        <w:rPr/>
        <w:t>programs</w:t>
      </w:r>
      <w:r>
        <w:rPr>
          <w:spacing w:val="-12"/>
        </w:rPr>
        <w:t> </w:t>
      </w:r>
      <w:r>
        <w:rPr/>
        <w:t>for</w:t>
      </w:r>
      <w:r>
        <w:rPr>
          <w:spacing w:val="-12"/>
        </w:rPr>
        <w:t> </w:t>
      </w:r>
      <w:r>
        <w:rPr/>
        <w:t>Australian</w:t>
      </w:r>
    </w:p>
    <w:p>
      <w:pPr>
        <w:pStyle w:val="BodyText"/>
        <w:spacing w:line="192" w:lineRule="exact"/>
        <w:ind w:left="107" w:right="-2"/>
      </w:pPr>
      <w:r>
        <w:rPr/>
        <w:t>and international students and clients.</w:t>
      </w:r>
    </w:p>
    <w:p>
      <w:pPr>
        <w:pStyle w:val="BodyText"/>
        <w:spacing w:before="7"/>
        <w:rPr>
          <w:sz w:val="14"/>
        </w:rPr>
      </w:pPr>
    </w:p>
    <w:p>
      <w:pPr>
        <w:pStyle w:val="BodyText"/>
        <w:spacing w:line="249" w:lineRule="auto" w:before="1"/>
        <w:ind w:left="107" w:right="31"/>
      </w:pPr>
      <w:r>
        <w:rPr/>
        <w:t>The</w:t>
      </w:r>
      <w:r>
        <w:rPr>
          <w:spacing w:val="-16"/>
        </w:rPr>
        <w:t> </w:t>
      </w:r>
      <w:r>
        <w:rPr/>
        <w:t>College</w:t>
      </w:r>
      <w:r>
        <w:rPr>
          <w:spacing w:val="-16"/>
        </w:rPr>
        <w:t> </w:t>
      </w:r>
      <w:r>
        <w:rPr/>
        <w:t>enrolments</w:t>
      </w:r>
      <w:r>
        <w:rPr>
          <w:spacing w:val="-16"/>
        </w:rPr>
        <w:t> </w:t>
      </w:r>
      <w:r>
        <w:rPr/>
        <w:t>in</w:t>
      </w:r>
      <w:r>
        <w:rPr>
          <w:spacing w:val="-16"/>
        </w:rPr>
        <w:t> </w:t>
      </w:r>
      <w:r>
        <w:rPr/>
        <w:t>domestic</w:t>
      </w:r>
      <w:r>
        <w:rPr>
          <w:spacing w:val="-16"/>
        </w:rPr>
        <w:t> </w:t>
      </w:r>
      <w:r>
        <w:rPr/>
        <w:t>pathways </w:t>
      </w:r>
      <w:r>
        <w:rPr>
          <w:spacing w:val="1"/>
          <w:w w:val="97"/>
        </w:rPr>
        <w:t>increased</w:t>
      </w:r>
      <w:r>
        <w:rPr>
          <w:w w:val="97"/>
        </w:rPr>
        <w:t> </w:t>
      </w:r>
      <w:r>
        <w:rPr>
          <w:spacing w:val="-1"/>
          <w:w w:val="102"/>
        </w:rPr>
        <w:t>by</w:t>
      </w:r>
      <w:r>
        <w:rPr>
          <w:w w:val="102"/>
        </w:rPr>
        <w:t> </w:t>
      </w:r>
      <w:r>
        <w:rPr>
          <w:w w:val="97"/>
        </w:rPr>
        <w:t>more </w:t>
      </w:r>
      <w:r>
        <w:rPr>
          <w:spacing w:val="1"/>
          <w:w w:val="97"/>
        </w:rPr>
        <w:t>than</w:t>
      </w:r>
      <w:r>
        <w:rPr>
          <w:w w:val="97"/>
        </w:rPr>
        <w:t> </w:t>
      </w:r>
      <w:r>
        <w:rPr>
          <w:spacing w:val="2"/>
          <w:w w:val="105"/>
        </w:rPr>
        <w:t>460</w:t>
      </w:r>
      <w:r>
        <w:rPr>
          <w:w w:val="105"/>
        </w:rPr>
        <w:t> </w:t>
      </w:r>
      <w:r>
        <w:rPr>
          <w:w w:val="95"/>
        </w:rPr>
        <w:t>in </w:t>
      </w:r>
      <w:r>
        <w:rPr>
          <w:spacing w:val="1"/>
          <w:w w:val="90"/>
        </w:rPr>
        <w:t>2016</w:t>
      </w:r>
      <w:r>
        <w:rPr>
          <w:w w:val="90"/>
        </w:rPr>
        <w:t> </w:t>
      </w:r>
      <w:r>
        <w:rPr>
          <w:w w:val="97"/>
        </w:rPr>
        <w:t>(from </w:t>
      </w:r>
      <w:r>
        <w:rPr>
          <w:spacing w:val="3"/>
          <w:w w:val="94"/>
        </w:rPr>
        <w:t>3,360</w:t>
      </w:r>
      <w:r>
        <w:rPr>
          <w:w w:val="94"/>
        </w:rPr>
        <w:t> </w:t>
      </w:r>
      <w:r>
        <w:rPr>
          <w:w w:val="95"/>
        </w:rPr>
        <w:t>in </w:t>
      </w:r>
      <w:r>
        <w:rPr>
          <w:spacing w:val="-2"/>
          <w:w w:val="95"/>
        </w:rPr>
        <w:t>Term</w:t>
      </w:r>
      <w:r>
        <w:rPr>
          <w:w w:val="95"/>
        </w:rPr>
        <w:t> </w:t>
      </w:r>
      <w:r>
        <w:rPr>
          <w:spacing w:val="2"/>
          <w:w w:val="61"/>
        </w:rPr>
        <w:t>1,</w:t>
      </w:r>
      <w:r>
        <w:rPr>
          <w:w w:val="61"/>
        </w:rPr>
        <w:t> </w:t>
      </w:r>
      <w:r>
        <w:rPr>
          <w:spacing w:val="1"/>
          <w:w w:val="88"/>
        </w:rPr>
        <w:t>2015</w:t>
      </w:r>
      <w:r>
        <w:rPr>
          <w:w w:val="88"/>
        </w:rPr>
        <w:t> </w:t>
      </w:r>
      <w:r>
        <w:rPr>
          <w:spacing w:val="-1"/>
          <w:w w:val="101"/>
        </w:rPr>
        <w:t>to</w:t>
      </w:r>
      <w:r>
        <w:rPr>
          <w:w w:val="101"/>
        </w:rPr>
        <w:t> </w:t>
      </w:r>
      <w:r>
        <w:rPr>
          <w:spacing w:val="2"/>
          <w:w w:val="90"/>
        </w:rPr>
        <w:t>3,828</w:t>
      </w:r>
      <w:r>
        <w:rPr>
          <w:w w:val="90"/>
        </w:rPr>
        <w:t> </w:t>
      </w:r>
      <w:r>
        <w:rPr>
          <w:w w:val="95"/>
        </w:rPr>
        <w:t>in </w:t>
      </w:r>
      <w:r>
        <w:rPr>
          <w:spacing w:val="-2"/>
          <w:w w:val="95"/>
        </w:rPr>
        <w:t>Term</w:t>
      </w:r>
      <w:r>
        <w:rPr>
          <w:spacing w:val="-25"/>
          <w:w w:val="95"/>
        </w:rPr>
        <w:t> </w:t>
      </w:r>
      <w:r>
        <w:rPr>
          <w:spacing w:val="2"/>
          <w:w w:val="61"/>
        </w:rPr>
        <w:t>1,</w:t>
      </w:r>
      <w:r>
        <w:rPr>
          <w:w w:val="61"/>
        </w:rPr>
        <w:t> </w:t>
      </w:r>
      <w:r>
        <w:rPr>
          <w:spacing w:val="1"/>
          <w:w w:val="87"/>
        </w:rPr>
        <w:t>2016).</w:t>
      </w:r>
    </w:p>
    <w:p>
      <w:pPr>
        <w:pStyle w:val="BodyText"/>
        <w:rPr>
          <w:sz w:val="14"/>
        </w:rPr>
      </w:pPr>
    </w:p>
    <w:p>
      <w:pPr>
        <w:pStyle w:val="BodyText"/>
        <w:spacing w:line="249" w:lineRule="auto"/>
        <w:ind w:left="107" w:right="417"/>
      </w:pPr>
      <w:r>
        <w:rPr/>
        <w:t>The College achievements over the last </w:t>
      </w:r>
      <w:r>
        <w:rPr>
          <w:w w:val="95"/>
        </w:rPr>
        <w:t>12 months included:</w:t>
      </w:r>
    </w:p>
    <w:p>
      <w:pPr>
        <w:pStyle w:val="BodyText"/>
        <w:spacing w:line="247" w:lineRule="auto" w:before="55"/>
        <w:ind w:left="305" w:right="24" w:hanging="199"/>
      </w:pPr>
      <w:r>
        <w:rPr>
          <w:rFonts w:ascii="Century Gothic" w:hAnsi="Century Gothic"/>
          <w:b/>
          <w:w w:val="115"/>
        </w:rPr>
        <w:t>≥ </w:t>
      </w:r>
      <w:r>
        <w:rPr/>
        <w:t>appointing Mr Andrew Dawkins as Chief </w:t>
      </w:r>
      <w:r>
        <w:rPr>
          <w:w w:val="98"/>
        </w:rPr>
        <w:t>Executive </w:t>
      </w:r>
      <w:r>
        <w:rPr>
          <w:w w:val="98"/>
        </w:rPr>
        <w:t>Officer </w:t>
      </w:r>
      <w:r>
        <w:rPr>
          <w:w w:val="95"/>
        </w:rPr>
        <w:t>in </w:t>
      </w:r>
      <w:r>
        <w:rPr>
          <w:w w:val="100"/>
        </w:rPr>
        <w:t>October </w:t>
      </w:r>
      <w:r>
        <w:rPr>
          <w:w w:val="85"/>
        </w:rPr>
        <w:t>2016, </w:t>
      </w:r>
      <w:r>
        <w:rPr>
          <w:w w:val="97"/>
        </w:rPr>
        <w:t>taking </w:t>
      </w:r>
      <w:r>
        <w:rPr/>
        <w:t>over from Mr Alan Moran, who was Acting Dean for an extended period</w:t>
      </w:r>
    </w:p>
    <w:p>
      <w:pPr>
        <w:pStyle w:val="BodyText"/>
        <w:spacing w:line="244" w:lineRule="auto" w:before="57"/>
        <w:ind w:left="305" w:right="169" w:hanging="199"/>
      </w:pPr>
      <w:r>
        <w:rPr>
          <w:rFonts w:ascii="Century Gothic" w:hAnsi="Century Gothic"/>
          <w:b/>
          <w:w w:val="115"/>
        </w:rPr>
        <w:t>≥</w:t>
      </w:r>
      <w:r>
        <w:rPr>
          <w:rFonts w:ascii="Century Gothic" w:hAnsi="Century Gothic"/>
          <w:b/>
          <w:spacing w:val="-13"/>
          <w:w w:val="115"/>
        </w:rPr>
        <w:t> </w:t>
      </w:r>
      <w:r>
        <w:rPr>
          <w:w w:val="105"/>
        </w:rPr>
        <w:t>forming</w:t>
      </w:r>
      <w:r>
        <w:rPr>
          <w:spacing w:val="-32"/>
          <w:w w:val="105"/>
        </w:rPr>
        <w:t> </w:t>
      </w:r>
      <w:r>
        <w:rPr>
          <w:w w:val="105"/>
        </w:rPr>
        <w:t>a</w:t>
      </w:r>
      <w:r>
        <w:rPr>
          <w:spacing w:val="-32"/>
          <w:w w:val="105"/>
        </w:rPr>
        <w:t> </w:t>
      </w:r>
      <w:r>
        <w:rPr>
          <w:w w:val="105"/>
        </w:rPr>
        <w:t>close</w:t>
      </w:r>
      <w:r>
        <w:rPr>
          <w:spacing w:val="-32"/>
          <w:w w:val="105"/>
        </w:rPr>
        <w:t> </w:t>
      </w:r>
      <w:r>
        <w:rPr>
          <w:w w:val="105"/>
        </w:rPr>
        <w:t>working</w:t>
      </w:r>
      <w:r>
        <w:rPr>
          <w:spacing w:val="-32"/>
          <w:w w:val="105"/>
        </w:rPr>
        <w:t> </w:t>
      </w:r>
      <w:r>
        <w:rPr>
          <w:w w:val="105"/>
        </w:rPr>
        <w:t>relationship</w:t>
      </w:r>
      <w:r>
        <w:rPr>
          <w:spacing w:val="-32"/>
          <w:w w:val="105"/>
        </w:rPr>
        <w:t> </w:t>
      </w:r>
      <w:r>
        <w:rPr>
          <w:w w:val="105"/>
        </w:rPr>
        <w:t>with </w:t>
      </w:r>
      <w:r>
        <w:rPr/>
        <w:t>the</w:t>
      </w:r>
      <w:r>
        <w:rPr>
          <w:spacing w:val="-19"/>
        </w:rPr>
        <w:t> </w:t>
      </w:r>
      <w:r>
        <w:rPr/>
        <w:t>University</w:t>
      </w:r>
    </w:p>
    <w:p>
      <w:pPr>
        <w:pStyle w:val="BodyText"/>
        <w:spacing w:line="244" w:lineRule="auto" w:before="58"/>
        <w:ind w:left="305" w:right="481" w:hanging="199"/>
      </w:pPr>
      <w:r>
        <w:rPr>
          <w:rFonts w:ascii="Century Gothic" w:hAnsi="Century Gothic"/>
          <w:b/>
          <w:w w:val="115"/>
        </w:rPr>
        <w:t>≥ </w:t>
      </w:r>
      <w:r>
        <w:rPr/>
        <w:t>delivering short courses in academic literacy support to 1,284 students</w:t>
      </w:r>
    </w:p>
    <w:p>
      <w:pPr>
        <w:pStyle w:val="BodyText"/>
        <w:spacing w:line="247" w:lineRule="auto" w:before="58"/>
        <w:ind w:left="305" w:right="196" w:hanging="199"/>
        <w:jc w:val="both"/>
      </w:pPr>
      <w:r>
        <w:rPr>
          <w:rFonts w:ascii="Century Gothic" w:hAnsi="Century Gothic"/>
          <w:b/>
          <w:w w:val="115"/>
        </w:rPr>
        <w:t>≥</w:t>
      </w:r>
      <w:r>
        <w:rPr>
          <w:rFonts w:ascii="Century Gothic" w:hAnsi="Century Gothic"/>
          <w:b/>
          <w:spacing w:val="-17"/>
          <w:w w:val="115"/>
        </w:rPr>
        <w:t> </w:t>
      </w:r>
      <w:r>
        <w:rPr>
          <w:w w:val="105"/>
        </w:rPr>
        <w:t>attaining</w:t>
      </w:r>
      <w:r>
        <w:rPr>
          <w:spacing w:val="-34"/>
          <w:w w:val="105"/>
        </w:rPr>
        <w:t> </w:t>
      </w:r>
      <w:r>
        <w:rPr>
          <w:w w:val="105"/>
        </w:rPr>
        <w:t>Engineers</w:t>
      </w:r>
      <w:r>
        <w:rPr>
          <w:spacing w:val="-34"/>
          <w:w w:val="105"/>
        </w:rPr>
        <w:t> </w:t>
      </w:r>
      <w:r>
        <w:rPr>
          <w:w w:val="105"/>
        </w:rPr>
        <w:t>Australia</w:t>
      </w:r>
      <w:r>
        <w:rPr>
          <w:spacing w:val="-34"/>
          <w:w w:val="105"/>
        </w:rPr>
        <w:t> </w:t>
      </w:r>
      <w:r>
        <w:rPr>
          <w:w w:val="105"/>
        </w:rPr>
        <w:t>provisional accreditation</w:t>
      </w:r>
      <w:r>
        <w:rPr>
          <w:spacing w:val="-40"/>
          <w:w w:val="105"/>
        </w:rPr>
        <w:t> </w:t>
      </w:r>
      <w:r>
        <w:rPr>
          <w:w w:val="105"/>
        </w:rPr>
        <w:t>for</w:t>
      </w:r>
      <w:r>
        <w:rPr>
          <w:spacing w:val="-40"/>
          <w:w w:val="105"/>
        </w:rPr>
        <w:t> </w:t>
      </w:r>
      <w:r>
        <w:rPr>
          <w:w w:val="105"/>
        </w:rPr>
        <w:t>the</w:t>
      </w:r>
      <w:r>
        <w:rPr>
          <w:spacing w:val="-40"/>
          <w:w w:val="105"/>
        </w:rPr>
        <w:t> </w:t>
      </w:r>
      <w:r>
        <w:rPr>
          <w:w w:val="105"/>
        </w:rPr>
        <w:t>Associate</w:t>
      </w:r>
      <w:r>
        <w:rPr>
          <w:spacing w:val="-40"/>
          <w:w w:val="105"/>
        </w:rPr>
        <w:t> </w:t>
      </w:r>
      <w:r>
        <w:rPr>
          <w:w w:val="105"/>
        </w:rPr>
        <w:t>Degree</w:t>
      </w:r>
      <w:r>
        <w:rPr>
          <w:spacing w:val="-40"/>
          <w:w w:val="105"/>
        </w:rPr>
        <w:t> </w:t>
      </w:r>
      <w:r>
        <w:rPr>
          <w:w w:val="105"/>
        </w:rPr>
        <w:t>in Engineering</w:t>
      </w:r>
    </w:p>
    <w:p>
      <w:pPr>
        <w:pStyle w:val="BodyText"/>
        <w:spacing w:line="247" w:lineRule="auto" w:before="57"/>
        <w:ind w:left="305" w:right="30" w:hanging="199"/>
      </w:pPr>
      <w:r>
        <w:rPr>
          <w:rFonts w:ascii="Century Gothic" w:hAnsi="Century Gothic"/>
          <w:b/>
          <w:w w:val="115"/>
        </w:rPr>
        <w:t>≥ </w:t>
      </w:r>
      <w:r>
        <w:rPr/>
        <w:t>extending the registration of The College Registered</w:t>
      </w:r>
      <w:r>
        <w:rPr>
          <w:spacing w:val="-23"/>
        </w:rPr>
        <w:t> </w:t>
      </w:r>
      <w:r>
        <w:rPr/>
        <w:t>Training</w:t>
      </w:r>
      <w:r>
        <w:rPr>
          <w:spacing w:val="-23"/>
        </w:rPr>
        <w:t> </w:t>
      </w:r>
      <w:r>
        <w:rPr/>
        <w:t>Organisation</w:t>
      </w:r>
      <w:r>
        <w:rPr>
          <w:spacing w:val="-23"/>
        </w:rPr>
        <w:t> </w:t>
      </w:r>
      <w:r>
        <w:rPr/>
        <w:t>(RTO)</w:t>
      </w:r>
      <w:r>
        <w:rPr>
          <w:spacing w:val="-23"/>
        </w:rPr>
        <w:t> </w:t>
      </w:r>
      <w:r>
        <w:rPr/>
        <w:t>for another</w:t>
      </w:r>
      <w:r>
        <w:rPr>
          <w:spacing w:val="-19"/>
        </w:rPr>
        <w:t> </w:t>
      </w:r>
      <w:r>
        <w:rPr/>
        <w:t>seven</w:t>
      </w:r>
      <w:r>
        <w:rPr>
          <w:spacing w:val="-19"/>
        </w:rPr>
        <w:t> </w:t>
      </w:r>
      <w:r>
        <w:rPr/>
        <w:t>years</w:t>
      </w:r>
      <w:r>
        <w:rPr>
          <w:spacing w:val="-19"/>
        </w:rPr>
        <w:t> </w:t>
      </w:r>
      <w:r>
        <w:rPr/>
        <w:t>through</w:t>
      </w:r>
      <w:r>
        <w:rPr>
          <w:spacing w:val="-19"/>
        </w:rPr>
        <w:t> </w:t>
      </w:r>
      <w:r>
        <w:rPr/>
        <w:t>the</w:t>
      </w:r>
      <w:r>
        <w:rPr>
          <w:spacing w:val="-19"/>
        </w:rPr>
        <w:t> </w:t>
      </w:r>
      <w:r>
        <w:rPr/>
        <w:t>Australian Skills Quality</w:t>
      </w:r>
      <w:r>
        <w:rPr>
          <w:spacing w:val="-15"/>
        </w:rPr>
        <w:t> </w:t>
      </w:r>
      <w:r>
        <w:rPr/>
        <w:t>Authority</w:t>
      </w:r>
    </w:p>
    <w:p>
      <w:pPr>
        <w:pStyle w:val="BodyText"/>
        <w:spacing w:line="244" w:lineRule="auto" w:before="57"/>
        <w:ind w:left="305" w:right="137" w:hanging="199"/>
      </w:pPr>
      <w:r>
        <w:rPr>
          <w:rFonts w:ascii="Century Gothic" w:hAnsi="Century Gothic"/>
          <w:b/>
          <w:w w:val="115"/>
        </w:rPr>
        <w:t>≥ </w:t>
      </w:r>
      <w:r>
        <w:rPr>
          <w:w w:val="105"/>
        </w:rPr>
        <w:t>continuing to grow The College RTO’s </w:t>
      </w:r>
      <w:r>
        <w:rPr/>
        <w:t>delivery of courses to commercial clients</w:t>
      </w:r>
    </w:p>
    <w:p>
      <w:pPr>
        <w:pStyle w:val="BodyText"/>
        <w:rPr>
          <w:sz w:val="20"/>
        </w:rPr>
      </w:pPr>
      <w:r>
        <w:rPr/>
        <w:br w:type="column"/>
      </w:r>
      <w:r>
        <w:rPr>
          <w:sz w:val="20"/>
        </w:rPr>
      </w:r>
    </w:p>
    <w:p>
      <w:pPr>
        <w:pStyle w:val="BodyText"/>
        <w:spacing w:line="247" w:lineRule="auto"/>
        <w:ind w:left="305" w:right="12" w:hanging="199"/>
        <w:jc w:val="both"/>
      </w:pPr>
      <w:r>
        <w:rPr>
          <w:rFonts w:ascii="Century Gothic" w:hAnsi="Century Gothic"/>
          <w:b/>
          <w:w w:val="115"/>
        </w:rPr>
        <w:t>≥ </w:t>
      </w:r>
      <w:r>
        <w:rPr/>
        <w:t>moving the English Language Centre from Westmead to newly refurbished premises </w:t>
      </w:r>
      <w:r>
        <w:rPr>
          <w:w w:val="98"/>
        </w:rPr>
        <w:t>at</w:t>
      </w:r>
      <w:r>
        <w:rPr>
          <w:spacing w:val="-8"/>
          <w:w w:val="98"/>
        </w:rPr>
        <w:t> </w:t>
      </w:r>
      <w:r>
        <w:rPr>
          <w:spacing w:val="-1"/>
          <w:w w:val="99"/>
        </w:rPr>
        <w:t>Sydney</w:t>
      </w:r>
      <w:r>
        <w:rPr>
          <w:spacing w:val="-8"/>
          <w:w w:val="99"/>
        </w:rPr>
        <w:t> </w:t>
      </w:r>
      <w:r>
        <w:rPr>
          <w:spacing w:val="1"/>
          <w:w w:val="99"/>
        </w:rPr>
        <w:t>Olympic</w:t>
      </w:r>
      <w:r>
        <w:rPr>
          <w:spacing w:val="-8"/>
          <w:w w:val="99"/>
        </w:rPr>
        <w:t> </w:t>
      </w:r>
      <w:r>
        <w:rPr>
          <w:spacing w:val="1"/>
          <w:w w:val="97"/>
        </w:rPr>
        <w:t>Park</w:t>
      </w:r>
      <w:r>
        <w:rPr>
          <w:spacing w:val="-7"/>
          <w:w w:val="97"/>
        </w:rPr>
        <w:t> </w:t>
      </w:r>
      <w:r>
        <w:rPr>
          <w:w w:val="95"/>
        </w:rPr>
        <w:t>in</w:t>
      </w:r>
      <w:r>
        <w:rPr>
          <w:spacing w:val="-6"/>
          <w:w w:val="95"/>
        </w:rPr>
        <w:t> </w:t>
      </w:r>
      <w:r>
        <w:rPr>
          <w:spacing w:val="1"/>
          <w:w w:val="98"/>
        </w:rPr>
        <w:t>December</w:t>
      </w:r>
      <w:r>
        <w:rPr>
          <w:spacing w:val="-7"/>
          <w:w w:val="98"/>
        </w:rPr>
        <w:t> </w:t>
      </w:r>
      <w:r>
        <w:rPr>
          <w:spacing w:val="2"/>
          <w:w w:val="85"/>
        </w:rPr>
        <w:t>2016.</w:t>
      </w:r>
    </w:p>
    <w:p>
      <w:pPr>
        <w:pStyle w:val="BodyText"/>
      </w:pPr>
    </w:p>
    <w:p>
      <w:pPr>
        <w:pStyle w:val="BodyText"/>
        <w:spacing w:before="3"/>
        <w:rPr>
          <w:sz w:val="13"/>
        </w:rPr>
      </w:pPr>
    </w:p>
    <w:p>
      <w:pPr>
        <w:pStyle w:val="Heading5"/>
        <w:spacing w:line="260" w:lineRule="exact"/>
        <w:ind w:right="295"/>
      </w:pPr>
      <w:r>
        <w:rPr/>
        <w:t>WESTERN SYDNEY UNIVERSITY </w:t>
      </w:r>
      <w:r>
        <w:rPr>
          <w:w w:val="95"/>
        </w:rPr>
        <w:t>INTERNATIONAL COLLEGE</w:t>
      </w:r>
    </w:p>
    <w:p>
      <w:pPr>
        <w:pStyle w:val="BodyText"/>
        <w:spacing w:line="249" w:lineRule="auto" w:before="101"/>
        <w:ind w:left="107" w:right="308"/>
      </w:pPr>
      <w:r>
        <w:rPr/>
        <w:t>The International College (WSIC) was established as a joint venture between UWS Enterprises (The College) and </w:t>
      </w:r>
      <w:r>
        <w:rPr>
          <w:w w:val="97"/>
        </w:rPr>
        <w:t>Navitas </w:t>
      </w:r>
      <w:r>
        <w:rPr>
          <w:w w:val="95"/>
        </w:rPr>
        <w:t>in </w:t>
      </w:r>
      <w:r>
        <w:rPr>
          <w:w w:val="100"/>
        </w:rPr>
        <w:t>April </w:t>
      </w:r>
      <w:r>
        <w:rPr>
          <w:w w:val="84"/>
        </w:rPr>
        <w:t>2015. </w:t>
      </w:r>
      <w:r>
        <w:rPr>
          <w:w w:val="92"/>
        </w:rPr>
        <w:t>WSIC </w:t>
      </w:r>
      <w:r>
        <w:rPr>
          <w:w w:val="97"/>
        </w:rPr>
        <w:t>operates </w:t>
      </w:r>
      <w:r>
        <w:rPr>
          <w:w w:val="99"/>
        </w:rPr>
        <w:t>out </w:t>
      </w:r>
      <w:r>
        <w:rPr/>
        <w:t>of University premises in the Parramatta</w:t>
      </w:r>
    </w:p>
    <w:p>
      <w:pPr>
        <w:pStyle w:val="BodyText"/>
        <w:spacing w:line="249" w:lineRule="auto"/>
        <w:ind w:left="107" w:right="148"/>
      </w:pPr>
      <w:r>
        <w:rPr>
          <w:spacing w:val="2"/>
        </w:rPr>
        <w:t>CBD</w:t>
      </w:r>
      <w:r>
        <w:rPr>
          <w:spacing w:val="-14"/>
        </w:rPr>
        <w:t> </w:t>
      </w:r>
      <w:r>
        <w:rPr/>
        <w:t>and</w:t>
      </w:r>
      <w:r>
        <w:rPr>
          <w:spacing w:val="-14"/>
        </w:rPr>
        <w:t> </w:t>
      </w:r>
      <w:r>
        <w:rPr/>
        <w:t>received</w:t>
      </w:r>
      <w:r>
        <w:rPr>
          <w:spacing w:val="-14"/>
        </w:rPr>
        <w:t> </w:t>
      </w:r>
      <w:r>
        <w:rPr/>
        <w:t>its</w:t>
      </w:r>
      <w:r>
        <w:rPr>
          <w:spacing w:val="-14"/>
        </w:rPr>
        <w:t> </w:t>
      </w:r>
      <w:r>
        <w:rPr/>
        <w:t>first</w:t>
      </w:r>
      <w:r>
        <w:rPr>
          <w:spacing w:val="-14"/>
        </w:rPr>
        <w:t> </w:t>
      </w:r>
      <w:r>
        <w:rPr/>
        <w:t>intake</w:t>
      </w:r>
      <w:r>
        <w:rPr>
          <w:spacing w:val="-14"/>
        </w:rPr>
        <w:t> </w:t>
      </w:r>
      <w:r>
        <w:rPr/>
        <w:t>of</w:t>
      </w:r>
      <w:r>
        <w:rPr>
          <w:spacing w:val="-14"/>
        </w:rPr>
        <w:t> </w:t>
      </w:r>
      <w:r>
        <w:rPr/>
        <w:t>students </w:t>
      </w:r>
      <w:r>
        <w:rPr>
          <w:w w:val="95"/>
        </w:rPr>
        <w:t>in </w:t>
      </w:r>
      <w:r>
        <w:rPr>
          <w:spacing w:val="1"/>
          <w:w w:val="100"/>
        </w:rPr>
        <w:t>October</w:t>
      </w:r>
      <w:r>
        <w:rPr>
          <w:w w:val="100"/>
        </w:rPr>
        <w:t> </w:t>
      </w:r>
      <w:r>
        <w:rPr>
          <w:spacing w:val="1"/>
          <w:w w:val="84"/>
        </w:rPr>
        <w:t>2015.</w:t>
      </w:r>
      <w:r>
        <w:rPr>
          <w:w w:val="84"/>
        </w:rPr>
        <w:t> </w:t>
      </w:r>
      <w:r>
        <w:rPr>
          <w:w w:val="83"/>
        </w:rPr>
        <w:t>It </w:t>
      </w:r>
      <w:r>
        <w:rPr>
          <w:w w:val="97"/>
        </w:rPr>
        <w:t>currently </w:t>
      </w:r>
      <w:r>
        <w:rPr>
          <w:w w:val="97"/>
        </w:rPr>
        <w:t>delivers </w:t>
      </w:r>
      <w:r>
        <w:rPr/>
        <w:t>courses</w:t>
      </w:r>
      <w:r>
        <w:rPr>
          <w:spacing w:val="-17"/>
        </w:rPr>
        <w:t> </w:t>
      </w:r>
      <w:r>
        <w:rPr/>
        <w:t>to</w:t>
      </w:r>
      <w:r>
        <w:rPr>
          <w:spacing w:val="-17"/>
        </w:rPr>
        <w:t> </w:t>
      </w:r>
      <w:r>
        <w:rPr/>
        <w:t>international</w:t>
      </w:r>
      <w:r>
        <w:rPr>
          <w:spacing w:val="-17"/>
        </w:rPr>
        <w:t> </w:t>
      </w:r>
      <w:r>
        <w:rPr/>
        <w:t>students</w:t>
      </w:r>
      <w:r>
        <w:rPr>
          <w:spacing w:val="-17"/>
        </w:rPr>
        <w:t> </w:t>
      </w:r>
      <w:r>
        <w:rPr/>
        <w:t>under</w:t>
      </w:r>
      <w:r>
        <w:rPr>
          <w:spacing w:val="-17"/>
        </w:rPr>
        <w:t> </w:t>
      </w:r>
      <w:r>
        <w:rPr/>
        <w:t>the registration and CRICOS authority of The College. WSIC has applied to become a Higher</w:t>
      </w:r>
      <w:r>
        <w:rPr>
          <w:spacing w:val="-15"/>
        </w:rPr>
        <w:t> </w:t>
      </w:r>
      <w:r>
        <w:rPr/>
        <w:t>Education</w:t>
      </w:r>
      <w:r>
        <w:rPr>
          <w:spacing w:val="-15"/>
        </w:rPr>
        <w:t> </w:t>
      </w:r>
      <w:r>
        <w:rPr/>
        <w:t>Provider</w:t>
      </w:r>
      <w:r>
        <w:rPr>
          <w:spacing w:val="-15"/>
        </w:rPr>
        <w:t> </w:t>
      </w:r>
      <w:r>
        <w:rPr/>
        <w:t>in</w:t>
      </w:r>
      <w:r>
        <w:rPr>
          <w:spacing w:val="-15"/>
        </w:rPr>
        <w:t> </w:t>
      </w:r>
      <w:r>
        <w:rPr/>
        <w:t>its</w:t>
      </w:r>
      <w:r>
        <w:rPr>
          <w:spacing w:val="-15"/>
        </w:rPr>
        <w:t> </w:t>
      </w:r>
      <w:r>
        <w:rPr/>
        <w:t>own</w:t>
      </w:r>
      <w:r>
        <w:rPr>
          <w:spacing w:val="-15"/>
        </w:rPr>
        <w:t> </w:t>
      </w:r>
      <w:r>
        <w:rPr/>
        <w:t>right.</w:t>
      </w:r>
    </w:p>
    <w:p>
      <w:pPr>
        <w:pStyle w:val="BodyText"/>
        <w:rPr>
          <w:sz w:val="14"/>
        </w:rPr>
      </w:pPr>
    </w:p>
    <w:p>
      <w:pPr>
        <w:pStyle w:val="BodyText"/>
        <w:spacing w:line="249" w:lineRule="auto"/>
        <w:ind w:left="107" w:right="-12"/>
      </w:pPr>
      <w:r>
        <w:rPr>
          <w:w w:val="92"/>
        </w:rPr>
        <w:t>WSIC </w:t>
      </w:r>
      <w:r>
        <w:rPr>
          <w:w w:val="98"/>
        </w:rPr>
        <w:t>operated </w:t>
      </w:r>
      <w:r>
        <w:rPr>
          <w:w w:val="98"/>
        </w:rPr>
        <w:t>for </w:t>
      </w:r>
      <w:r>
        <w:rPr>
          <w:w w:val="97"/>
        </w:rPr>
        <w:t>its </w:t>
      </w:r>
      <w:r>
        <w:rPr>
          <w:w w:val="97"/>
        </w:rPr>
        <w:t>first </w:t>
      </w:r>
      <w:r>
        <w:rPr>
          <w:w w:val="96"/>
        </w:rPr>
        <w:t>full </w:t>
      </w:r>
      <w:r>
        <w:rPr>
          <w:w w:val="97"/>
        </w:rPr>
        <w:t>year </w:t>
      </w:r>
      <w:r>
        <w:rPr>
          <w:w w:val="95"/>
        </w:rPr>
        <w:t>in </w:t>
      </w:r>
      <w:r>
        <w:rPr>
          <w:w w:val="85"/>
        </w:rPr>
        <w:t>2016, </w:t>
      </w:r>
      <w:r>
        <w:rPr/>
        <w:t>with 299 students, of whom 70 are expected to transfer to first- and second-year degree programs at Western Sydney University.</w:t>
      </w:r>
    </w:p>
    <w:p>
      <w:pPr>
        <w:pStyle w:val="BodyText"/>
        <w:rPr>
          <w:sz w:val="14"/>
        </w:rPr>
      </w:pPr>
    </w:p>
    <w:p>
      <w:pPr>
        <w:pStyle w:val="BodyText"/>
        <w:spacing w:line="249" w:lineRule="auto"/>
        <w:ind w:left="107" w:right="491"/>
      </w:pPr>
      <w:r>
        <w:rPr>
          <w:spacing w:val="3"/>
          <w:w w:val="97"/>
        </w:rPr>
        <w:t>M</w:t>
      </w:r>
      <w:r>
        <w:rPr>
          <w:spacing w:val="2"/>
          <w:w w:val="100"/>
        </w:rPr>
        <w:t>o</w:t>
      </w:r>
      <w:r>
        <w:rPr>
          <w:spacing w:val="-1"/>
          <w:w w:val="95"/>
        </w:rPr>
        <w:t>r</w:t>
      </w:r>
      <w:r>
        <w:rPr>
          <w:w w:val="95"/>
        </w:rPr>
        <w:t>e</w:t>
      </w:r>
      <w:r>
        <w:rPr>
          <w:spacing w:val="-12"/>
        </w:rPr>
        <w:t> </w:t>
      </w:r>
      <w:r>
        <w:rPr>
          <w:w w:val="102"/>
        </w:rPr>
        <w:t>t</w:t>
      </w:r>
      <w:r>
        <w:rPr>
          <w:spacing w:val="2"/>
          <w:w w:val="95"/>
        </w:rPr>
        <w:t>h</w:t>
      </w:r>
      <w:r>
        <w:rPr>
          <w:spacing w:val="2"/>
          <w:w w:val="94"/>
        </w:rPr>
        <w:t>a</w:t>
      </w:r>
      <w:r>
        <w:rPr>
          <w:w w:val="95"/>
        </w:rPr>
        <w:t>n</w:t>
      </w:r>
      <w:r>
        <w:rPr>
          <w:spacing w:val="-12"/>
        </w:rPr>
        <w:t> </w:t>
      </w:r>
      <w:r>
        <w:rPr>
          <w:w w:val="54"/>
        </w:rPr>
        <w:t>1</w:t>
      </w:r>
      <w:r>
        <w:rPr>
          <w:spacing w:val="-2"/>
          <w:w w:val="91"/>
        </w:rPr>
        <w:t>7</w:t>
      </w:r>
      <w:r>
        <w:rPr>
          <w:w w:val="111"/>
        </w:rPr>
        <w:t>0</w:t>
      </w:r>
      <w:r>
        <w:rPr>
          <w:spacing w:val="-12"/>
        </w:rPr>
        <w:t> </w:t>
      </w:r>
      <w:r>
        <w:rPr>
          <w:spacing w:val="1"/>
          <w:w w:val="95"/>
        </w:rPr>
        <w:t>i</w:t>
      </w:r>
      <w:r>
        <w:rPr>
          <w:w w:val="95"/>
        </w:rPr>
        <w:t>n</w:t>
      </w:r>
      <w:r>
        <w:rPr>
          <w:spacing w:val="-2"/>
          <w:w w:val="102"/>
        </w:rPr>
        <w:t>t</w:t>
      </w:r>
      <w:r>
        <w:rPr>
          <w:spacing w:val="2"/>
          <w:w w:val="95"/>
        </w:rPr>
        <w:t>e</w:t>
      </w:r>
      <w:r>
        <w:rPr>
          <w:spacing w:val="2"/>
          <w:w w:val="95"/>
        </w:rPr>
        <w:t>r</w:t>
      </w:r>
      <w:r>
        <w:rPr>
          <w:spacing w:val="2"/>
          <w:w w:val="95"/>
        </w:rPr>
        <w:t>n</w:t>
      </w:r>
      <w:r>
        <w:rPr>
          <w:w w:val="94"/>
        </w:rPr>
        <w:t>a</w:t>
      </w:r>
      <w:r>
        <w:rPr>
          <w:w w:val="102"/>
        </w:rPr>
        <w:t>t</w:t>
      </w:r>
      <w:r>
        <w:rPr>
          <w:spacing w:val="1"/>
          <w:w w:val="95"/>
        </w:rPr>
        <w:t>i</w:t>
      </w:r>
      <w:r>
        <w:rPr>
          <w:spacing w:val="2"/>
          <w:w w:val="100"/>
        </w:rPr>
        <w:t>o</w:t>
      </w:r>
      <w:r>
        <w:rPr>
          <w:spacing w:val="2"/>
          <w:w w:val="95"/>
        </w:rPr>
        <w:t>n</w:t>
      </w:r>
      <w:r>
        <w:rPr>
          <w:spacing w:val="2"/>
          <w:w w:val="94"/>
        </w:rPr>
        <w:t>a</w:t>
      </w:r>
      <w:r>
        <w:rPr>
          <w:w w:val="95"/>
        </w:rPr>
        <w:t>l</w:t>
      </w:r>
      <w:r>
        <w:rPr>
          <w:spacing w:val="-12"/>
        </w:rPr>
        <w:t> </w:t>
      </w:r>
      <w:r>
        <w:rPr>
          <w:spacing w:val="3"/>
          <w:w w:val="95"/>
        </w:rPr>
        <w:t>s</w:t>
      </w:r>
      <w:r>
        <w:rPr>
          <w:spacing w:val="1"/>
          <w:w w:val="102"/>
        </w:rPr>
        <w:t>t</w:t>
      </w:r>
      <w:r>
        <w:rPr>
          <w:spacing w:val="2"/>
          <w:w w:val="95"/>
        </w:rPr>
        <w:t>u</w:t>
      </w:r>
      <w:r>
        <w:rPr>
          <w:spacing w:val="2"/>
          <w:w w:val="102"/>
        </w:rPr>
        <w:t>d</w:t>
      </w:r>
      <w:r>
        <w:rPr>
          <w:spacing w:val="2"/>
          <w:w w:val="95"/>
        </w:rPr>
        <w:t>e</w:t>
      </w:r>
      <w:r>
        <w:rPr>
          <w:w w:val="95"/>
        </w:rPr>
        <w:t>n</w:t>
      </w:r>
      <w:r>
        <w:rPr>
          <w:spacing w:val="4"/>
          <w:w w:val="102"/>
        </w:rPr>
        <w:t>t</w:t>
      </w:r>
      <w:r>
        <w:rPr>
          <w:w w:val="95"/>
        </w:rPr>
        <w:t>s </w:t>
      </w:r>
      <w:r>
        <w:rPr>
          <w:spacing w:val="-1"/>
          <w:w w:val="101"/>
        </w:rPr>
        <w:t>w</w:t>
      </w:r>
      <w:r>
        <w:rPr>
          <w:spacing w:val="2"/>
          <w:w w:val="95"/>
        </w:rPr>
        <w:t>e</w:t>
      </w:r>
      <w:r>
        <w:rPr>
          <w:spacing w:val="-1"/>
          <w:w w:val="95"/>
        </w:rPr>
        <w:t>r</w:t>
      </w:r>
      <w:r>
        <w:rPr>
          <w:w w:val="95"/>
        </w:rPr>
        <w:t>e</w:t>
      </w:r>
      <w:r>
        <w:rPr>
          <w:spacing w:val="-12"/>
        </w:rPr>
        <w:t> </w:t>
      </w:r>
      <w:r>
        <w:rPr>
          <w:w w:val="95"/>
        </w:rPr>
        <w:t>e</w:t>
      </w:r>
      <w:r>
        <w:rPr>
          <w:spacing w:val="1"/>
          <w:w w:val="99"/>
        </w:rPr>
        <w:t>x</w:t>
      </w:r>
      <w:r>
        <w:rPr>
          <w:spacing w:val="2"/>
          <w:w w:val="102"/>
        </w:rPr>
        <w:t>p</w:t>
      </w:r>
      <w:r>
        <w:rPr>
          <w:spacing w:val="3"/>
          <w:w w:val="95"/>
        </w:rPr>
        <w:t>e</w:t>
      </w:r>
      <w:r>
        <w:rPr>
          <w:spacing w:val="4"/>
          <w:w w:val="102"/>
        </w:rPr>
        <w:t>c</w:t>
      </w:r>
      <w:r>
        <w:rPr>
          <w:spacing w:val="-2"/>
          <w:w w:val="102"/>
        </w:rPr>
        <w:t>t</w:t>
      </w:r>
      <w:r>
        <w:rPr>
          <w:spacing w:val="3"/>
          <w:w w:val="95"/>
        </w:rPr>
        <w:t>e</w:t>
      </w:r>
      <w:r>
        <w:rPr>
          <w:w w:val="102"/>
        </w:rPr>
        <w:t>d</w:t>
      </w:r>
      <w:r>
        <w:rPr>
          <w:spacing w:val="-12"/>
        </w:rPr>
        <w:t> </w:t>
      </w:r>
      <w:r>
        <w:rPr>
          <w:spacing w:val="-2"/>
          <w:w w:val="102"/>
        </w:rPr>
        <w:t>t</w:t>
      </w:r>
      <w:r>
        <w:rPr>
          <w:w w:val="100"/>
        </w:rPr>
        <w:t>o</w:t>
      </w:r>
      <w:r>
        <w:rPr>
          <w:spacing w:val="-12"/>
        </w:rPr>
        <w:t> </w:t>
      </w:r>
      <w:r>
        <w:rPr>
          <w:spacing w:val="2"/>
          <w:w w:val="95"/>
        </w:rPr>
        <w:t>e</w:t>
      </w:r>
      <w:r>
        <w:rPr>
          <w:spacing w:val="2"/>
          <w:w w:val="95"/>
        </w:rPr>
        <w:t>n</w:t>
      </w:r>
      <w:r>
        <w:rPr>
          <w:spacing w:val="-1"/>
          <w:w w:val="95"/>
        </w:rPr>
        <w:t>r</w:t>
      </w:r>
      <w:r>
        <w:rPr>
          <w:spacing w:val="2"/>
          <w:w w:val="100"/>
        </w:rPr>
        <w:t>o</w:t>
      </w:r>
      <w:r>
        <w:rPr>
          <w:w w:val="95"/>
        </w:rPr>
        <w:t>l</w:t>
      </w:r>
      <w:r>
        <w:rPr>
          <w:spacing w:val="-12"/>
        </w:rPr>
        <w:t> </w:t>
      </w:r>
      <w:r>
        <w:rPr>
          <w:w w:val="98"/>
        </w:rPr>
        <w:t>f</w:t>
      </w:r>
      <w:r>
        <w:rPr>
          <w:spacing w:val="2"/>
          <w:w w:val="100"/>
        </w:rPr>
        <w:t>o</w:t>
      </w:r>
      <w:r>
        <w:rPr>
          <w:w w:val="95"/>
        </w:rPr>
        <w:t>r</w:t>
      </w:r>
      <w:r>
        <w:rPr>
          <w:spacing w:val="-12"/>
        </w:rPr>
        <w:t> </w:t>
      </w:r>
      <w:r>
        <w:rPr>
          <w:spacing w:val="-9"/>
          <w:w w:val="92"/>
        </w:rPr>
        <w:t>T</w:t>
      </w:r>
      <w:r>
        <w:rPr>
          <w:spacing w:val="2"/>
          <w:w w:val="95"/>
        </w:rPr>
        <w:t>e</w:t>
      </w:r>
      <w:r>
        <w:rPr>
          <w:spacing w:val="2"/>
          <w:w w:val="95"/>
        </w:rPr>
        <w:t>r</w:t>
      </w:r>
      <w:r>
        <w:rPr>
          <w:w w:val="98"/>
        </w:rPr>
        <w:t>m</w:t>
      </w:r>
      <w:r>
        <w:rPr>
          <w:spacing w:val="-12"/>
        </w:rPr>
        <w:t> </w:t>
      </w:r>
      <w:r>
        <w:rPr>
          <w:w w:val="54"/>
        </w:rPr>
        <w:t>1</w:t>
      </w:r>
      <w:r>
        <w:rPr>
          <w:spacing w:val="-12"/>
        </w:rPr>
        <w:t> </w:t>
      </w:r>
      <w:r>
        <w:rPr>
          <w:spacing w:val="2"/>
          <w:w w:val="93"/>
        </w:rPr>
        <w:t>2</w:t>
      </w:r>
      <w:r>
        <w:rPr>
          <w:spacing w:val="1"/>
          <w:w w:val="111"/>
        </w:rPr>
        <w:t>0</w:t>
      </w:r>
      <w:r>
        <w:rPr>
          <w:w w:val="54"/>
        </w:rPr>
        <w:t>1</w:t>
      </w:r>
      <w:r>
        <w:rPr>
          <w:spacing w:val="-9"/>
          <w:w w:val="91"/>
        </w:rPr>
        <w:t>7</w:t>
      </w:r>
      <w:r>
        <w:rPr>
          <w:w w:val="68"/>
        </w:rPr>
        <w:t>, </w:t>
      </w:r>
      <w:r>
        <w:rPr>
          <w:spacing w:val="1"/>
          <w:w w:val="95"/>
        </w:rPr>
        <w:t>u</w:t>
      </w:r>
      <w:r>
        <w:rPr>
          <w:w w:val="102"/>
        </w:rPr>
        <w:t>p</w:t>
      </w:r>
      <w:r>
        <w:rPr>
          <w:spacing w:val="-12"/>
        </w:rPr>
        <w:t> </w:t>
      </w:r>
      <w:r>
        <w:rPr>
          <w:spacing w:val="3"/>
          <w:w w:val="98"/>
        </w:rPr>
        <w:t>f</w:t>
      </w:r>
      <w:r>
        <w:rPr>
          <w:spacing w:val="-1"/>
          <w:w w:val="95"/>
        </w:rPr>
        <w:t>r</w:t>
      </w:r>
      <w:r>
        <w:rPr>
          <w:spacing w:val="2"/>
          <w:w w:val="100"/>
        </w:rPr>
        <w:t>o</w:t>
      </w:r>
      <w:r>
        <w:rPr>
          <w:w w:val="98"/>
        </w:rPr>
        <w:t>m</w:t>
      </w:r>
      <w:r>
        <w:rPr>
          <w:spacing w:val="-12"/>
        </w:rPr>
        <w:t> </w:t>
      </w:r>
      <w:r>
        <w:rPr>
          <w:spacing w:val="6"/>
          <w:w w:val="91"/>
        </w:rPr>
        <w:t>7</w:t>
      </w:r>
      <w:r>
        <w:rPr>
          <w:w w:val="54"/>
        </w:rPr>
        <w:t>1</w:t>
      </w:r>
      <w:r>
        <w:rPr>
          <w:spacing w:val="-12"/>
        </w:rPr>
        <w:t> </w:t>
      </w:r>
      <w:r>
        <w:rPr>
          <w:w w:val="94"/>
        </w:rPr>
        <w:t>a</w:t>
      </w:r>
      <w:r>
        <w:rPr>
          <w:w w:val="102"/>
        </w:rPr>
        <w:t>t</w:t>
      </w:r>
      <w:r>
        <w:rPr>
          <w:spacing w:val="-12"/>
        </w:rPr>
        <w:t> </w:t>
      </w:r>
      <w:r>
        <w:rPr>
          <w:w w:val="102"/>
        </w:rPr>
        <w:t>t</w:t>
      </w:r>
      <w:r>
        <w:rPr>
          <w:spacing w:val="2"/>
          <w:w w:val="95"/>
        </w:rPr>
        <w:t>h</w:t>
      </w:r>
      <w:r>
        <w:rPr>
          <w:w w:val="95"/>
        </w:rPr>
        <w:t>e</w:t>
      </w:r>
      <w:r>
        <w:rPr>
          <w:spacing w:val="-12"/>
        </w:rPr>
        <w:t> </w:t>
      </w:r>
      <w:r>
        <w:rPr>
          <w:spacing w:val="3"/>
          <w:w w:val="95"/>
        </w:rPr>
        <w:t>s</w:t>
      </w:r>
      <w:r>
        <w:rPr>
          <w:spacing w:val="2"/>
          <w:w w:val="94"/>
        </w:rPr>
        <w:t>a</w:t>
      </w:r>
      <w:r>
        <w:rPr>
          <w:spacing w:val="2"/>
          <w:w w:val="98"/>
        </w:rPr>
        <w:t>m</w:t>
      </w:r>
      <w:r>
        <w:rPr>
          <w:w w:val="95"/>
        </w:rPr>
        <w:t>e</w:t>
      </w:r>
      <w:r>
        <w:rPr>
          <w:spacing w:val="-12"/>
        </w:rPr>
        <w:t> </w:t>
      </w:r>
      <w:r>
        <w:rPr>
          <w:w w:val="102"/>
        </w:rPr>
        <w:t>t</w:t>
      </w:r>
      <w:r>
        <w:rPr>
          <w:spacing w:val="1"/>
          <w:w w:val="95"/>
        </w:rPr>
        <w:t>i</w:t>
      </w:r>
      <w:r>
        <w:rPr>
          <w:spacing w:val="2"/>
          <w:w w:val="98"/>
        </w:rPr>
        <w:t>m</w:t>
      </w:r>
      <w:r>
        <w:rPr>
          <w:w w:val="95"/>
        </w:rPr>
        <w:t>e</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spacing w:val="4"/>
          <w:w w:val="101"/>
        </w:rPr>
        <w:t>6</w:t>
      </w:r>
      <w:r>
        <w:rPr>
          <w:w w:val="68"/>
        </w:rPr>
        <w:t>.</w:t>
      </w:r>
    </w:p>
    <w:p>
      <w:pPr>
        <w:pStyle w:val="BodyText"/>
      </w:pPr>
    </w:p>
    <w:p>
      <w:pPr>
        <w:pStyle w:val="BodyText"/>
        <w:spacing w:before="1"/>
        <w:rPr>
          <w:sz w:val="13"/>
        </w:rPr>
      </w:pPr>
    </w:p>
    <w:p>
      <w:pPr>
        <w:pStyle w:val="Heading5"/>
        <w:spacing w:line="260" w:lineRule="exact"/>
        <w:ind w:right="308"/>
      </w:pPr>
      <w:r>
        <w:rPr/>
        <w:t>ENGAGEMENT AND ABORIGINAL AND TORRES STRAIT </w:t>
      </w:r>
      <w:r>
        <w:rPr>
          <w:w w:val="95"/>
        </w:rPr>
        <w:t>ISLANDER LEADERSHIP</w:t>
      </w:r>
    </w:p>
    <w:p>
      <w:pPr>
        <w:pStyle w:val="BodyText"/>
        <w:spacing w:line="249" w:lineRule="auto" w:before="101"/>
        <w:ind w:left="107" w:right="-12"/>
      </w:pPr>
      <w:r>
        <w:rPr/>
        <w:t>Professor Lisa Jackson Pulver, AM was appointed Pro Vice-Chancellor Engagement and Aboriginal and Torres Strait Islander </w:t>
      </w:r>
      <w:r>
        <w:rPr>
          <w:w w:val="97"/>
        </w:rPr>
        <w:t>Leadership </w:t>
      </w:r>
      <w:r>
        <w:rPr>
          <w:w w:val="95"/>
        </w:rPr>
        <w:t>in </w:t>
      </w:r>
      <w:r>
        <w:rPr>
          <w:w w:val="85"/>
        </w:rPr>
        <w:t>2016. </w:t>
      </w:r>
      <w:r>
        <w:rPr>
          <w:w w:val="97"/>
        </w:rPr>
        <w:t>Professor </w:t>
      </w:r>
      <w:r>
        <w:rPr>
          <w:w w:val="99"/>
        </w:rPr>
        <w:t>Jackson </w:t>
      </w:r>
      <w:r>
        <w:rPr>
          <w:w w:val="98"/>
        </w:rPr>
        <w:t>Pulver </w:t>
      </w:r>
      <w:r>
        <w:rPr/>
        <w:t>was also appointed Parramatta campus Provost in May.</w:t>
      </w:r>
    </w:p>
    <w:p>
      <w:pPr>
        <w:pStyle w:val="BodyText"/>
        <w:spacing w:before="3"/>
        <w:rPr>
          <w:sz w:val="19"/>
        </w:rPr>
      </w:pPr>
    </w:p>
    <w:p>
      <w:pPr>
        <w:pStyle w:val="Heading7"/>
        <w:ind w:right="295"/>
      </w:pPr>
      <w:r>
        <w:rPr/>
        <w:t>ENGAGEMENT</w:t>
      </w:r>
    </w:p>
    <w:p>
      <w:pPr>
        <w:pStyle w:val="BodyText"/>
        <w:spacing w:line="249" w:lineRule="auto" w:before="58"/>
        <w:ind w:left="107" w:right="-12"/>
      </w:pPr>
      <w:r>
        <w:rPr>
          <w:w w:val="80"/>
        </w:rPr>
        <w:t>In </w:t>
      </w:r>
      <w:r>
        <w:rPr>
          <w:w w:val="85"/>
        </w:rPr>
        <w:t>2016, </w:t>
      </w:r>
      <w:r>
        <w:rPr>
          <w:w w:val="95"/>
        </w:rPr>
        <w:t>an </w:t>
      </w:r>
      <w:r>
        <w:rPr>
          <w:w w:val="97"/>
        </w:rPr>
        <w:t>institutional </w:t>
      </w:r>
      <w:r>
        <w:rPr>
          <w:w w:val="97"/>
        </w:rPr>
        <w:t>review </w:t>
      </w:r>
      <w:r>
        <w:rPr>
          <w:w w:val="99"/>
        </w:rPr>
        <w:t>of </w:t>
      </w:r>
      <w:r>
        <w:rPr>
          <w:w w:val="97"/>
        </w:rPr>
        <w:t>engagement </w:t>
      </w:r>
      <w:r>
        <w:rPr/>
        <w:t>activities was completed that identified</w:t>
      </w:r>
    </w:p>
    <w:p>
      <w:pPr>
        <w:pStyle w:val="BodyText"/>
        <w:spacing w:line="249" w:lineRule="auto"/>
        <w:ind w:left="107" w:right="-12"/>
      </w:pPr>
      <w:r>
        <w:rPr/>
        <w:t>265 documented engagement activities throughout</w:t>
      </w:r>
      <w:r>
        <w:rPr>
          <w:spacing w:val="-27"/>
        </w:rPr>
        <w:t> </w:t>
      </w:r>
      <w:r>
        <w:rPr/>
        <w:t>the</w:t>
      </w:r>
      <w:r>
        <w:rPr>
          <w:spacing w:val="-27"/>
        </w:rPr>
        <w:t> </w:t>
      </w:r>
      <w:r>
        <w:rPr/>
        <w:t>University.</w:t>
      </w:r>
      <w:r>
        <w:rPr>
          <w:spacing w:val="-27"/>
        </w:rPr>
        <w:t> </w:t>
      </w:r>
      <w:r>
        <w:rPr/>
        <w:t>These</w:t>
      </w:r>
      <w:r>
        <w:rPr>
          <w:spacing w:val="-27"/>
        </w:rPr>
        <w:t> </w:t>
      </w:r>
      <w:r>
        <w:rPr/>
        <w:t>included:</w:t>
      </w:r>
    </w:p>
    <w:p>
      <w:pPr>
        <w:pStyle w:val="BodyText"/>
        <w:spacing w:line="247" w:lineRule="auto" w:before="55"/>
        <w:ind w:left="305" w:right="25" w:hanging="199"/>
      </w:pPr>
      <w:r>
        <w:rPr>
          <w:rFonts w:ascii="Century Gothic" w:hAnsi="Century Gothic"/>
          <w:b/>
          <w:w w:val="115"/>
        </w:rPr>
        <w:t>≥ </w:t>
      </w:r>
      <w:r>
        <w:rPr/>
        <w:t>Food 4 Thought seminars: topics included homelessness; working in Australia: opportunities</w:t>
      </w:r>
      <w:r>
        <w:rPr>
          <w:spacing w:val="-19"/>
        </w:rPr>
        <w:t> </w:t>
      </w:r>
      <w:r>
        <w:rPr/>
        <w:t>and</w:t>
      </w:r>
      <w:r>
        <w:rPr>
          <w:spacing w:val="-19"/>
        </w:rPr>
        <w:t> </w:t>
      </w:r>
      <w:r>
        <w:rPr/>
        <w:t>barriers</w:t>
      </w:r>
      <w:r>
        <w:rPr>
          <w:spacing w:val="-19"/>
        </w:rPr>
        <w:t> </w:t>
      </w:r>
      <w:r>
        <w:rPr/>
        <w:t>for</w:t>
      </w:r>
      <w:r>
        <w:rPr>
          <w:spacing w:val="-19"/>
        </w:rPr>
        <w:t> </w:t>
      </w:r>
      <w:r>
        <w:rPr/>
        <w:t>new</w:t>
      </w:r>
      <w:r>
        <w:rPr>
          <w:spacing w:val="-19"/>
        </w:rPr>
        <w:t> </w:t>
      </w:r>
      <w:r>
        <w:rPr/>
        <w:t>arrivals; and domestic</w:t>
      </w:r>
      <w:r>
        <w:rPr>
          <w:spacing w:val="-19"/>
        </w:rPr>
        <w:t> </w:t>
      </w:r>
      <w:r>
        <w:rPr/>
        <w:t>violence</w:t>
      </w:r>
    </w:p>
    <w:p>
      <w:pPr>
        <w:pStyle w:val="BodyText"/>
        <w:rPr>
          <w:sz w:val="20"/>
        </w:rPr>
      </w:pPr>
      <w:r>
        <w:rPr/>
        <w:br w:type="column"/>
      </w:r>
      <w:r>
        <w:rPr>
          <w:sz w:val="20"/>
        </w:rPr>
      </w:r>
    </w:p>
    <w:p>
      <w:pPr>
        <w:pStyle w:val="BodyText"/>
        <w:spacing w:line="247" w:lineRule="auto"/>
        <w:ind w:left="305" w:right="122" w:hanging="199"/>
      </w:pPr>
      <w:r>
        <w:rPr>
          <w:rFonts w:ascii="Century Gothic" w:hAnsi="Century Gothic"/>
          <w:b/>
          <w:w w:val="115"/>
        </w:rPr>
        <w:t>≥ </w:t>
      </w:r>
      <w:r>
        <w:rPr/>
        <w:t>Community Fellow Awards: 20 Community </w:t>
      </w:r>
      <w:r>
        <w:rPr>
          <w:w w:val="100"/>
        </w:rPr>
        <w:t>Awards </w:t>
      </w:r>
      <w:r>
        <w:rPr>
          <w:w w:val="97"/>
        </w:rPr>
        <w:t>were </w:t>
      </w:r>
      <w:r>
        <w:rPr>
          <w:w w:val="97"/>
        </w:rPr>
        <w:t>presented </w:t>
      </w:r>
      <w:r>
        <w:rPr>
          <w:w w:val="95"/>
        </w:rPr>
        <w:t>in </w:t>
      </w:r>
      <w:r>
        <w:rPr>
          <w:w w:val="100"/>
        </w:rPr>
        <w:t>April </w:t>
      </w:r>
      <w:r>
        <w:rPr>
          <w:w w:val="85"/>
        </w:rPr>
        <w:t>2016. </w:t>
      </w:r>
      <w:r>
        <w:rPr>
          <w:w w:val="94"/>
        </w:rPr>
        <w:t>The </w:t>
      </w:r>
      <w:r>
        <w:rPr>
          <w:w w:val="97"/>
        </w:rPr>
        <w:t>first </w:t>
      </w:r>
      <w:r>
        <w:rPr>
          <w:w w:val="96"/>
        </w:rPr>
        <w:t>was </w:t>
      </w:r>
      <w:r>
        <w:rPr>
          <w:w w:val="98"/>
        </w:rPr>
        <w:t>conferred </w:t>
      </w:r>
      <w:r>
        <w:rPr>
          <w:w w:val="98"/>
        </w:rPr>
        <w:t>at </w:t>
      </w:r>
      <w:r>
        <w:rPr>
          <w:w w:val="97"/>
        </w:rPr>
        <w:t>the </w:t>
      </w:r>
      <w:r>
        <w:rPr>
          <w:w w:val="98"/>
        </w:rPr>
        <w:t>September </w:t>
      </w:r>
      <w:r>
        <w:rPr>
          <w:w w:val="90"/>
        </w:rPr>
        <w:t>2016 </w:t>
      </w:r>
      <w:r>
        <w:rPr/>
        <w:t>graduation ceremony</w:t>
      </w:r>
    </w:p>
    <w:p>
      <w:pPr>
        <w:pStyle w:val="BodyText"/>
        <w:spacing w:line="247" w:lineRule="auto" w:before="57"/>
        <w:ind w:left="305" w:right="172" w:hanging="199"/>
      </w:pPr>
      <w:r>
        <w:rPr>
          <w:rFonts w:ascii="Century Gothic" w:hAnsi="Century Gothic"/>
          <w:b/>
          <w:w w:val="115"/>
        </w:rPr>
        <w:t>≥ </w:t>
      </w:r>
      <w:r>
        <w:rPr/>
        <w:t>Directors of Engagement forums: held bimonthly with representatives from each School and Institute</w:t>
      </w:r>
    </w:p>
    <w:p>
      <w:pPr>
        <w:pStyle w:val="BodyText"/>
        <w:spacing w:line="247" w:lineRule="auto" w:before="57"/>
        <w:ind w:left="305" w:right="114" w:hanging="199"/>
      </w:pPr>
      <w:r>
        <w:rPr>
          <w:rFonts w:ascii="Century Gothic" w:hAnsi="Century Gothic"/>
          <w:b/>
          <w:w w:val="115"/>
        </w:rPr>
        <w:t>≥ </w:t>
      </w:r>
      <w:r>
        <w:rPr/>
        <w:t>ZEST Awards: the University sponsors the Western Sydney Community Forum ZEST Awards, including the Chancellor’s Unsung Hero Award for outstanding contributions to the community by a Western Sydney University student</w:t>
      </w:r>
    </w:p>
    <w:p>
      <w:pPr>
        <w:pStyle w:val="BodyText"/>
        <w:spacing w:line="247" w:lineRule="auto" w:before="57"/>
        <w:ind w:left="305" w:right="57" w:hanging="199"/>
      </w:pPr>
      <w:r>
        <w:rPr>
          <w:rFonts w:ascii="Century Gothic" w:hAnsi="Century Gothic"/>
          <w:b/>
          <w:w w:val="115"/>
        </w:rPr>
        <w:t>≥ </w:t>
      </w:r>
      <w:r>
        <w:rPr/>
        <w:t>Coleman Greig Women in Business Forums: the University-sponsored six Women in </w:t>
      </w:r>
      <w:r>
        <w:rPr>
          <w:w w:val="96"/>
        </w:rPr>
        <w:t>Business </w:t>
      </w:r>
      <w:r>
        <w:rPr>
          <w:w w:val="97"/>
        </w:rPr>
        <w:t>forums </w:t>
      </w:r>
      <w:r>
        <w:rPr>
          <w:w w:val="95"/>
        </w:rPr>
        <w:t>in </w:t>
      </w:r>
      <w:r>
        <w:rPr>
          <w:w w:val="85"/>
        </w:rPr>
        <w:t>2016, </w:t>
      </w:r>
      <w:r>
        <w:rPr>
          <w:w w:val="97"/>
        </w:rPr>
        <w:t>including </w:t>
      </w:r>
      <w:r>
        <w:rPr>
          <w:w w:val="97"/>
        </w:rPr>
        <w:t>the </w:t>
      </w:r>
      <w:r>
        <w:rPr/>
        <w:t>annual Women of the West award night</w:t>
      </w:r>
    </w:p>
    <w:p>
      <w:pPr>
        <w:pStyle w:val="BodyText"/>
        <w:spacing w:line="247" w:lineRule="auto" w:before="57"/>
        <w:ind w:left="305" w:right="324" w:hanging="199"/>
      </w:pPr>
      <w:r>
        <w:rPr>
          <w:rFonts w:ascii="Century Gothic" w:hAnsi="Century Gothic"/>
          <w:b/>
          <w:w w:val="115"/>
        </w:rPr>
        <w:t>≥ </w:t>
      </w:r>
      <w:r>
        <w:rPr/>
        <w:t>Annual Yarramundi Lecture: ‘Is a Treaty the best way to ensure the rights of First Peoples?’ Panellists included</w:t>
      </w:r>
    </w:p>
    <w:p>
      <w:pPr>
        <w:pStyle w:val="BodyText"/>
        <w:spacing w:line="249" w:lineRule="auto" w:before="1"/>
        <w:ind w:left="305" w:right="387"/>
        <w:jc w:val="both"/>
      </w:pPr>
      <w:r>
        <w:rPr/>
        <w:t>Mr</w:t>
      </w:r>
      <w:r>
        <w:rPr>
          <w:spacing w:val="-21"/>
        </w:rPr>
        <w:t> </w:t>
      </w:r>
      <w:r>
        <w:rPr/>
        <w:t>Warren</w:t>
      </w:r>
      <w:r>
        <w:rPr>
          <w:spacing w:val="-21"/>
        </w:rPr>
        <w:t> </w:t>
      </w:r>
      <w:r>
        <w:rPr/>
        <w:t>Mundine,</w:t>
      </w:r>
      <w:r>
        <w:rPr>
          <w:spacing w:val="-21"/>
        </w:rPr>
        <w:t> </w:t>
      </w:r>
      <w:r>
        <w:rPr/>
        <w:t>AO,</w:t>
      </w:r>
      <w:r>
        <w:rPr>
          <w:spacing w:val="-21"/>
        </w:rPr>
        <w:t> </w:t>
      </w:r>
      <w:r>
        <w:rPr/>
        <w:t>Jeff</w:t>
      </w:r>
      <w:r>
        <w:rPr>
          <w:spacing w:val="-21"/>
        </w:rPr>
        <w:t> </w:t>
      </w:r>
      <w:r>
        <w:rPr/>
        <w:t>McMullen, </w:t>
      </w:r>
      <w:r>
        <w:rPr>
          <w:spacing w:val="2"/>
        </w:rPr>
        <w:t>AM,</w:t>
      </w:r>
      <w:r>
        <w:rPr>
          <w:spacing w:val="-17"/>
        </w:rPr>
        <w:t> </w:t>
      </w:r>
      <w:r>
        <w:rPr/>
        <w:t>Ms</w:t>
      </w:r>
      <w:r>
        <w:rPr>
          <w:spacing w:val="-17"/>
        </w:rPr>
        <w:t> </w:t>
      </w:r>
      <w:r>
        <w:rPr/>
        <w:t>Shireen</w:t>
      </w:r>
      <w:r>
        <w:rPr>
          <w:spacing w:val="-17"/>
        </w:rPr>
        <w:t> </w:t>
      </w:r>
      <w:r>
        <w:rPr/>
        <w:t>Morris,</w:t>
      </w:r>
      <w:r>
        <w:rPr>
          <w:spacing w:val="-17"/>
        </w:rPr>
        <w:t> </w:t>
      </w:r>
      <w:r>
        <w:rPr/>
        <w:t>Dr</w:t>
      </w:r>
      <w:r>
        <w:rPr>
          <w:spacing w:val="-17"/>
        </w:rPr>
        <w:t> </w:t>
      </w:r>
      <w:r>
        <w:rPr/>
        <w:t>Alexis</w:t>
      </w:r>
      <w:r>
        <w:rPr>
          <w:spacing w:val="-17"/>
        </w:rPr>
        <w:t> </w:t>
      </w:r>
      <w:r>
        <w:rPr/>
        <w:t>Wright and</w:t>
      </w:r>
      <w:r>
        <w:rPr>
          <w:spacing w:val="-22"/>
        </w:rPr>
        <w:t> </w:t>
      </w:r>
      <w:r>
        <w:rPr/>
        <w:t>Ms</w:t>
      </w:r>
      <w:r>
        <w:rPr>
          <w:spacing w:val="-22"/>
        </w:rPr>
        <w:t> </w:t>
      </w:r>
      <w:r>
        <w:rPr/>
        <w:t>Nayuka</w:t>
      </w:r>
      <w:r>
        <w:rPr>
          <w:spacing w:val="-22"/>
        </w:rPr>
        <w:t> </w:t>
      </w:r>
      <w:r>
        <w:rPr/>
        <w:t>Gorrie.</w:t>
      </w:r>
    </w:p>
    <w:p>
      <w:pPr>
        <w:pStyle w:val="BodyText"/>
        <w:spacing w:before="3"/>
        <w:rPr>
          <w:sz w:val="19"/>
        </w:rPr>
      </w:pPr>
    </w:p>
    <w:p>
      <w:pPr>
        <w:pStyle w:val="Heading7"/>
        <w:spacing w:line="249" w:lineRule="auto"/>
        <w:ind w:right="616"/>
      </w:pPr>
      <w:r>
        <w:rPr/>
        <w:t>OFFICE OF ABORIGINAL AND TORRES STRAIT ISLANDER </w:t>
      </w:r>
      <w:r>
        <w:rPr>
          <w:w w:val="95"/>
        </w:rPr>
        <w:t>EMPLOYMENT  AND ENGAGEMENT</w:t>
      </w:r>
    </w:p>
    <w:p>
      <w:pPr>
        <w:pStyle w:val="BodyText"/>
        <w:spacing w:line="249" w:lineRule="auto" w:before="50"/>
        <w:ind w:left="107" w:right="134"/>
      </w:pPr>
      <w:r>
        <w:rPr/>
        <w:t>The Office of Aboriginal and Torres Strait Islander Employment and Engagement (OATSIEE) seeks to maximise employment opportunities for Aboriginal and Torres Strait Islander peoples at the University, and build collaborative networks and commercial partnerships in Western Sydney and beyond.</w:t>
      </w:r>
    </w:p>
    <w:p>
      <w:pPr>
        <w:pStyle w:val="BodyText"/>
        <w:rPr>
          <w:sz w:val="14"/>
        </w:rPr>
      </w:pPr>
    </w:p>
    <w:p>
      <w:pPr>
        <w:pStyle w:val="BodyText"/>
        <w:spacing w:line="249" w:lineRule="auto"/>
        <w:ind w:left="107" w:right="554"/>
      </w:pPr>
      <w:r>
        <w:rPr/>
        <w:t>OATSIEE coordinates regular activities, including:</w:t>
      </w:r>
    </w:p>
    <w:p>
      <w:pPr>
        <w:pStyle w:val="BodyText"/>
        <w:spacing w:before="55"/>
        <w:ind w:left="107" w:right="-1"/>
      </w:pPr>
      <w:r>
        <w:rPr>
          <w:rFonts w:ascii="Century Gothic" w:hAnsi="Century Gothic"/>
          <w:b/>
          <w:w w:val="115"/>
        </w:rPr>
        <w:t>≥ </w:t>
      </w:r>
      <w:r>
        <w:rPr>
          <w:w w:val="105"/>
        </w:rPr>
        <w:t>quarterly meetings of its Advisory Board</w:t>
      </w:r>
    </w:p>
    <w:p>
      <w:pPr>
        <w:pStyle w:val="BodyText"/>
        <w:spacing w:line="247" w:lineRule="auto" w:before="60"/>
        <w:ind w:left="305" w:right="149" w:hanging="199"/>
        <w:jc w:val="both"/>
      </w:pPr>
      <w:r>
        <w:rPr>
          <w:rFonts w:ascii="Century Gothic" w:hAnsi="Century Gothic"/>
          <w:b/>
          <w:w w:val="115"/>
        </w:rPr>
        <w:t>≥</w:t>
      </w:r>
      <w:r>
        <w:rPr>
          <w:rFonts w:ascii="Century Gothic" w:hAnsi="Century Gothic"/>
          <w:b/>
          <w:spacing w:val="-14"/>
          <w:w w:val="115"/>
        </w:rPr>
        <w:t> </w:t>
      </w:r>
      <w:r>
        <w:rPr>
          <w:w w:val="105"/>
        </w:rPr>
        <w:t>University-sponsored</w:t>
      </w:r>
      <w:r>
        <w:rPr>
          <w:spacing w:val="-33"/>
          <w:w w:val="105"/>
        </w:rPr>
        <w:t> </w:t>
      </w:r>
      <w:r>
        <w:rPr>
          <w:w w:val="105"/>
        </w:rPr>
        <w:t>Welcome</w:t>
      </w:r>
      <w:r>
        <w:rPr>
          <w:spacing w:val="-33"/>
          <w:w w:val="105"/>
        </w:rPr>
        <w:t> </w:t>
      </w:r>
      <w:r>
        <w:rPr>
          <w:w w:val="105"/>
        </w:rPr>
        <w:t>to</w:t>
      </w:r>
      <w:r>
        <w:rPr>
          <w:spacing w:val="-33"/>
          <w:w w:val="105"/>
        </w:rPr>
        <w:t> </w:t>
      </w:r>
      <w:r>
        <w:rPr>
          <w:w w:val="105"/>
        </w:rPr>
        <w:t>Country </w:t>
      </w:r>
      <w:r>
        <w:rPr/>
        <w:t>addresses,</w:t>
      </w:r>
      <w:r>
        <w:rPr>
          <w:spacing w:val="-18"/>
        </w:rPr>
        <w:t> </w:t>
      </w:r>
      <w:r>
        <w:rPr/>
        <w:t>and</w:t>
      </w:r>
      <w:r>
        <w:rPr>
          <w:spacing w:val="-18"/>
        </w:rPr>
        <w:t> </w:t>
      </w:r>
      <w:r>
        <w:rPr/>
        <w:t>celebratory</w:t>
      </w:r>
      <w:r>
        <w:rPr>
          <w:spacing w:val="-18"/>
        </w:rPr>
        <w:t> </w:t>
      </w:r>
      <w:r>
        <w:rPr/>
        <w:t>and</w:t>
      </w:r>
      <w:r>
        <w:rPr>
          <w:spacing w:val="-18"/>
        </w:rPr>
        <w:t> </w:t>
      </w:r>
      <w:r>
        <w:rPr/>
        <w:t>ceremonial </w:t>
      </w:r>
      <w:r>
        <w:rPr>
          <w:w w:val="105"/>
        </w:rPr>
        <w:t>events</w:t>
      </w:r>
    </w:p>
    <w:p>
      <w:pPr>
        <w:pStyle w:val="BodyText"/>
        <w:spacing w:line="244" w:lineRule="auto" w:before="57"/>
        <w:ind w:left="305" w:right="629" w:hanging="199"/>
      </w:pPr>
      <w:r>
        <w:rPr>
          <w:rFonts w:ascii="Century Gothic" w:hAnsi="Century Gothic"/>
          <w:b/>
          <w:w w:val="115"/>
        </w:rPr>
        <w:t>≥</w:t>
      </w:r>
      <w:r>
        <w:rPr>
          <w:rFonts w:ascii="Century Gothic" w:hAnsi="Century Gothic"/>
          <w:b/>
          <w:spacing w:val="-20"/>
          <w:w w:val="115"/>
        </w:rPr>
        <w:t> </w:t>
      </w:r>
      <w:r>
        <w:rPr>
          <w:w w:val="105"/>
        </w:rPr>
        <w:t>Aboriginal</w:t>
      </w:r>
      <w:r>
        <w:rPr>
          <w:spacing w:val="-36"/>
          <w:w w:val="105"/>
        </w:rPr>
        <w:t> </w:t>
      </w:r>
      <w:r>
        <w:rPr>
          <w:w w:val="105"/>
        </w:rPr>
        <w:t>and</w:t>
      </w:r>
      <w:r>
        <w:rPr>
          <w:spacing w:val="-36"/>
          <w:w w:val="105"/>
        </w:rPr>
        <w:t> </w:t>
      </w:r>
      <w:r>
        <w:rPr>
          <w:w w:val="105"/>
        </w:rPr>
        <w:t>Torres</w:t>
      </w:r>
      <w:r>
        <w:rPr>
          <w:spacing w:val="-36"/>
          <w:w w:val="105"/>
        </w:rPr>
        <w:t> </w:t>
      </w:r>
      <w:r>
        <w:rPr>
          <w:w w:val="105"/>
        </w:rPr>
        <w:t>Strait</w:t>
      </w:r>
      <w:r>
        <w:rPr>
          <w:spacing w:val="-36"/>
          <w:w w:val="105"/>
        </w:rPr>
        <w:t> </w:t>
      </w:r>
      <w:r>
        <w:rPr>
          <w:w w:val="105"/>
        </w:rPr>
        <w:t>Islander </w:t>
      </w:r>
      <w:r>
        <w:rPr/>
        <w:t>workplace</w:t>
      </w:r>
      <w:r>
        <w:rPr>
          <w:spacing w:val="-23"/>
        </w:rPr>
        <w:t> </w:t>
      </w:r>
      <w:r>
        <w:rPr/>
        <w:t>relations</w:t>
      </w:r>
    </w:p>
    <w:p>
      <w:pPr>
        <w:pStyle w:val="BodyText"/>
        <w:spacing w:before="58"/>
        <w:ind w:left="107" w:right="460"/>
      </w:pPr>
      <w:r>
        <w:rPr>
          <w:rFonts w:ascii="Century Gothic" w:hAnsi="Century Gothic"/>
          <w:b/>
          <w:w w:val="115"/>
        </w:rPr>
        <w:t>≥ </w:t>
      </w:r>
      <w:r>
        <w:rPr/>
        <w:t>the NAIDOC Week annual online quiz</w:t>
      </w:r>
    </w:p>
    <w:p>
      <w:pPr>
        <w:pStyle w:val="BodyText"/>
        <w:spacing w:line="247" w:lineRule="auto" w:before="60"/>
        <w:ind w:left="305" w:right="-1" w:hanging="199"/>
      </w:pPr>
      <w:r>
        <w:rPr>
          <w:rFonts w:ascii="Century Gothic" w:hAnsi="Century Gothic"/>
          <w:b/>
          <w:w w:val="115"/>
        </w:rPr>
        <w:t>≥ </w:t>
      </w:r>
      <w:r>
        <w:rPr/>
        <w:t>the Aboriginal and Torres Strait Islander Employment and Engagement Action Plan </w:t>
      </w:r>
      <w:r>
        <w:rPr>
          <w:w w:val="87"/>
        </w:rPr>
        <w:t>2014–2017.</w:t>
      </w:r>
    </w:p>
    <w:p>
      <w:pPr>
        <w:spacing w:after="0" w:line="247" w:lineRule="auto"/>
        <w:sectPr>
          <w:type w:val="continuous"/>
          <w:pgSz w:w="11910" w:h="16840"/>
          <w:pgMar w:top="1580" w:bottom="280" w:left="800" w:right="800"/>
          <w:cols w:num="3" w:equalWidth="0">
            <w:col w:w="3320" w:space="119"/>
            <w:col w:w="3279" w:space="161"/>
            <w:col w:w="3431"/>
          </w:cols>
        </w:sectPr>
      </w:pPr>
    </w:p>
    <w:p>
      <w:pPr>
        <w:pStyle w:val="BodyText"/>
        <w:spacing w:before="9"/>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38"/>
          <w:pgSz w:w="11910" w:h="16840"/>
          <w:pgMar w:footer="472" w:header="496" w:top="680" w:bottom="660" w:left="800" w:right="800"/>
        </w:sectPr>
      </w:pPr>
    </w:p>
    <w:p>
      <w:pPr>
        <w:pStyle w:val="BodyText"/>
        <w:spacing w:before="5"/>
        <w:rPr>
          <w:rFonts w:ascii="Chronicle Text G1"/>
          <w:b w:val="0"/>
          <w:sz w:val="17"/>
        </w:rPr>
      </w:pPr>
    </w:p>
    <w:p>
      <w:pPr>
        <w:pStyle w:val="Heading7"/>
        <w:spacing w:line="249" w:lineRule="auto"/>
        <w:ind w:right="335"/>
      </w:pPr>
      <w:r>
        <w:rPr>
          <w:w w:val="95"/>
        </w:rPr>
        <w:t>ABORIGINAL AND TORRES STRAIT ISLANDER STAFF SNAPSHOT</w:t>
      </w:r>
    </w:p>
    <w:p>
      <w:pPr>
        <w:pStyle w:val="BodyText"/>
        <w:spacing w:line="249" w:lineRule="auto" w:before="50"/>
        <w:ind w:left="107"/>
      </w:pPr>
      <w:r>
        <w:rPr/>
        <w:t>The number of Aboriginal and Torres Strait Islander staff members (full-time equivalent and casual) employed at the University </w:t>
      </w:r>
      <w:r>
        <w:rPr>
          <w:spacing w:val="1"/>
          <w:w w:val="97"/>
        </w:rPr>
        <w:t>increased</w:t>
      </w:r>
      <w:r>
        <w:rPr>
          <w:w w:val="97"/>
        </w:rPr>
        <w:t> </w:t>
      </w:r>
      <w:r>
        <w:rPr>
          <w:spacing w:val="1"/>
          <w:w w:val="98"/>
        </w:rPr>
        <w:t>from</w:t>
      </w:r>
      <w:r>
        <w:rPr>
          <w:w w:val="98"/>
        </w:rPr>
        <w:t> </w:t>
      </w:r>
      <w:r>
        <w:rPr>
          <w:spacing w:val="1"/>
          <w:w w:val="101"/>
        </w:rPr>
        <w:t>66</w:t>
      </w:r>
      <w:r>
        <w:rPr>
          <w:w w:val="101"/>
        </w:rPr>
        <w:t> </w:t>
      </w:r>
      <w:r>
        <w:rPr>
          <w:w w:val="95"/>
        </w:rPr>
        <w:t>in </w:t>
      </w:r>
      <w:r>
        <w:rPr>
          <w:spacing w:val="1"/>
          <w:w w:val="88"/>
        </w:rPr>
        <w:t>2015</w:t>
      </w:r>
      <w:r>
        <w:rPr>
          <w:w w:val="88"/>
        </w:rPr>
        <w:t> </w:t>
      </w:r>
      <w:r>
        <w:rPr>
          <w:spacing w:val="-1"/>
          <w:w w:val="101"/>
        </w:rPr>
        <w:t>to</w:t>
      </w:r>
      <w:r>
        <w:rPr>
          <w:w w:val="101"/>
        </w:rPr>
        <w:t> </w:t>
      </w:r>
      <w:r>
        <w:rPr>
          <w:spacing w:val="-1"/>
          <w:w w:val="101"/>
        </w:rPr>
        <w:t>70</w:t>
      </w:r>
      <w:r>
        <w:rPr>
          <w:w w:val="101"/>
        </w:rPr>
        <w:t> </w:t>
      </w:r>
      <w:r>
        <w:rPr>
          <w:w w:val="98"/>
        </w:rPr>
        <w:t>at </w:t>
      </w:r>
      <w:r>
        <w:rPr>
          <w:spacing w:val="1"/>
          <w:w w:val="74"/>
        </w:rPr>
        <w:t>15</w:t>
      </w:r>
      <w:r>
        <w:rPr>
          <w:w w:val="74"/>
        </w:rPr>
        <w:t> </w:t>
      </w:r>
      <w:r>
        <w:rPr>
          <w:spacing w:val="1"/>
          <w:w w:val="98"/>
        </w:rPr>
        <w:t>December</w:t>
      </w:r>
      <w:r>
        <w:rPr>
          <w:w w:val="98"/>
        </w:rPr>
        <w:t> </w:t>
      </w:r>
      <w:r>
        <w:rPr>
          <w:spacing w:val="2"/>
          <w:w w:val="85"/>
        </w:rPr>
        <w:t>2016.</w:t>
      </w:r>
      <w:r>
        <w:rPr>
          <w:w w:val="85"/>
        </w:rPr>
        <w:t> </w:t>
      </w:r>
      <w:r>
        <w:rPr>
          <w:spacing w:val="1"/>
          <w:w w:val="99"/>
        </w:rPr>
        <w:t>Of</w:t>
      </w:r>
      <w:r>
        <w:rPr>
          <w:w w:val="99"/>
        </w:rPr>
        <w:t> </w:t>
      </w:r>
      <w:r>
        <w:rPr>
          <w:spacing w:val="1"/>
          <w:w w:val="92"/>
        </w:rPr>
        <w:t>these,</w:t>
      </w:r>
      <w:r>
        <w:rPr>
          <w:w w:val="92"/>
        </w:rPr>
        <w:t> </w:t>
      </w:r>
      <w:r>
        <w:rPr>
          <w:w w:val="91"/>
        </w:rPr>
        <w:t>7 </w:t>
      </w:r>
      <w:r>
        <w:rPr>
          <w:spacing w:val="1"/>
          <w:w w:val="97"/>
        </w:rPr>
        <w:t>per</w:t>
      </w:r>
      <w:r>
        <w:rPr>
          <w:w w:val="97"/>
        </w:rPr>
        <w:t> </w:t>
      </w:r>
      <w:r>
        <w:rPr>
          <w:w w:val="99"/>
        </w:rPr>
        <w:t>cent </w:t>
      </w:r>
      <w:r>
        <w:rPr>
          <w:spacing w:val="1"/>
          <w:w w:val="98"/>
        </w:rPr>
        <w:t>hold</w:t>
      </w:r>
      <w:r>
        <w:rPr>
          <w:w w:val="98"/>
        </w:rPr>
        <w:t> </w:t>
      </w:r>
      <w:r>
        <w:rPr/>
        <w:t>management and senior executive roles, and 23</w:t>
      </w:r>
      <w:r>
        <w:rPr>
          <w:spacing w:val="-23"/>
        </w:rPr>
        <w:t> </w:t>
      </w:r>
      <w:r>
        <w:rPr/>
        <w:t>per</w:t>
      </w:r>
      <w:r>
        <w:rPr>
          <w:spacing w:val="-23"/>
        </w:rPr>
        <w:t> </w:t>
      </w:r>
      <w:r>
        <w:rPr/>
        <w:t>cent</w:t>
      </w:r>
      <w:r>
        <w:rPr>
          <w:spacing w:val="-23"/>
        </w:rPr>
        <w:t> </w:t>
      </w:r>
      <w:r>
        <w:rPr/>
        <w:t>are</w:t>
      </w:r>
      <w:r>
        <w:rPr>
          <w:spacing w:val="-23"/>
        </w:rPr>
        <w:t> </w:t>
      </w:r>
      <w:r>
        <w:rPr>
          <w:spacing w:val="2"/>
        </w:rPr>
        <w:t>academics.</w:t>
      </w:r>
      <w:r>
        <w:rPr>
          <w:spacing w:val="-23"/>
        </w:rPr>
        <w:t> </w:t>
      </w:r>
      <w:r>
        <w:rPr/>
        <w:t>There</w:t>
      </w:r>
      <w:r>
        <w:rPr>
          <w:spacing w:val="-23"/>
        </w:rPr>
        <w:t> </w:t>
      </w:r>
      <w:r>
        <w:rPr/>
        <w:t>are</w:t>
      </w:r>
      <w:r>
        <w:rPr>
          <w:spacing w:val="-23"/>
        </w:rPr>
        <w:t> </w:t>
      </w:r>
      <w:r>
        <w:rPr/>
        <w:t>currently 13</w:t>
      </w:r>
      <w:r>
        <w:rPr>
          <w:spacing w:val="-25"/>
        </w:rPr>
        <w:t> </w:t>
      </w:r>
      <w:r>
        <w:rPr/>
        <w:t>PhD</w:t>
      </w:r>
      <w:r>
        <w:rPr>
          <w:spacing w:val="-25"/>
        </w:rPr>
        <w:t> </w:t>
      </w:r>
      <w:r>
        <w:rPr/>
        <w:t>students</w:t>
      </w:r>
      <w:r>
        <w:rPr>
          <w:spacing w:val="-25"/>
        </w:rPr>
        <w:t> </w:t>
      </w:r>
      <w:r>
        <w:rPr/>
        <w:t>and</w:t>
      </w:r>
      <w:r>
        <w:rPr>
          <w:spacing w:val="-25"/>
        </w:rPr>
        <w:t> </w:t>
      </w:r>
      <w:r>
        <w:rPr/>
        <w:t>41</w:t>
      </w:r>
      <w:r>
        <w:rPr>
          <w:spacing w:val="-25"/>
        </w:rPr>
        <w:t> </w:t>
      </w:r>
      <w:r>
        <w:rPr/>
        <w:t>masters</w:t>
      </w:r>
      <w:r>
        <w:rPr>
          <w:spacing w:val="-25"/>
        </w:rPr>
        <w:t> </w:t>
      </w:r>
      <w:r>
        <w:rPr/>
        <w:t>students.</w:t>
      </w:r>
      <w:r>
        <w:rPr>
          <w:spacing w:val="-25"/>
        </w:rPr>
        <w:t> </w:t>
      </w:r>
      <w:r>
        <w:rPr>
          <w:spacing w:val="-4"/>
        </w:rPr>
        <w:t>Two </w:t>
      </w:r>
      <w:r>
        <w:rPr/>
        <w:t>Vice-Chancellor’s Professional Development Scholarships were awarded to Aboriginal and </w:t>
      </w:r>
      <w:r>
        <w:rPr>
          <w:spacing w:val="-1"/>
          <w:w w:val="95"/>
        </w:rPr>
        <w:t>Torres</w:t>
      </w:r>
      <w:r>
        <w:rPr>
          <w:w w:val="95"/>
        </w:rPr>
        <w:t> </w:t>
      </w:r>
      <w:r>
        <w:rPr>
          <w:w w:val="98"/>
        </w:rPr>
        <w:t>Strait </w:t>
      </w:r>
      <w:r>
        <w:rPr>
          <w:spacing w:val="1"/>
          <w:w w:val="92"/>
        </w:rPr>
        <w:t>Islander</w:t>
      </w:r>
      <w:r>
        <w:rPr>
          <w:w w:val="92"/>
        </w:rPr>
        <w:t> </w:t>
      </w:r>
      <w:r>
        <w:rPr>
          <w:spacing w:val="1"/>
          <w:w w:val="97"/>
        </w:rPr>
        <w:t>staff</w:t>
      </w:r>
      <w:r>
        <w:rPr>
          <w:w w:val="97"/>
        </w:rPr>
        <w:t> </w:t>
      </w:r>
      <w:r>
        <w:rPr>
          <w:spacing w:val="1"/>
          <w:w w:val="97"/>
        </w:rPr>
        <w:t>members</w:t>
      </w:r>
      <w:r>
        <w:rPr>
          <w:w w:val="97"/>
        </w:rPr>
        <w:t> </w:t>
      </w:r>
      <w:r>
        <w:rPr>
          <w:w w:val="95"/>
        </w:rPr>
        <w:t>in</w:t>
      </w:r>
      <w:r>
        <w:rPr>
          <w:spacing w:val="-33"/>
          <w:w w:val="95"/>
        </w:rPr>
        <w:t> </w:t>
      </w:r>
      <w:r>
        <w:rPr>
          <w:spacing w:val="2"/>
          <w:w w:val="85"/>
        </w:rPr>
        <w:t>2016.</w:t>
      </w:r>
    </w:p>
    <w:p>
      <w:pPr>
        <w:pStyle w:val="BodyText"/>
        <w:spacing w:before="3"/>
        <w:rPr>
          <w:sz w:val="19"/>
        </w:rPr>
      </w:pPr>
    </w:p>
    <w:p>
      <w:pPr>
        <w:pStyle w:val="Heading7"/>
        <w:ind w:right="335"/>
      </w:pPr>
      <w:r>
        <w:rPr>
          <w:w w:val="95"/>
        </w:rPr>
        <w:t>ELDERS ON CAMPUS</w:t>
      </w:r>
    </w:p>
    <w:p>
      <w:pPr>
        <w:pStyle w:val="BodyText"/>
        <w:spacing w:line="249" w:lineRule="auto" w:before="58"/>
        <w:ind w:left="107" w:right="335"/>
      </w:pPr>
      <w:r>
        <w:rPr/>
        <w:t>The Western Sydney University Elders on Campus workplace relations program</w:t>
      </w:r>
    </w:p>
    <w:p>
      <w:pPr>
        <w:pStyle w:val="BodyText"/>
        <w:spacing w:line="249" w:lineRule="auto"/>
        <w:ind w:left="107" w:right="46"/>
      </w:pPr>
      <w:r>
        <w:rPr/>
        <w:t>provides advice and cultural education to staff.</w:t>
      </w:r>
      <w:r>
        <w:rPr>
          <w:spacing w:val="-22"/>
        </w:rPr>
        <w:t> </w:t>
      </w:r>
      <w:r>
        <w:rPr/>
        <w:t>The</w:t>
      </w:r>
      <w:r>
        <w:rPr>
          <w:spacing w:val="-22"/>
        </w:rPr>
        <w:t> </w:t>
      </w:r>
      <w:r>
        <w:rPr/>
        <w:t>University’s</w:t>
      </w:r>
      <w:r>
        <w:rPr>
          <w:spacing w:val="-22"/>
        </w:rPr>
        <w:t> </w:t>
      </w:r>
      <w:r>
        <w:rPr/>
        <w:t>Elders</w:t>
      </w:r>
      <w:r>
        <w:rPr>
          <w:spacing w:val="-22"/>
        </w:rPr>
        <w:t> </w:t>
      </w:r>
      <w:r>
        <w:rPr/>
        <w:t>are</w:t>
      </w:r>
      <w:r>
        <w:rPr>
          <w:spacing w:val="-22"/>
        </w:rPr>
        <w:t> </w:t>
      </w:r>
      <w:r>
        <w:rPr/>
        <w:t>an</w:t>
      </w:r>
      <w:r>
        <w:rPr>
          <w:spacing w:val="-22"/>
        </w:rPr>
        <w:t> </w:t>
      </w:r>
      <w:r>
        <w:rPr/>
        <w:t>invaluable human and social resource, advising on matters</w:t>
      </w:r>
      <w:r>
        <w:rPr>
          <w:spacing w:val="-18"/>
        </w:rPr>
        <w:t> </w:t>
      </w:r>
      <w:r>
        <w:rPr/>
        <w:t>of</w:t>
      </w:r>
      <w:r>
        <w:rPr>
          <w:spacing w:val="-18"/>
        </w:rPr>
        <w:t> </w:t>
      </w:r>
      <w:r>
        <w:rPr/>
        <w:t>protocol</w:t>
      </w:r>
      <w:r>
        <w:rPr>
          <w:spacing w:val="-18"/>
        </w:rPr>
        <w:t> </w:t>
      </w:r>
      <w:r>
        <w:rPr/>
        <w:t>and</w:t>
      </w:r>
      <w:r>
        <w:rPr>
          <w:spacing w:val="-18"/>
        </w:rPr>
        <w:t> </w:t>
      </w:r>
      <w:r>
        <w:rPr/>
        <w:t>governance,</w:t>
      </w:r>
    </w:p>
    <w:p>
      <w:pPr>
        <w:pStyle w:val="BodyText"/>
        <w:spacing w:line="249" w:lineRule="auto"/>
        <w:ind w:left="107" w:right="193"/>
      </w:pPr>
      <w:r>
        <w:rPr/>
        <w:t>and facilitating engagement with their </w:t>
      </w:r>
      <w:r>
        <w:rPr>
          <w:spacing w:val="1"/>
          <w:w w:val="95"/>
        </w:rPr>
        <w:t>communities.</w:t>
      </w:r>
      <w:r>
        <w:rPr>
          <w:w w:val="95"/>
        </w:rPr>
        <w:t> </w:t>
      </w:r>
      <w:r>
        <w:rPr>
          <w:spacing w:val="1"/>
          <w:w w:val="97"/>
        </w:rPr>
        <w:t>Elders</w:t>
      </w:r>
      <w:r>
        <w:rPr>
          <w:w w:val="97"/>
        </w:rPr>
        <w:t> </w:t>
      </w:r>
      <w:r>
        <w:rPr>
          <w:w w:val="96"/>
        </w:rPr>
        <w:t>have </w:t>
      </w:r>
      <w:r>
        <w:rPr>
          <w:spacing w:val="1"/>
          <w:w w:val="99"/>
        </w:rPr>
        <w:t>completed</w:t>
      </w:r>
      <w:r>
        <w:rPr>
          <w:w w:val="99"/>
        </w:rPr>
        <w:t> </w:t>
      </w:r>
      <w:r>
        <w:rPr>
          <w:spacing w:val="1"/>
          <w:w w:val="86"/>
        </w:rPr>
        <w:t>150</w:t>
      </w:r>
      <w:r>
        <w:rPr>
          <w:w w:val="86"/>
        </w:rPr>
        <w:t> </w:t>
      </w:r>
      <w:r>
        <w:rPr/>
        <w:t>engagements across three Institutes, six Schools and three Divisions and external </w:t>
      </w:r>
      <w:r>
        <w:rPr>
          <w:w w:val="98"/>
        </w:rPr>
        <w:t>groups </w:t>
      </w:r>
      <w:r>
        <w:rPr>
          <w:w w:val="95"/>
        </w:rPr>
        <w:t>in </w:t>
      </w:r>
      <w:r>
        <w:rPr>
          <w:spacing w:val="2"/>
          <w:w w:val="85"/>
        </w:rPr>
        <w:t>2016.</w:t>
      </w:r>
      <w:r>
        <w:rPr>
          <w:w w:val="85"/>
        </w:rPr>
        <w:t> </w:t>
      </w:r>
      <w:r>
        <w:rPr>
          <w:w w:val="100"/>
        </w:rPr>
        <w:t>Activities </w:t>
      </w:r>
      <w:r>
        <w:rPr>
          <w:spacing w:val="1"/>
          <w:w w:val="97"/>
        </w:rPr>
        <w:t>include</w:t>
      </w:r>
      <w:r>
        <w:rPr>
          <w:w w:val="97"/>
        </w:rPr>
        <w:t> </w:t>
      </w:r>
      <w:r>
        <w:rPr>
          <w:spacing w:val="-1"/>
          <w:w w:val="98"/>
        </w:rPr>
        <w:t>keynote</w:t>
      </w:r>
      <w:r>
        <w:rPr>
          <w:w w:val="98"/>
        </w:rPr>
        <w:t> </w:t>
      </w:r>
      <w:r>
        <w:rPr/>
        <w:t>talks</w:t>
      </w:r>
      <w:r>
        <w:rPr>
          <w:spacing w:val="-23"/>
        </w:rPr>
        <w:t> </w:t>
      </w:r>
      <w:r>
        <w:rPr/>
        <w:t>and</w:t>
      </w:r>
      <w:r>
        <w:rPr>
          <w:spacing w:val="-23"/>
        </w:rPr>
        <w:t> </w:t>
      </w:r>
      <w:r>
        <w:rPr/>
        <w:t>presentations,</w:t>
      </w:r>
      <w:r>
        <w:rPr>
          <w:spacing w:val="-23"/>
        </w:rPr>
        <w:t> </w:t>
      </w:r>
      <w:r>
        <w:rPr/>
        <w:t>mentoring,</w:t>
      </w:r>
      <w:r>
        <w:rPr>
          <w:spacing w:val="-23"/>
        </w:rPr>
        <w:t> </w:t>
      </w:r>
      <w:r>
        <w:rPr/>
        <w:t>yarning and projects such as Field of Dreams, </w:t>
      </w:r>
      <w:r>
        <w:rPr>
          <w:spacing w:val="1"/>
          <w:w w:val="96"/>
        </w:rPr>
        <w:t>Murama</w:t>
      </w:r>
      <w:r>
        <w:rPr>
          <w:w w:val="96"/>
        </w:rPr>
        <w:t> </w:t>
      </w:r>
      <w:r>
        <w:rPr>
          <w:spacing w:val="-2"/>
          <w:w w:val="99"/>
        </w:rPr>
        <w:t>Youth</w:t>
      </w:r>
      <w:r>
        <w:rPr>
          <w:w w:val="99"/>
        </w:rPr>
        <w:t> </w:t>
      </w:r>
      <w:r>
        <w:rPr>
          <w:w w:val="98"/>
        </w:rPr>
        <w:t>Summit </w:t>
      </w:r>
      <w:r>
        <w:rPr>
          <w:w w:val="95"/>
        </w:rPr>
        <w:t>in </w:t>
      </w:r>
      <w:r>
        <w:rPr>
          <w:spacing w:val="1"/>
          <w:w w:val="100"/>
        </w:rPr>
        <w:t>October</w:t>
      </w:r>
      <w:r>
        <w:rPr>
          <w:w w:val="100"/>
        </w:rPr>
        <w:t> </w:t>
      </w:r>
      <w:r>
        <w:rPr>
          <w:spacing w:val="1"/>
          <w:w w:val="90"/>
        </w:rPr>
        <w:t>2016</w:t>
      </w:r>
      <w:r>
        <w:rPr>
          <w:w w:val="90"/>
        </w:rPr>
        <w:t> </w:t>
      </w:r>
      <w:r>
        <w:rPr/>
        <w:t>and</w:t>
      </w:r>
      <w:r>
        <w:rPr>
          <w:spacing w:val="-15"/>
        </w:rPr>
        <w:t> </w:t>
      </w:r>
      <w:r>
        <w:rPr/>
        <w:t>the</w:t>
      </w:r>
      <w:r>
        <w:rPr>
          <w:spacing w:val="-15"/>
        </w:rPr>
        <w:t> </w:t>
      </w:r>
      <w:r>
        <w:rPr/>
        <w:t>Youth</w:t>
      </w:r>
      <w:r>
        <w:rPr>
          <w:spacing w:val="-15"/>
        </w:rPr>
        <w:t> </w:t>
      </w:r>
      <w:r>
        <w:rPr/>
        <w:t>Koori</w:t>
      </w:r>
      <w:r>
        <w:rPr>
          <w:spacing w:val="-15"/>
        </w:rPr>
        <w:t> </w:t>
      </w:r>
      <w:r>
        <w:rPr/>
        <w:t>Court</w:t>
      </w:r>
      <w:r>
        <w:rPr>
          <w:spacing w:val="-15"/>
        </w:rPr>
        <w:t> </w:t>
      </w:r>
      <w:r>
        <w:rPr/>
        <w:t>pilot</w:t>
      </w:r>
      <w:r>
        <w:rPr>
          <w:spacing w:val="-15"/>
        </w:rPr>
        <w:t> </w:t>
      </w:r>
      <w:r>
        <w:rPr/>
        <w:t>project.</w:t>
      </w:r>
    </w:p>
    <w:p>
      <w:pPr>
        <w:pStyle w:val="BodyText"/>
        <w:spacing w:before="3"/>
        <w:rPr>
          <w:sz w:val="19"/>
        </w:rPr>
      </w:pPr>
    </w:p>
    <w:p>
      <w:pPr>
        <w:pStyle w:val="Heading7"/>
        <w:ind w:right="0"/>
      </w:pPr>
      <w:r>
        <w:rPr>
          <w:w w:val="95"/>
        </w:rPr>
        <w:t>GENERATIONS OF KNOWLEDGE PROJECT</w:t>
      </w:r>
    </w:p>
    <w:p>
      <w:pPr>
        <w:pStyle w:val="BodyText"/>
        <w:spacing w:line="247" w:lineRule="auto" w:before="57"/>
        <w:ind w:left="107" w:right="204"/>
      </w:pPr>
      <w:r>
        <w:rPr>
          <w:rFonts w:ascii="Century Gothic" w:hAnsi="Century Gothic"/>
          <w:i/>
        </w:rPr>
        <w:t>Too Dark To See </w:t>
      </w:r>
      <w:r>
        <w:rPr/>
        <w:t>is a production of the University’s Generations of Knowledge project, consisting of a documentary film, commemorative book and photographic exhibition at the Australian War Memorial, in partnership with the Department of Veterans’ Affairs.</w:t>
      </w:r>
    </w:p>
    <w:p>
      <w:pPr>
        <w:pStyle w:val="BodyText"/>
        <w:spacing w:before="4"/>
        <w:rPr>
          <w:sz w:val="19"/>
        </w:rPr>
      </w:pPr>
    </w:p>
    <w:p>
      <w:pPr>
        <w:pStyle w:val="Heading7"/>
        <w:spacing w:line="249" w:lineRule="auto" w:before="1"/>
        <w:ind w:right="643"/>
      </w:pPr>
      <w:r>
        <w:rPr/>
        <w:t>BADANAMI CENTRE FOR </w:t>
      </w:r>
      <w:r>
        <w:rPr>
          <w:w w:val="95"/>
        </w:rPr>
        <w:t>INDIGENOUS EDUCATION</w:t>
      </w:r>
    </w:p>
    <w:p>
      <w:pPr>
        <w:pStyle w:val="BodyText"/>
        <w:spacing w:line="249" w:lineRule="auto" w:before="50"/>
        <w:ind w:left="107"/>
      </w:pPr>
      <w:r>
        <w:rPr/>
        <w:t>The Badanami Centre for Indigenous Education (Badanami) provides culturally appropriate academic and pastoral support for Aboriginal and Torres Strait Islander students. Badanami achieves its aims by:</w:t>
      </w:r>
    </w:p>
    <w:p>
      <w:pPr>
        <w:pStyle w:val="BodyText"/>
        <w:spacing w:line="247" w:lineRule="auto" w:before="55"/>
        <w:ind w:left="305" w:right="30" w:hanging="199"/>
        <w:jc w:val="both"/>
      </w:pPr>
      <w:r>
        <w:rPr>
          <w:rFonts w:ascii="Century Gothic" w:hAnsi="Century Gothic"/>
          <w:b/>
          <w:w w:val="115"/>
        </w:rPr>
        <w:t>≥ </w:t>
      </w:r>
      <w:r>
        <w:rPr/>
        <w:t>providing effective advocacy and support, and</w:t>
      </w:r>
      <w:r>
        <w:rPr>
          <w:spacing w:val="-16"/>
        </w:rPr>
        <w:t> </w:t>
      </w:r>
      <w:r>
        <w:rPr/>
        <w:t>culturally</w:t>
      </w:r>
      <w:r>
        <w:rPr>
          <w:spacing w:val="-16"/>
        </w:rPr>
        <w:t> </w:t>
      </w:r>
      <w:r>
        <w:rPr/>
        <w:t>appropriate</w:t>
      </w:r>
      <w:r>
        <w:rPr>
          <w:spacing w:val="-16"/>
        </w:rPr>
        <w:t> </w:t>
      </w:r>
      <w:r>
        <w:rPr/>
        <w:t>and</w:t>
      </w:r>
      <w:r>
        <w:rPr>
          <w:spacing w:val="-16"/>
        </w:rPr>
        <w:t> </w:t>
      </w:r>
      <w:r>
        <w:rPr/>
        <w:t>safe</w:t>
      </w:r>
      <w:r>
        <w:rPr>
          <w:spacing w:val="-16"/>
        </w:rPr>
        <w:t> </w:t>
      </w:r>
      <w:r>
        <w:rPr/>
        <w:t>spaces for</w:t>
      </w:r>
      <w:r>
        <w:rPr>
          <w:spacing w:val="-20"/>
        </w:rPr>
        <w:t> </w:t>
      </w:r>
      <w:r>
        <w:rPr/>
        <w:t>learning,</w:t>
      </w:r>
      <w:r>
        <w:rPr>
          <w:spacing w:val="-20"/>
        </w:rPr>
        <w:t> </w:t>
      </w:r>
      <w:r>
        <w:rPr/>
        <w:t>study,</w:t>
      </w:r>
      <w:r>
        <w:rPr>
          <w:spacing w:val="-20"/>
        </w:rPr>
        <w:t> </w:t>
      </w:r>
      <w:r>
        <w:rPr/>
        <w:t>academic</w:t>
      </w:r>
      <w:r>
        <w:rPr>
          <w:spacing w:val="-20"/>
        </w:rPr>
        <w:t> </w:t>
      </w:r>
      <w:r>
        <w:rPr/>
        <w:t>guidance</w:t>
      </w:r>
      <w:r>
        <w:rPr>
          <w:spacing w:val="-20"/>
        </w:rPr>
        <w:t> </w:t>
      </w:r>
      <w:r>
        <w:rPr/>
        <w:t>and pastoral</w:t>
      </w:r>
      <w:r>
        <w:rPr>
          <w:spacing w:val="-19"/>
        </w:rPr>
        <w:t> </w:t>
      </w:r>
      <w:r>
        <w:rPr/>
        <w:t>care</w:t>
      </w:r>
    </w:p>
    <w:p>
      <w:pPr>
        <w:pStyle w:val="BodyText"/>
        <w:spacing w:before="8"/>
      </w:pPr>
      <w:r>
        <w:rPr/>
        <w:br w:type="column"/>
      </w:r>
      <w:r>
        <w:rPr/>
      </w:r>
    </w:p>
    <w:p>
      <w:pPr>
        <w:pStyle w:val="BodyText"/>
        <w:spacing w:line="247" w:lineRule="auto"/>
        <w:ind w:left="305" w:right="157" w:hanging="199"/>
      </w:pPr>
      <w:r>
        <w:rPr>
          <w:rFonts w:ascii="Century Gothic" w:hAnsi="Century Gothic"/>
          <w:b/>
          <w:w w:val="115"/>
        </w:rPr>
        <w:t>≥ </w:t>
      </w:r>
      <w:r>
        <w:rPr/>
        <w:t>providing places where students build cultural connections, strengthen cultural identity and develop a rich sense of belonging.</w:t>
      </w:r>
    </w:p>
    <w:p>
      <w:pPr>
        <w:pStyle w:val="BodyText"/>
        <w:spacing w:before="2"/>
        <w:rPr>
          <w:sz w:val="14"/>
        </w:rPr>
      </w:pPr>
    </w:p>
    <w:p>
      <w:pPr>
        <w:pStyle w:val="BodyText"/>
        <w:spacing w:line="249" w:lineRule="auto"/>
        <w:ind w:left="107" w:right="40"/>
      </w:pPr>
      <w:r>
        <w:rPr/>
        <w:t>Badanami coordinated a number of activities </w:t>
      </w:r>
      <w:r>
        <w:rPr>
          <w:w w:val="95"/>
        </w:rPr>
        <w:t>in </w:t>
      </w:r>
      <w:r>
        <w:rPr>
          <w:w w:val="85"/>
        </w:rPr>
        <w:t>2016, </w:t>
      </w:r>
      <w:r>
        <w:rPr>
          <w:w w:val="94"/>
        </w:rPr>
        <w:t>including:</w:t>
      </w:r>
    </w:p>
    <w:p>
      <w:pPr>
        <w:pStyle w:val="BodyText"/>
        <w:spacing w:line="247" w:lineRule="auto" w:before="55"/>
        <w:ind w:left="305" w:right="185" w:hanging="199"/>
      </w:pPr>
      <w:r>
        <w:rPr>
          <w:rFonts w:ascii="Century Gothic" w:hAnsi="Century Gothic"/>
          <w:b/>
          <w:w w:val="115"/>
        </w:rPr>
        <w:t>≥ </w:t>
      </w:r>
      <w:r>
        <w:rPr/>
        <w:t>administering Away from Base programs for two degrees: the Bachelor of Community and Social Development and</w:t>
      </w:r>
      <w:r>
        <w:rPr>
          <w:spacing w:val="-13"/>
        </w:rPr>
        <w:t> </w:t>
      </w:r>
      <w:r>
        <w:rPr/>
        <w:t>the</w:t>
      </w:r>
      <w:r>
        <w:rPr>
          <w:spacing w:val="-13"/>
        </w:rPr>
        <w:t> </w:t>
      </w:r>
      <w:r>
        <w:rPr/>
        <w:t>Bachelor</w:t>
      </w:r>
      <w:r>
        <w:rPr>
          <w:spacing w:val="-13"/>
        </w:rPr>
        <w:t> </w:t>
      </w:r>
      <w:r>
        <w:rPr/>
        <w:t>of</w:t>
      </w:r>
      <w:r>
        <w:rPr>
          <w:spacing w:val="-13"/>
        </w:rPr>
        <w:t> </w:t>
      </w:r>
      <w:r>
        <w:rPr/>
        <w:t>Education</w:t>
      </w:r>
      <w:r>
        <w:rPr>
          <w:spacing w:val="-13"/>
        </w:rPr>
        <w:t> </w:t>
      </w:r>
      <w:r>
        <w:rPr/>
        <w:t>(Primary) Aboriginal and Torres Strait Islander Education</w:t>
      </w:r>
    </w:p>
    <w:p>
      <w:pPr>
        <w:pStyle w:val="BodyText"/>
        <w:spacing w:line="244" w:lineRule="auto" w:before="57"/>
        <w:ind w:left="305" w:right="20" w:hanging="199"/>
      </w:pPr>
      <w:r>
        <w:rPr>
          <w:rFonts w:ascii="Century Gothic" w:hAnsi="Century Gothic"/>
          <w:b/>
          <w:w w:val="145"/>
        </w:rPr>
        <w:t>≥ </w:t>
      </w:r>
      <w:r>
        <w:rPr>
          <w:spacing w:val="1"/>
          <w:w w:val="97"/>
        </w:rPr>
        <w:t>funding</w:t>
      </w:r>
      <w:r>
        <w:rPr>
          <w:w w:val="97"/>
        </w:rPr>
        <w:t> </w:t>
      </w:r>
      <w:r>
        <w:rPr>
          <w:spacing w:val="2"/>
          <w:w w:val="82"/>
        </w:rPr>
        <w:t>10</w:t>
      </w:r>
      <w:r>
        <w:rPr>
          <w:w w:val="82"/>
        </w:rPr>
        <w:t> </w:t>
      </w:r>
      <w:r>
        <w:rPr>
          <w:spacing w:val="1"/>
          <w:w w:val="98"/>
        </w:rPr>
        <w:t>Bachelor</w:t>
      </w:r>
      <w:r>
        <w:rPr>
          <w:w w:val="98"/>
        </w:rPr>
        <w:t> </w:t>
      </w:r>
      <w:r>
        <w:rPr>
          <w:w w:val="99"/>
        </w:rPr>
        <w:t>of </w:t>
      </w:r>
      <w:r>
        <w:rPr>
          <w:spacing w:val="1"/>
          <w:w w:val="98"/>
        </w:rPr>
        <w:t>Education</w:t>
      </w:r>
      <w:r>
        <w:rPr>
          <w:spacing w:val="-21"/>
          <w:w w:val="98"/>
        </w:rPr>
        <w:t> </w:t>
      </w:r>
      <w:r>
        <w:rPr>
          <w:w w:val="97"/>
        </w:rPr>
        <w:t>(Primary) </w:t>
      </w:r>
      <w:r>
        <w:rPr/>
        <w:t>students</w:t>
      </w:r>
      <w:r>
        <w:rPr>
          <w:spacing w:val="-14"/>
        </w:rPr>
        <w:t> </w:t>
      </w:r>
      <w:r>
        <w:rPr/>
        <w:t>to</w:t>
      </w:r>
      <w:r>
        <w:rPr>
          <w:spacing w:val="-14"/>
        </w:rPr>
        <w:t> </w:t>
      </w:r>
      <w:r>
        <w:rPr/>
        <w:t>study</w:t>
      </w:r>
      <w:r>
        <w:rPr>
          <w:spacing w:val="-14"/>
        </w:rPr>
        <w:t> </w:t>
      </w:r>
      <w:r>
        <w:rPr/>
        <w:t>a</w:t>
      </w:r>
      <w:r>
        <w:rPr>
          <w:spacing w:val="-14"/>
        </w:rPr>
        <w:t> </w:t>
      </w:r>
      <w:r>
        <w:rPr/>
        <w:t>unit</w:t>
      </w:r>
      <w:r>
        <w:rPr>
          <w:spacing w:val="-14"/>
        </w:rPr>
        <w:t> </w:t>
      </w:r>
      <w:r>
        <w:rPr/>
        <w:t>in</w:t>
      </w:r>
      <w:r>
        <w:rPr>
          <w:spacing w:val="-14"/>
        </w:rPr>
        <w:t> </w:t>
      </w:r>
      <w:r>
        <w:rPr/>
        <w:t>British</w:t>
      </w:r>
      <w:r>
        <w:rPr>
          <w:spacing w:val="-14"/>
        </w:rPr>
        <w:t> </w:t>
      </w:r>
      <w:r>
        <w:rPr/>
        <w:t>Columbia</w:t>
      </w:r>
    </w:p>
    <w:p>
      <w:pPr>
        <w:pStyle w:val="BodyText"/>
        <w:spacing w:line="247" w:lineRule="auto" w:before="58"/>
        <w:ind w:left="305" w:right="102" w:hanging="199"/>
      </w:pPr>
      <w:r>
        <w:rPr>
          <w:rFonts w:ascii="Century Gothic" w:hAnsi="Century Gothic"/>
          <w:b/>
          <w:w w:val="115"/>
        </w:rPr>
        <w:t>≥ </w:t>
      </w:r>
      <w:r>
        <w:rPr/>
        <w:t>implementing the Tutoring for Success (TFS) program. The program provides free</w:t>
      </w:r>
      <w:r>
        <w:rPr>
          <w:spacing w:val="-14"/>
        </w:rPr>
        <w:t> </w:t>
      </w:r>
      <w:r>
        <w:rPr/>
        <w:t>tutorial</w:t>
      </w:r>
      <w:r>
        <w:rPr>
          <w:spacing w:val="-14"/>
        </w:rPr>
        <w:t> </w:t>
      </w:r>
      <w:r>
        <w:rPr/>
        <w:t>assistance</w:t>
      </w:r>
      <w:r>
        <w:rPr>
          <w:spacing w:val="-14"/>
        </w:rPr>
        <w:t> </w:t>
      </w:r>
      <w:r>
        <w:rPr/>
        <w:t>for</w:t>
      </w:r>
      <w:r>
        <w:rPr>
          <w:spacing w:val="-14"/>
        </w:rPr>
        <w:t> </w:t>
      </w:r>
      <w:r>
        <w:rPr/>
        <w:t>Aboriginal</w:t>
      </w:r>
      <w:r>
        <w:rPr>
          <w:spacing w:val="-14"/>
        </w:rPr>
        <w:t> </w:t>
      </w:r>
      <w:r>
        <w:rPr/>
        <w:t>and Torres</w:t>
      </w:r>
      <w:r>
        <w:rPr>
          <w:spacing w:val="-24"/>
        </w:rPr>
        <w:t> </w:t>
      </w:r>
      <w:r>
        <w:rPr/>
        <w:t>Strait</w:t>
      </w:r>
      <w:r>
        <w:rPr>
          <w:spacing w:val="-24"/>
        </w:rPr>
        <w:t> </w:t>
      </w:r>
      <w:r>
        <w:rPr/>
        <w:t>Islander</w:t>
      </w:r>
      <w:r>
        <w:rPr>
          <w:spacing w:val="-24"/>
        </w:rPr>
        <w:t> </w:t>
      </w:r>
      <w:r>
        <w:rPr/>
        <w:t>students</w:t>
      </w:r>
      <w:r>
        <w:rPr>
          <w:spacing w:val="-24"/>
        </w:rPr>
        <w:t> </w:t>
      </w:r>
      <w:r>
        <w:rPr/>
        <w:t>deemed</w:t>
      </w:r>
      <w:r>
        <w:rPr>
          <w:spacing w:val="-24"/>
        </w:rPr>
        <w:t> </w:t>
      </w:r>
      <w:r>
        <w:rPr/>
        <w:t>‘at</w:t>
      </w:r>
    </w:p>
    <w:p>
      <w:pPr>
        <w:pStyle w:val="BodyText"/>
        <w:spacing w:line="249" w:lineRule="auto" w:before="1"/>
        <w:ind w:left="305" w:right="20"/>
      </w:pPr>
      <w:r>
        <w:rPr/>
        <w:t>risk’</w:t>
      </w:r>
      <w:r>
        <w:rPr>
          <w:spacing w:val="-14"/>
        </w:rPr>
        <w:t> </w:t>
      </w:r>
      <w:r>
        <w:rPr/>
        <w:t>of</w:t>
      </w:r>
      <w:r>
        <w:rPr>
          <w:spacing w:val="-14"/>
        </w:rPr>
        <w:t> </w:t>
      </w:r>
      <w:r>
        <w:rPr/>
        <w:t>failing</w:t>
      </w:r>
      <w:r>
        <w:rPr>
          <w:spacing w:val="-14"/>
        </w:rPr>
        <w:t> </w:t>
      </w:r>
      <w:r>
        <w:rPr/>
        <w:t>units</w:t>
      </w:r>
      <w:r>
        <w:rPr>
          <w:spacing w:val="-14"/>
        </w:rPr>
        <w:t> </w:t>
      </w:r>
      <w:r>
        <w:rPr/>
        <w:t>of</w:t>
      </w:r>
      <w:r>
        <w:rPr>
          <w:spacing w:val="-14"/>
        </w:rPr>
        <w:t> </w:t>
      </w:r>
      <w:r>
        <w:rPr/>
        <w:t>study</w:t>
      </w:r>
      <w:r>
        <w:rPr>
          <w:spacing w:val="-14"/>
        </w:rPr>
        <w:t> </w:t>
      </w:r>
      <w:r>
        <w:rPr/>
        <w:t>or</w:t>
      </w:r>
      <w:r>
        <w:rPr>
          <w:spacing w:val="-14"/>
        </w:rPr>
        <w:t> </w:t>
      </w:r>
      <w:r>
        <w:rPr/>
        <w:t>other</w:t>
      </w:r>
      <w:r>
        <w:rPr>
          <w:spacing w:val="-14"/>
        </w:rPr>
        <w:t> </w:t>
      </w:r>
      <w:r>
        <w:rPr/>
        <w:t>course requirements. The number of students </w:t>
      </w:r>
      <w:r>
        <w:rPr>
          <w:spacing w:val="1"/>
          <w:w w:val="99"/>
        </w:rPr>
        <w:t>supported</w:t>
      </w:r>
      <w:r>
        <w:rPr>
          <w:spacing w:val="-9"/>
          <w:w w:val="99"/>
        </w:rPr>
        <w:t> </w:t>
      </w:r>
      <w:r>
        <w:rPr>
          <w:spacing w:val="-1"/>
          <w:w w:val="102"/>
        </w:rPr>
        <w:t>by</w:t>
      </w:r>
      <w:r>
        <w:rPr>
          <w:spacing w:val="-10"/>
          <w:w w:val="102"/>
        </w:rPr>
        <w:t> </w:t>
      </w:r>
      <w:r>
        <w:rPr>
          <w:w w:val="98"/>
        </w:rPr>
        <w:t>TFS</w:t>
      </w:r>
      <w:r>
        <w:rPr>
          <w:spacing w:val="-8"/>
          <w:w w:val="98"/>
        </w:rPr>
        <w:t> </w:t>
      </w:r>
      <w:r>
        <w:rPr>
          <w:spacing w:val="1"/>
          <w:w w:val="99"/>
        </w:rPr>
        <w:t>doubled</w:t>
      </w:r>
      <w:r>
        <w:rPr>
          <w:spacing w:val="-9"/>
          <w:w w:val="99"/>
        </w:rPr>
        <w:t> </w:t>
      </w:r>
      <w:r>
        <w:rPr>
          <w:spacing w:val="-1"/>
          <w:w w:val="101"/>
        </w:rPr>
        <w:t>to</w:t>
      </w:r>
      <w:r>
        <w:rPr>
          <w:spacing w:val="-10"/>
          <w:w w:val="101"/>
        </w:rPr>
        <w:t> </w:t>
      </w:r>
      <w:r>
        <w:rPr>
          <w:spacing w:val="2"/>
          <w:w w:val="99"/>
        </w:rPr>
        <w:t>220</w:t>
      </w:r>
      <w:r>
        <w:rPr>
          <w:spacing w:val="-9"/>
          <w:w w:val="99"/>
        </w:rPr>
        <w:t> </w:t>
      </w:r>
      <w:r>
        <w:rPr>
          <w:w w:val="95"/>
        </w:rPr>
        <w:t>in</w:t>
      </w:r>
      <w:r>
        <w:rPr>
          <w:spacing w:val="-7"/>
          <w:w w:val="95"/>
        </w:rPr>
        <w:t> </w:t>
      </w:r>
      <w:r>
        <w:rPr>
          <w:spacing w:val="2"/>
          <w:w w:val="85"/>
        </w:rPr>
        <w:t>2016.</w:t>
      </w:r>
    </w:p>
    <w:p>
      <w:pPr>
        <w:pStyle w:val="BodyText"/>
        <w:spacing w:before="3"/>
        <w:rPr>
          <w:sz w:val="19"/>
        </w:rPr>
      </w:pPr>
    </w:p>
    <w:p>
      <w:pPr>
        <w:pStyle w:val="Heading7"/>
        <w:spacing w:line="249" w:lineRule="auto"/>
        <w:ind w:right="317"/>
      </w:pPr>
      <w:r>
        <w:rPr>
          <w:w w:val="95"/>
        </w:rPr>
        <w:t>HIGHER EDUCATION PARTICIPATION AND PARTNERSHIPS PROGRAM</w:t>
      </w:r>
    </w:p>
    <w:p>
      <w:pPr>
        <w:pStyle w:val="BodyText"/>
        <w:spacing w:line="249" w:lineRule="auto" w:before="50"/>
        <w:ind w:left="107" w:right="-9"/>
      </w:pPr>
      <w:r>
        <w:rPr>
          <w:w w:val="97"/>
        </w:rPr>
        <w:t>During </w:t>
      </w:r>
      <w:r>
        <w:rPr>
          <w:w w:val="83"/>
        </w:rPr>
        <w:t>2013–16, </w:t>
      </w:r>
      <w:r>
        <w:rPr>
          <w:w w:val="97"/>
        </w:rPr>
        <w:t>the </w:t>
      </w:r>
      <w:r>
        <w:rPr>
          <w:w w:val="97"/>
        </w:rPr>
        <w:t>Higher </w:t>
      </w:r>
      <w:r>
        <w:rPr>
          <w:w w:val="98"/>
        </w:rPr>
        <w:t>Education </w:t>
      </w:r>
      <w:r>
        <w:rPr/>
        <w:t>Participation and Partnerships Program (HEPPP) received $3.6 million in funding to support nine projects run concurrently across </w:t>
      </w:r>
      <w:r>
        <w:rPr>
          <w:w w:val="97"/>
        </w:rPr>
        <w:t>the </w:t>
      </w:r>
      <w:r>
        <w:rPr>
          <w:w w:val="95"/>
        </w:rPr>
        <w:t>University. </w:t>
      </w:r>
      <w:r>
        <w:rPr>
          <w:w w:val="97"/>
        </w:rPr>
        <w:t>Highlights </w:t>
      </w:r>
      <w:r>
        <w:rPr>
          <w:w w:val="95"/>
        </w:rPr>
        <w:t>in </w:t>
      </w:r>
      <w:r>
        <w:rPr>
          <w:w w:val="90"/>
        </w:rPr>
        <w:t>2016 </w:t>
      </w:r>
      <w:r>
        <w:rPr>
          <w:w w:val="94"/>
        </w:rPr>
        <w:t>included:</w:t>
      </w:r>
    </w:p>
    <w:p>
      <w:pPr>
        <w:pStyle w:val="BodyText"/>
        <w:spacing w:line="247" w:lineRule="auto" w:before="55"/>
        <w:ind w:left="305" w:right="20" w:hanging="199"/>
      </w:pPr>
      <w:r>
        <w:rPr>
          <w:rFonts w:ascii="Century Gothic" w:hAnsi="Century Gothic"/>
          <w:b/>
          <w:w w:val="115"/>
        </w:rPr>
        <w:t>≥ </w:t>
      </w:r>
      <w:r>
        <w:rPr/>
        <w:t>First Aid to Medicine camps for 126 high school students from 42 schools. All participants gained their Senior First Aid Certificate</w:t>
      </w:r>
    </w:p>
    <w:p>
      <w:pPr>
        <w:pStyle w:val="BodyText"/>
        <w:spacing w:line="247" w:lineRule="auto" w:before="57"/>
        <w:ind w:left="305" w:right="28" w:hanging="199"/>
      </w:pPr>
      <w:r>
        <w:rPr>
          <w:rFonts w:ascii="Century Gothic" w:hAnsi="Century Gothic"/>
          <w:b/>
          <w:w w:val="115"/>
        </w:rPr>
        <w:t>≥ </w:t>
      </w:r>
      <w:r>
        <w:rPr/>
        <w:t>Books in Schools events, which attracted </w:t>
      </w:r>
      <w:r>
        <w:rPr>
          <w:w w:val="99"/>
        </w:rPr>
        <w:t>436 </w:t>
      </w:r>
      <w:r>
        <w:rPr>
          <w:w w:val="98"/>
        </w:rPr>
        <w:t>school </w:t>
      </w:r>
      <w:r>
        <w:rPr>
          <w:w w:val="97"/>
        </w:rPr>
        <w:t>students </w:t>
      </w:r>
      <w:r>
        <w:rPr>
          <w:w w:val="89"/>
        </w:rPr>
        <w:t>– </w:t>
      </w:r>
      <w:r>
        <w:rPr>
          <w:w w:val="87"/>
        </w:rPr>
        <w:t>1,740 </w:t>
      </w:r>
      <w:r>
        <w:rPr>
          <w:w w:val="99"/>
        </w:rPr>
        <w:t>books </w:t>
      </w:r>
      <w:r>
        <w:rPr>
          <w:w w:val="102"/>
        </w:rPr>
        <w:t>by </w:t>
      </w:r>
      <w:r>
        <w:rPr/>
        <w:t>Aboriginal authors and illustrators, and 22 teacher resources packs were distributed</w:t>
      </w:r>
    </w:p>
    <w:p>
      <w:pPr>
        <w:pStyle w:val="BodyText"/>
        <w:spacing w:line="247" w:lineRule="auto" w:before="57"/>
        <w:ind w:left="305" w:right="15" w:hanging="199"/>
        <w:jc w:val="both"/>
      </w:pPr>
      <w:r>
        <w:rPr>
          <w:rFonts w:ascii="Century Gothic" w:hAnsi="Century Gothic"/>
          <w:b/>
          <w:w w:val="115"/>
        </w:rPr>
        <w:t>≥</w:t>
      </w:r>
      <w:r>
        <w:rPr>
          <w:rFonts w:ascii="Century Gothic" w:hAnsi="Century Gothic"/>
          <w:b/>
          <w:spacing w:val="22"/>
          <w:w w:val="115"/>
        </w:rPr>
        <w:t> </w:t>
      </w:r>
      <w:r>
        <w:rPr/>
        <w:t>five</w:t>
      </w:r>
      <w:r>
        <w:rPr>
          <w:spacing w:val="-11"/>
        </w:rPr>
        <w:t> </w:t>
      </w:r>
      <w:r>
        <w:rPr/>
        <w:t>Fields</w:t>
      </w:r>
      <w:r>
        <w:rPr>
          <w:spacing w:val="-11"/>
        </w:rPr>
        <w:t> </w:t>
      </w:r>
      <w:r>
        <w:rPr/>
        <w:t>of</w:t>
      </w:r>
      <w:r>
        <w:rPr>
          <w:spacing w:val="-11"/>
        </w:rPr>
        <w:t> </w:t>
      </w:r>
      <w:r>
        <w:rPr/>
        <w:t>Dreams</w:t>
      </w:r>
      <w:r>
        <w:rPr>
          <w:spacing w:val="-11"/>
        </w:rPr>
        <w:t> </w:t>
      </w:r>
      <w:r>
        <w:rPr/>
        <w:t>camps</w:t>
      </w:r>
      <w:r>
        <w:rPr>
          <w:spacing w:val="-11"/>
        </w:rPr>
        <w:t> </w:t>
      </w:r>
      <w:r>
        <w:rPr/>
        <w:t>for</w:t>
      </w:r>
      <w:r>
        <w:rPr>
          <w:spacing w:val="-11"/>
        </w:rPr>
        <w:t> </w:t>
      </w:r>
      <w:r>
        <w:rPr/>
        <w:t>high</w:t>
      </w:r>
      <w:r>
        <w:rPr>
          <w:spacing w:val="-11"/>
        </w:rPr>
        <w:t> </w:t>
      </w:r>
      <w:r>
        <w:rPr/>
        <w:t>school </w:t>
      </w:r>
      <w:r>
        <w:rPr>
          <w:spacing w:val="1"/>
          <w:w w:val="97"/>
        </w:rPr>
        <w:t>students</w:t>
      </w:r>
      <w:r>
        <w:rPr>
          <w:w w:val="97"/>
        </w:rPr>
        <w:t> </w:t>
      </w:r>
      <w:r>
        <w:rPr>
          <w:w w:val="89"/>
        </w:rPr>
        <w:t>– </w:t>
      </w:r>
      <w:r>
        <w:rPr>
          <w:spacing w:val="1"/>
          <w:w w:val="106"/>
        </w:rPr>
        <w:t>60</w:t>
      </w:r>
      <w:r>
        <w:rPr>
          <w:w w:val="106"/>
        </w:rPr>
        <w:t> </w:t>
      </w:r>
      <w:r>
        <w:rPr>
          <w:spacing w:val="1"/>
          <w:w w:val="97"/>
        </w:rPr>
        <w:t>per</w:t>
      </w:r>
      <w:r>
        <w:rPr>
          <w:w w:val="97"/>
        </w:rPr>
        <w:t> </w:t>
      </w:r>
      <w:r>
        <w:rPr>
          <w:w w:val="99"/>
        </w:rPr>
        <w:t>cent </w:t>
      </w:r>
      <w:r>
        <w:rPr>
          <w:w w:val="99"/>
        </w:rPr>
        <w:t>of </w:t>
      </w:r>
      <w:r>
        <w:rPr>
          <w:spacing w:val="1"/>
          <w:w w:val="88"/>
        </w:rPr>
        <w:t>2015</w:t>
      </w:r>
      <w:r>
        <w:rPr>
          <w:w w:val="88"/>
        </w:rPr>
        <w:t> </w:t>
      </w:r>
      <w:r>
        <w:rPr>
          <w:spacing w:val="1"/>
          <w:w w:val="98"/>
        </w:rPr>
        <w:t>participants</w:t>
      </w:r>
      <w:r>
        <w:rPr>
          <w:w w:val="98"/>
        </w:rPr>
        <w:t> </w:t>
      </w:r>
      <w:r>
        <w:rPr>
          <w:spacing w:val="1"/>
          <w:w w:val="97"/>
        </w:rPr>
        <w:t>transitioned</w:t>
      </w:r>
      <w:r>
        <w:rPr>
          <w:w w:val="97"/>
        </w:rPr>
        <w:t> </w:t>
      </w:r>
      <w:r>
        <w:rPr>
          <w:spacing w:val="-1"/>
          <w:w w:val="101"/>
        </w:rPr>
        <w:t>to</w:t>
      </w:r>
      <w:r>
        <w:rPr>
          <w:w w:val="101"/>
        </w:rPr>
        <w:t> </w:t>
      </w:r>
      <w:r>
        <w:rPr>
          <w:w w:val="97"/>
        </w:rPr>
        <w:t>university </w:t>
      </w:r>
      <w:r>
        <w:rPr>
          <w:w w:val="95"/>
        </w:rPr>
        <w:t>in</w:t>
      </w:r>
      <w:r>
        <w:rPr>
          <w:spacing w:val="-30"/>
          <w:w w:val="95"/>
        </w:rPr>
        <w:t> </w:t>
      </w:r>
      <w:r>
        <w:rPr>
          <w:spacing w:val="1"/>
          <w:w w:val="90"/>
        </w:rPr>
        <w:t>2016</w:t>
      </w:r>
    </w:p>
    <w:p>
      <w:pPr>
        <w:pStyle w:val="BodyText"/>
        <w:spacing w:line="247" w:lineRule="auto" w:before="57"/>
        <w:ind w:left="305" w:right="-2" w:hanging="199"/>
      </w:pPr>
      <w:r>
        <w:rPr>
          <w:rFonts w:ascii="Century Gothic" w:hAnsi="Century Gothic"/>
          <w:b/>
          <w:w w:val="115"/>
        </w:rPr>
        <w:t>≥</w:t>
      </w:r>
      <w:r>
        <w:rPr>
          <w:rFonts w:ascii="Century Gothic" w:hAnsi="Century Gothic"/>
          <w:b/>
          <w:spacing w:val="21"/>
          <w:w w:val="115"/>
        </w:rPr>
        <w:t> </w:t>
      </w:r>
      <w:r>
        <w:rPr/>
        <w:t>schools</w:t>
      </w:r>
      <w:r>
        <w:rPr>
          <w:spacing w:val="-11"/>
        </w:rPr>
        <w:t> </w:t>
      </w:r>
      <w:r>
        <w:rPr/>
        <w:t>in</w:t>
      </w:r>
      <w:r>
        <w:rPr>
          <w:spacing w:val="-11"/>
        </w:rPr>
        <w:t> </w:t>
      </w:r>
      <w:r>
        <w:rPr/>
        <w:t>the</w:t>
      </w:r>
      <w:r>
        <w:rPr>
          <w:spacing w:val="-11"/>
        </w:rPr>
        <w:t> </w:t>
      </w:r>
      <w:r>
        <w:rPr/>
        <w:t>Lithgow</w:t>
      </w:r>
      <w:r>
        <w:rPr>
          <w:spacing w:val="-11"/>
        </w:rPr>
        <w:t> </w:t>
      </w:r>
      <w:r>
        <w:rPr/>
        <w:t>area</w:t>
      </w:r>
      <w:r>
        <w:rPr>
          <w:spacing w:val="-11"/>
        </w:rPr>
        <w:t> </w:t>
      </w:r>
      <w:r>
        <w:rPr/>
        <w:t>using</w:t>
      </w:r>
      <w:r>
        <w:rPr>
          <w:spacing w:val="-11"/>
        </w:rPr>
        <w:t> </w:t>
      </w:r>
      <w:r>
        <w:rPr/>
        <w:t>a</w:t>
      </w:r>
      <w:r>
        <w:rPr>
          <w:spacing w:val="-11"/>
        </w:rPr>
        <w:t> </w:t>
      </w:r>
      <w:r>
        <w:rPr/>
        <w:t>robotics </w:t>
      </w:r>
      <w:r>
        <w:rPr>
          <w:spacing w:val="1"/>
          <w:w w:val="96"/>
        </w:rPr>
        <w:t>resources</w:t>
      </w:r>
      <w:r>
        <w:rPr>
          <w:w w:val="96"/>
        </w:rPr>
        <w:t> </w:t>
      </w:r>
      <w:r>
        <w:rPr>
          <w:w w:val="98"/>
        </w:rPr>
        <w:t>kit </w:t>
      </w:r>
      <w:r>
        <w:rPr>
          <w:w w:val="99"/>
        </w:rPr>
        <w:t>of </w:t>
      </w:r>
      <w:r>
        <w:rPr>
          <w:spacing w:val="1"/>
          <w:w w:val="102"/>
        </w:rPr>
        <w:t>30</w:t>
      </w:r>
      <w:r>
        <w:rPr>
          <w:w w:val="102"/>
        </w:rPr>
        <w:t> </w:t>
      </w:r>
      <w:r>
        <w:rPr>
          <w:spacing w:val="1"/>
          <w:w w:val="99"/>
        </w:rPr>
        <w:t>robots</w:t>
      </w:r>
      <w:r>
        <w:rPr>
          <w:w w:val="99"/>
        </w:rPr>
        <w:t> </w:t>
      </w:r>
      <w:r>
        <w:rPr>
          <w:spacing w:val="1"/>
          <w:w w:val="97"/>
        </w:rPr>
        <w:t>and</w:t>
      </w:r>
      <w:r>
        <w:rPr>
          <w:w w:val="97"/>
        </w:rPr>
        <w:t> </w:t>
      </w:r>
      <w:r>
        <w:rPr>
          <w:spacing w:val="2"/>
          <w:w w:val="82"/>
        </w:rPr>
        <w:t>10</w:t>
      </w:r>
      <w:r>
        <w:rPr>
          <w:w w:val="82"/>
        </w:rPr>
        <w:t> </w:t>
      </w:r>
      <w:r>
        <w:rPr>
          <w:spacing w:val="2"/>
          <w:w w:val="96"/>
        </w:rPr>
        <w:t>lesson</w:t>
      </w:r>
      <w:r>
        <w:rPr>
          <w:w w:val="96"/>
        </w:rPr>
        <w:t> </w:t>
      </w:r>
      <w:r>
        <w:rPr/>
        <w:t>plans linked to curriculum to increase interest</w:t>
      </w:r>
      <w:r>
        <w:rPr>
          <w:spacing w:val="-20"/>
        </w:rPr>
        <w:t> </w:t>
      </w:r>
      <w:r>
        <w:rPr/>
        <w:t>in</w:t>
      </w:r>
      <w:r>
        <w:rPr>
          <w:spacing w:val="-20"/>
        </w:rPr>
        <w:t> </w:t>
      </w:r>
      <w:r>
        <w:rPr/>
        <w:t>STEM</w:t>
      </w:r>
      <w:r>
        <w:rPr>
          <w:spacing w:val="-20"/>
        </w:rPr>
        <w:t> </w:t>
      </w:r>
      <w:r>
        <w:rPr/>
        <w:t>subjects</w:t>
      </w:r>
    </w:p>
    <w:p>
      <w:pPr>
        <w:pStyle w:val="BodyText"/>
        <w:spacing w:line="247" w:lineRule="auto" w:before="57"/>
        <w:ind w:left="305" w:right="-2" w:hanging="199"/>
      </w:pPr>
      <w:r>
        <w:rPr>
          <w:rFonts w:ascii="Century Gothic" w:hAnsi="Century Gothic"/>
          <w:b/>
          <w:w w:val="115"/>
        </w:rPr>
        <w:t>≥ </w:t>
      </w:r>
      <w:r>
        <w:rPr/>
        <w:t>the launch of a Transition to Employment pilot program to support Aboriginal and Torres Strait Islander high school leavers, prospective trainees, cadets, and current University and TAFE students transitioning to tertiary study and employment. Of the pilot participants, five transitioned into the</w:t>
      </w:r>
    </w:p>
    <w:p>
      <w:pPr>
        <w:pStyle w:val="BodyText"/>
        <w:spacing w:before="9"/>
      </w:pPr>
      <w:r>
        <w:rPr/>
        <w:br w:type="column"/>
      </w:r>
      <w:r>
        <w:rPr/>
      </w:r>
    </w:p>
    <w:p>
      <w:pPr>
        <w:pStyle w:val="BodyText"/>
        <w:spacing w:line="249" w:lineRule="auto"/>
        <w:ind w:left="305" w:right="49"/>
      </w:pPr>
      <w:r>
        <w:rPr/>
        <w:t>Badanami Tertiary Entry Program, four into The College and University courses, and eight into entry-level employment.</w:t>
      </w:r>
    </w:p>
    <w:p>
      <w:pPr>
        <w:pStyle w:val="BodyText"/>
        <w:spacing w:before="3"/>
        <w:rPr>
          <w:sz w:val="19"/>
        </w:rPr>
      </w:pPr>
    </w:p>
    <w:p>
      <w:pPr>
        <w:pStyle w:val="Heading7"/>
        <w:ind w:right="0"/>
      </w:pPr>
      <w:r>
        <w:rPr>
          <w:w w:val="95"/>
        </w:rPr>
        <w:t>RESEARCH AUDIT</w:t>
      </w:r>
    </w:p>
    <w:p>
      <w:pPr>
        <w:pStyle w:val="BodyText"/>
        <w:spacing w:line="249" w:lineRule="auto" w:before="58"/>
        <w:ind w:left="107" w:right="65"/>
      </w:pPr>
      <w:r>
        <w:rPr/>
        <w:t>The audit of Aboriginal and Torres Strait Islander research conducted at the University drew on REDI and Library data from staff and higher degree research enrolments during </w:t>
      </w:r>
      <w:r>
        <w:rPr>
          <w:w w:val="77"/>
        </w:rPr>
        <w:t>2011–15. </w:t>
      </w:r>
      <w:r>
        <w:rPr>
          <w:w w:val="97"/>
        </w:rPr>
        <w:t>More </w:t>
      </w:r>
      <w:r>
        <w:rPr>
          <w:w w:val="97"/>
        </w:rPr>
        <w:t>than </w:t>
      </w:r>
      <w:r>
        <w:rPr>
          <w:w w:val="92"/>
        </w:rPr>
        <w:t>100 </w:t>
      </w:r>
      <w:r>
        <w:rPr>
          <w:w w:val="96"/>
        </w:rPr>
        <w:t>researchers </w:t>
      </w:r>
      <w:r>
        <w:rPr>
          <w:w w:val="95"/>
        </w:rPr>
        <w:t>in </w:t>
      </w:r>
      <w:r>
        <w:rPr>
          <w:w w:val="95"/>
        </w:rPr>
        <w:t>all </w:t>
      </w:r>
      <w:r>
        <w:rPr/>
        <w:t>Schools and Research Institutes produced books, journal articles, book chapters, refereed conference papers, research reports and other research outputs with an Aboriginal and Torres Strait Islander focus. The audit identified five research themes, which were:</w:t>
      </w:r>
    </w:p>
    <w:p>
      <w:pPr>
        <w:pStyle w:val="BodyText"/>
        <w:spacing w:line="244" w:lineRule="auto" w:before="55"/>
        <w:ind w:left="305" w:right="674" w:hanging="199"/>
      </w:pPr>
      <w:r>
        <w:rPr>
          <w:rFonts w:ascii="Century Gothic" w:hAnsi="Century Gothic"/>
          <w:b/>
          <w:w w:val="115"/>
        </w:rPr>
        <w:t>≥</w:t>
      </w:r>
      <w:r>
        <w:rPr>
          <w:rFonts w:ascii="Century Gothic" w:hAnsi="Century Gothic"/>
          <w:b/>
          <w:spacing w:val="-18"/>
          <w:w w:val="115"/>
        </w:rPr>
        <w:t> </w:t>
      </w:r>
      <w:r>
        <w:rPr>
          <w:w w:val="105"/>
        </w:rPr>
        <w:t>culture,</w:t>
      </w:r>
      <w:r>
        <w:rPr>
          <w:spacing w:val="-35"/>
          <w:w w:val="105"/>
        </w:rPr>
        <w:t> </w:t>
      </w:r>
      <w:r>
        <w:rPr>
          <w:w w:val="105"/>
        </w:rPr>
        <w:t>community</w:t>
      </w:r>
      <w:r>
        <w:rPr>
          <w:spacing w:val="-35"/>
          <w:w w:val="105"/>
        </w:rPr>
        <w:t> </w:t>
      </w:r>
      <w:r>
        <w:rPr>
          <w:w w:val="105"/>
        </w:rPr>
        <w:t>and</w:t>
      </w:r>
      <w:r>
        <w:rPr>
          <w:spacing w:val="-35"/>
          <w:w w:val="105"/>
        </w:rPr>
        <w:t> </w:t>
      </w:r>
      <w:r>
        <w:rPr>
          <w:w w:val="105"/>
        </w:rPr>
        <w:t>knowledge practices</w:t>
      </w:r>
    </w:p>
    <w:p>
      <w:pPr>
        <w:pStyle w:val="BodyText"/>
        <w:spacing w:line="244" w:lineRule="auto" w:before="58"/>
        <w:ind w:left="305" w:right="111" w:hanging="199"/>
      </w:pPr>
      <w:r>
        <w:rPr>
          <w:rFonts w:ascii="Century Gothic" w:hAnsi="Century Gothic"/>
          <w:b/>
          <w:w w:val="115"/>
        </w:rPr>
        <w:t>≥ </w:t>
      </w:r>
      <w:r>
        <w:rPr/>
        <w:t>economy, law, business and entrepreneurship</w:t>
      </w:r>
    </w:p>
    <w:p>
      <w:pPr>
        <w:pStyle w:val="BodyText"/>
        <w:spacing w:before="58"/>
        <w:ind w:left="107"/>
      </w:pPr>
      <w:r>
        <w:rPr>
          <w:rFonts w:ascii="Century Gothic" w:hAnsi="Century Gothic"/>
          <w:b/>
          <w:w w:val="115"/>
        </w:rPr>
        <w:t>≥ </w:t>
      </w:r>
      <w:r>
        <w:rPr>
          <w:w w:val="105"/>
        </w:rPr>
        <w:t>education, learning and language</w:t>
      </w:r>
    </w:p>
    <w:p>
      <w:pPr>
        <w:pStyle w:val="BodyText"/>
        <w:spacing w:before="60"/>
        <w:ind w:left="107"/>
      </w:pPr>
      <w:r>
        <w:rPr>
          <w:rFonts w:ascii="Century Gothic" w:hAnsi="Century Gothic"/>
          <w:b/>
          <w:w w:val="105"/>
        </w:rPr>
        <w:t>≥ </w:t>
      </w:r>
      <w:r>
        <w:rPr>
          <w:w w:val="105"/>
        </w:rPr>
        <w:t>environment and place</w:t>
      </w:r>
    </w:p>
    <w:p>
      <w:pPr>
        <w:pStyle w:val="BodyText"/>
        <w:spacing w:before="60"/>
        <w:ind w:left="107"/>
      </w:pPr>
      <w:r>
        <w:rPr>
          <w:rFonts w:ascii="Century Gothic" w:hAnsi="Century Gothic"/>
          <w:b/>
          <w:w w:val="105"/>
        </w:rPr>
        <w:t>≥ </w:t>
      </w:r>
      <w:r>
        <w:rPr>
          <w:w w:val="105"/>
        </w:rPr>
        <w:t>wellbeing and health.</w:t>
      </w:r>
    </w:p>
    <w:p>
      <w:pPr>
        <w:pStyle w:val="BodyText"/>
        <w:spacing w:before="8"/>
        <w:rPr>
          <w:sz w:val="19"/>
        </w:rPr>
      </w:pPr>
    </w:p>
    <w:p>
      <w:pPr>
        <w:pStyle w:val="Heading7"/>
        <w:ind w:right="0"/>
      </w:pPr>
      <w:r>
        <w:rPr>
          <w:w w:val="95"/>
        </w:rPr>
        <w:t>HONOURING OUR SONGLINES SYMPOSIUM</w:t>
      </w:r>
    </w:p>
    <w:p>
      <w:pPr>
        <w:pStyle w:val="BodyText"/>
        <w:spacing w:line="249" w:lineRule="auto" w:before="58"/>
        <w:ind w:left="107" w:right="186"/>
      </w:pPr>
      <w:r>
        <w:rPr/>
        <w:t>The ‘Honouring Our Songlines: Research Data and the Living Narrative’ symposium explored</w:t>
      </w:r>
      <w:r>
        <w:rPr>
          <w:spacing w:val="-20"/>
        </w:rPr>
        <w:t> </w:t>
      </w:r>
      <w:r>
        <w:rPr/>
        <w:t>Aboriginal</w:t>
      </w:r>
      <w:r>
        <w:rPr>
          <w:spacing w:val="-20"/>
        </w:rPr>
        <w:t> </w:t>
      </w:r>
      <w:r>
        <w:rPr/>
        <w:t>and</w:t>
      </w:r>
      <w:r>
        <w:rPr>
          <w:spacing w:val="-20"/>
        </w:rPr>
        <w:t> </w:t>
      </w:r>
      <w:r>
        <w:rPr/>
        <w:t>Torres</w:t>
      </w:r>
      <w:r>
        <w:rPr>
          <w:spacing w:val="-20"/>
        </w:rPr>
        <w:t> </w:t>
      </w:r>
      <w:r>
        <w:rPr/>
        <w:t>Strait</w:t>
      </w:r>
      <w:r>
        <w:rPr>
          <w:spacing w:val="-20"/>
        </w:rPr>
        <w:t> </w:t>
      </w:r>
      <w:r>
        <w:rPr/>
        <w:t>Islander peoples’ perspectives on knowledge and data</w:t>
      </w:r>
      <w:r>
        <w:rPr>
          <w:spacing w:val="-19"/>
        </w:rPr>
        <w:t> </w:t>
      </w:r>
      <w:r>
        <w:rPr/>
        <w:t>management</w:t>
      </w:r>
      <w:r>
        <w:rPr>
          <w:spacing w:val="-19"/>
        </w:rPr>
        <w:t> </w:t>
      </w:r>
      <w:r>
        <w:rPr/>
        <w:t>in</w:t>
      </w:r>
      <w:r>
        <w:rPr>
          <w:spacing w:val="-19"/>
        </w:rPr>
        <w:t> </w:t>
      </w:r>
      <w:r>
        <w:rPr/>
        <w:t>the</w:t>
      </w:r>
      <w:r>
        <w:rPr>
          <w:spacing w:val="-19"/>
        </w:rPr>
        <w:t> </w:t>
      </w:r>
      <w:r>
        <w:rPr/>
        <w:t>University</w:t>
      </w:r>
      <w:r>
        <w:rPr>
          <w:spacing w:val="-19"/>
        </w:rPr>
        <w:t> </w:t>
      </w:r>
      <w:r>
        <w:rPr/>
        <w:t>context.</w:t>
      </w:r>
    </w:p>
    <w:p>
      <w:pPr>
        <w:spacing w:after="0" w:line="249" w:lineRule="auto"/>
        <w:sectPr>
          <w:type w:val="continuous"/>
          <w:pgSz w:w="11910" w:h="16840"/>
          <w:pgMar w:top="1580" w:bottom="280" w:left="800" w:right="800"/>
          <w:cols w:num="3" w:equalWidth="0">
            <w:col w:w="3302" w:space="137"/>
            <w:col w:w="3317" w:space="122"/>
            <w:col w:w="3432"/>
          </w:cols>
        </w:sectPr>
      </w:pPr>
    </w:p>
    <w:p>
      <w:pPr>
        <w:pStyle w:val="BodyText"/>
        <w:rPr>
          <w:sz w:val="20"/>
        </w:rPr>
      </w:pPr>
      <w:r>
        <w:rPr/>
        <w:pict>
          <v:shape style="position:absolute;margin-left:0pt;margin-top:.000015pt;width:595.3pt;height:841.9pt;mso-position-horizontal-relative:page;mso-position-vertical-relative:page;z-index:-336088" type="#_x0000_t202" filled="false" stroked="false">
            <v:textbox inset="0,0,0,0">
              <w:txbxContent>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spacing w:before="6"/>
                    <w:rPr>
                      <w:rFonts w:ascii="Gotham Narrow Book"/>
                      <w:b w:val="0"/>
                      <w:sz w:val="9"/>
                    </w:rPr>
                  </w:pPr>
                </w:p>
                <w:p>
                  <w:pPr>
                    <w:spacing w:before="0"/>
                    <w:ind w:left="0" w:right="905" w:firstLine="0"/>
                    <w:jc w:val="right"/>
                    <w:rPr>
                      <w:rFonts w:ascii="Gotham Narrow Book"/>
                      <w:b w:val="0"/>
                      <w:sz w:val="13"/>
                    </w:rPr>
                  </w:pPr>
                  <w:r>
                    <w:rPr>
                      <w:rFonts w:ascii="Gotham Narrow Book"/>
                      <w:b w:val="0"/>
                      <w:sz w:val="13"/>
                    </w:rPr>
                    <w:t>ANNUAL REPORT 2016</w:t>
                  </w: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spacing w:before="12"/>
                    <w:rPr>
                      <w:rFonts w:ascii="Gotham Narrow Book"/>
                      <w:b w:val="0"/>
                      <w:sz w:val="14"/>
                    </w:rPr>
                  </w:pPr>
                </w:p>
                <w:p>
                  <w:pPr>
                    <w:tabs>
                      <w:tab w:pos="11002" w:val="right" w:leader="none"/>
                    </w:tabs>
                    <w:spacing w:before="0"/>
                    <w:ind w:left="907" w:right="0" w:firstLine="0"/>
                    <w:jc w:val="left"/>
                    <w:rPr>
                      <w:rFonts w:ascii="Gotham Narrow Book"/>
                      <w:b w:val="0"/>
                      <w:sz w:val="13"/>
                    </w:rPr>
                  </w:pPr>
                  <w:r>
                    <w:rPr>
                      <w:rFonts w:ascii="Gotham Narrow Book"/>
                      <w:b w:val="0"/>
                      <w:sz w:val="13"/>
                    </w:rPr>
                    <w:t>westernsydney.edu.au</w:t>
                    <w:tab/>
                  </w:r>
                  <w:r>
                    <w:rPr>
                      <w:rFonts w:ascii="Gotham Narrow Book"/>
                      <w:b w:val="0"/>
                      <w:spacing w:val="4"/>
                      <w:sz w:val="13"/>
                    </w:rPr>
                    <w:t>21</w:t>
                  </w:r>
                </w:p>
              </w:txbxContent>
            </v:textbox>
            <w10:wrap type="none"/>
          </v:shape>
        </w:pict>
      </w:r>
      <w:r>
        <w:rPr/>
        <w:drawing>
          <wp:anchor distT="0" distB="0" distL="0" distR="0" allowOverlap="1" layoutInCell="1" locked="0" behindDoc="1" simplePos="0" relativeHeight="268099391">
            <wp:simplePos x="0" y="0"/>
            <wp:positionH relativeFrom="page">
              <wp:posOffset>0</wp:posOffset>
            </wp:positionH>
            <wp:positionV relativeFrom="page">
              <wp:posOffset>0</wp:posOffset>
            </wp:positionV>
            <wp:extent cx="7559992" cy="10692003"/>
            <wp:effectExtent l="0" t="0" r="0" b="0"/>
            <wp:wrapNone/>
            <wp:docPr id="5" name="image26.png" descr=""/>
            <wp:cNvGraphicFramePr>
              <a:graphicFrameLocks noChangeAspect="1"/>
            </wp:cNvGraphicFramePr>
            <a:graphic>
              <a:graphicData uri="http://schemas.openxmlformats.org/drawingml/2006/picture">
                <pic:pic>
                  <pic:nvPicPr>
                    <pic:cNvPr id="6" name="image26.png"/>
                    <pic:cNvPicPr/>
                  </pic:nvPicPr>
                  <pic:blipFill>
                    <a:blip r:embed="rId41" cstate="print"/>
                    <a:stretch>
                      <a:fillRect/>
                    </a:stretch>
                  </pic:blipFill>
                  <pic:spPr>
                    <a:xfrm>
                      <a:off x="0" y="0"/>
                      <a:ext cx="7559992" cy="1069200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BodyText"/>
        <w:spacing w:line="249" w:lineRule="auto" w:before="76"/>
        <w:ind w:left="107" w:right="7090"/>
        <w:rPr>
          <w:rFonts w:ascii="Gotham Narrow Book" w:hAnsi="Gotham Narrow Book"/>
          <w:b w:val="0"/>
        </w:rPr>
      </w:pPr>
      <w:r>
        <w:rPr>
          <w:rFonts w:ascii="Gotham Narrow Book" w:hAnsi="Gotham Narrow Book"/>
          <w:b w:val="0"/>
          <w:color w:val="FFFFFF"/>
        </w:rPr>
        <w:t>Western Sydney University’s new flagship campus at</w:t>
      </w:r>
    </w:p>
    <w:p>
      <w:pPr>
        <w:pStyle w:val="BodyText"/>
        <w:ind w:left="107" w:right="5400"/>
        <w:rPr>
          <w:rFonts w:ascii="Gotham Narrow Book"/>
          <w:b w:val="0"/>
        </w:rPr>
      </w:pPr>
      <w:r>
        <w:rPr>
          <w:rFonts w:ascii="Gotham Narrow Book"/>
          <w:b w:val="0"/>
          <w:color w:val="FFFFFF"/>
        </w:rPr>
        <w:t>169 Macquarie Street,  Parramatta</w:t>
      </w:r>
    </w:p>
    <w:p>
      <w:pPr>
        <w:spacing w:after="0"/>
        <w:rPr>
          <w:rFonts w:ascii="Gotham Narrow Book"/>
        </w:rPr>
        <w:sectPr>
          <w:headerReference w:type="default" r:id="rId39"/>
          <w:footerReference w:type="default" r:id="rId40"/>
          <w:pgSz w:w="11910" w:h="16840"/>
          <w:pgMar w:header="0" w:footer="0" w:top="1580" w:bottom="280" w:left="800" w:right="1680"/>
        </w:sectPr>
      </w:pPr>
    </w:p>
    <w:p>
      <w:pPr>
        <w:pStyle w:val="BodyText"/>
        <w:spacing w:before="11"/>
        <w:rPr>
          <w:rFonts w:ascii="Gotham Narrow Book"/>
          <w:b w:val="0"/>
          <w:sz w:val="28"/>
        </w:rPr>
      </w:pPr>
    </w:p>
    <w:p>
      <w:pPr>
        <w:pStyle w:val="Heading2"/>
        <w:rPr>
          <w:b w:val="0"/>
        </w:rPr>
      </w:pPr>
      <w:bookmarkStart w:name="_TOC_250041" w:id="13"/>
      <w:bookmarkEnd w:id="13"/>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headerReference w:type="even" r:id="rId42"/>
          <w:headerReference w:type="default" r:id="rId43"/>
          <w:footerReference w:type="even" r:id="rId44"/>
          <w:footerReference w:type="default" r:id="rId45"/>
          <w:pgSz w:w="11910" w:h="16840"/>
          <w:pgMar w:header="496" w:footer="472" w:top="680" w:bottom="660" w:left="800" w:right="800"/>
          <w:pgNumType w:start="22"/>
        </w:sectPr>
      </w:pPr>
    </w:p>
    <w:p>
      <w:pPr>
        <w:pStyle w:val="Heading5"/>
        <w:spacing w:before="197"/>
        <w:ind w:right="6"/>
      </w:pPr>
      <w:bookmarkStart w:name="_TOC_250040" w:id="14"/>
      <w:bookmarkEnd w:id="14"/>
      <w:r>
        <w:rPr>
          <w:w w:val="95"/>
        </w:rPr>
        <w:t>SCHOOL OF BUSINESS</w:t>
      </w:r>
    </w:p>
    <w:p>
      <w:pPr>
        <w:pStyle w:val="Heading7"/>
        <w:spacing w:before="159"/>
        <w:ind w:right="6"/>
      </w:pPr>
      <w:r>
        <w:rPr/>
        <w:t>OVERVIEW</w:t>
      </w:r>
    </w:p>
    <w:p>
      <w:pPr>
        <w:pStyle w:val="BodyText"/>
        <w:spacing w:line="249" w:lineRule="auto" w:before="58"/>
        <w:ind w:left="107" w:right="6"/>
      </w:pPr>
      <w:r>
        <w:rPr>
          <w:w w:val="80"/>
        </w:rPr>
        <w:t>In </w:t>
      </w:r>
      <w:r>
        <w:rPr>
          <w:w w:val="85"/>
        </w:rPr>
        <w:t>2016, </w:t>
      </w:r>
      <w:r>
        <w:rPr>
          <w:w w:val="97"/>
        </w:rPr>
        <w:t>the </w:t>
      </w:r>
      <w:r>
        <w:rPr>
          <w:w w:val="98"/>
        </w:rPr>
        <w:t>School </w:t>
      </w:r>
      <w:r>
        <w:rPr>
          <w:w w:val="99"/>
        </w:rPr>
        <w:t>of </w:t>
      </w:r>
      <w:r>
        <w:rPr>
          <w:w w:val="96"/>
        </w:rPr>
        <w:t>Business </w:t>
      </w:r>
      <w:r>
        <w:rPr>
          <w:w w:val="97"/>
        </w:rPr>
        <w:t>launched </w:t>
      </w:r>
      <w:r>
        <w:rPr>
          <w:w w:val="101"/>
        </w:rPr>
        <w:t>two </w:t>
      </w:r>
      <w:r>
        <w:rPr/>
        <w:t>new degrees – the Bachelor of Business and Bachelor of Accounting. It also redesigned the majority of its units to better fit the cutting-edge learning studios available from </w:t>
      </w:r>
      <w:r>
        <w:rPr>
          <w:w w:val="87"/>
        </w:rPr>
        <w:t>2017 </w:t>
      </w:r>
      <w:r>
        <w:rPr>
          <w:w w:val="98"/>
        </w:rPr>
        <w:t>at </w:t>
      </w:r>
      <w:r>
        <w:rPr>
          <w:w w:val="97"/>
        </w:rPr>
        <w:t>the </w:t>
      </w:r>
      <w:r>
        <w:rPr>
          <w:w w:val="97"/>
        </w:rPr>
        <w:t>new </w:t>
      </w:r>
      <w:r>
        <w:rPr>
          <w:w w:val="97"/>
        </w:rPr>
        <w:t>Parramatta </w:t>
      </w:r>
      <w:r>
        <w:rPr>
          <w:w w:val="100"/>
        </w:rPr>
        <w:t>City </w:t>
      </w:r>
      <w:r>
        <w:rPr>
          <w:w w:val="98"/>
        </w:rPr>
        <w:t>campus</w:t>
      </w:r>
    </w:p>
    <w:p>
      <w:pPr>
        <w:pStyle w:val="BodyText"/>
        <w:spacing w:line="249" w:lineRule="auto"/>
        <w:ind w:left="107"/>
      </w:pPr>
      <w:r>
        <w:rPr/>
        <w:t>and its ‘flipped classroom’ approach at the University’s other </w:t>
      </w:r>
      <w:r>
        <w:rPr>
          <w:spacing w:val="2"/>
        </w:rPr>
        <w:t>campuses. </w:t>
      </w:r>
      <w:r>
        <w:rPr/>
        <w:t>The School’s focus</w:t>
      </w:r>
      <w:r>
        <w:rPr>
          <w:spacing w:val="-15"/>
        </w:rPr>
        <w:t> </w:t>
      </w:r>
      <w:r>
        <w:rPr/>
        <w:t>continues</w:t>
      </w:r>
      <w:r>
        <w:rPr>
          <w:spacing w:val="-15"/>
        </w:rPr>
        <w:t> </w:t>
      </w:r>
      <w:r>
        <w:rPr/>
        <w:t>to</w:t>
      </w:r>
      <w:r>
        <w:rPr>
          <w:spacing w:val="-15"/>
        </w:rPr>
        <w:t> </w:t>
      </w:r>
      <w:r>
        <w:rPr/>
        <w:t>be</w:t>
      </w:r>
      <w:r>
        <w:rPr>
          <w:spacing w:val="-15"/>
        </w:rPr>
        <w:t> </w:t>
      </w:r>
      <w:r>
        <w:rPr/>
        <w:t>on</w:t>
      </w:r>
      <w:r>
        <w:rPr>
          <w:spacing w:val="-15"/>
        </w:rPr>
        <w:t> </w:t>
      </w:r>
      <w:r>
        <w:rPr/>
        <w:t>preparing</w:t>
      </w:r>
      <w:r>
        <w:rPr>
          <w:spacing w:val="-15"/>
        </w:rPr>
        <w:t> </w:t>
      </w:r>
      <w:r>
        <w:rPr/>
        <w:t>graduates to</w:t>
      </w:r>
      <w:r>
        <w:rPr>
          <w:spacing w:val="-23"/>
        </w:rPr>
        <w:t> </w:t>
      </w:r>
      <w:r>
        <w:rPr/>
        <w:t>be</w:t>
      </w:r>
      <w:r>
        <w:rPr>
          <w:spacing w:val="-23"/>
        </w:rPr>
        <w:t> </w:t>
      </w:r>
      <w:r>
        <w:rPr/>
        <w:t>work-ready.</w:t>
      </w:r>
    </w:p>
    <w:p>
      <w:pPr>
        <w:pStyle w:val="BodyText"/>
        <w:spacing w:before="3"/>
        <w:rPr>
          <w:sz w:val="19"/>
        </w:rPr>
      </w:pPr>
    </w:p>
    <w:p>
      <w:pPr>
        <w:pStyle w:val="Heading7"/>
        <w:ind w:right="6"/>
      </w:pPr>
      <w:r>
        <w:rPr>
          <w:w w:val="95"/>
        </w:rPr>
        <w:t>FINANCIAL SUSTAINABILITY</w:t>
      </w:r>
    </w:p>
    <w:p>
      <w:pPr>
        <w:pStyle w:val="BodyText"/>
        <w:spacing w:line="249" w:lineRule="auto" w:before="58"/>
        <w:ind w:left="107" w:right="55"/>
      </w:pPr>
      <w:r>
        <w:rPr/>
        <w:t>The School operated within a challenging </w:t>
      </w:r>
      <w:r>
        <w:rPr>
          <w:w w:val="96"/>
        </w:rPr>
        <w:t>financial </w:t>
      </w:r>
      <w:r>
        <w:rPr>
          <w:w w:val="97"/>
        </w:rPr>
        <w:t>environment </w:t>
      </w:r>
      <w:r>
        <w:rPr>
          <w:w w:val="95"/>
        </w:rPr>
        <w:t>in </w:t>
      </w:r>
      <w:r>
        <w:rPr>
          <w:w w:val="85"/>
        </w:rPr>
        <w:t>2016. </w:t>
      </w:r>
      <w:r>
        <w:rPr>
          <w:w w:val="83"/>
        </w:rPr>
        <w:t>It </w:t>
      </w:r>
      <w:r>
        <w:rPr>
          <w:w w:val="98"/>
        </w:rPr>
        <w:t>experienced </w:t>
      </w:r>
      <w:r>
        <w:rPr/>
        <w:t>a somewhat disappointing drop in</w:t>
      </w:r>
    </w:p>
    <w:p>
      <w:pPr>
        <w:pStyle w:val="BodyText"/>
        <w:spacing w:line="249" w:lineRule="auto"/>
        <w:ind w:left="107" w:right="55"/>
      </w:pPr>
      <w:r>
        <w:rPr/>
        <w:t>domestic demand, which resulted in a significant drop in revenue. The decline in enrolments was due in most part to fierce competition within the sector, which has also affected international onshore revenue to a lesser extent. The School implemented </w:t>
      </w:r>
      <w:r>
        <w:rPr>
          <w:w w:val="97"/>
        </w:rPr>
        <w:t>strategies </w:t>
      </w:r>
      <w:r>
        <w:rPr>
          <w:w w:val="98"/>
        </w:rPr>
        <w:t>for </w:t>
      </w:r>
      <w:r>
        <w:rPr>
          <w:w w:val="87"/>
        </w:rPr>
        <w:t>2017 </w:t>
      </w:r>
      <w:r>
        <w:rPr>
          <w:w w:val="101"/>
        </w:rPr>
        <w:t>to </w:t>
      </w:r>
      <w:r>
        <w:rPr>
          <w:w w:val="97"/>
        </w:rPr>
        <w:t>help </w:t>
      </w:r>
      <w:r>
        <w:rPr>
          <w:w w:val="98"/>
        </w:rPr>
        <w:t>mitigate </w:t>
      </w:r>
      <w:r>
        <w:rPr>
          <w:w w:val="97"/>
        </w:rPr>
        <w:t>this</w:t>
      </w:r>
    </w:p>
    <w:p>
      <w:pPr>
        <w:pStyle w:val="BodyText"/>
        <w:spacing w:line="249" w:lineRule="auto"/>
        <w:ind w:left="107" w:right="332"/>
      </w:pPr>
      <w:r>
        <w:rPr/>
        <w:t>risk and focus on building postgraduate and international student numbers.</w:t>
      </w:r>
    </w:p>
    <w:p>
      <w:pPr>
        <w:pStyle w:val="BodyText"/>
        <w:rPr>
          <w:sz w:val="14"/>
        </w:rPr>
      </w:pPr>
    </w:p>
    <w:p>
      <w:pPr>
        <w:pStyle w:val="BodyText"/>
        <w:spacing w:line="249" w:lineRule="auto"/>
        <w:ind w:left="107"/>
      </w:pPr>
      <w:r>
        <w:rPr/>
        <w:t>A number of the School’s professional and </w:t>
      </w:r>
      <w:r>
        <w:rPr>
          <w:spacing w:val="1"/>
          <w:w w:val="98"/>
        </w:rPr>
        <w:t>academic</w:t>
      </w:r>
      <w:r>
        <w:rPr>
          <w:w w:val="98"/>
        </w:rPr>
        <w:t> </w:t>
      </w:r>
      <w:r>
        <w:rPr>
          <w:spacing w:val="1"/>
          <w:w w:val="97"/>
        </w:rPr>
        <w:t>employees</w:t>
      </w:r>
      <w:r>
        <w:rPr>
          <w:w w:val="97"/>
        </w:rPr>
        <w:t> </w:t>
      </w:r>
      <w:r>
        <w:rPr>
          <w:spacing w:val="2"/>
          <w:w w:val="98"/>
        </w:rPr>
        <w:t>left</w:t>
      </w:r>
      <w:r>
        <w:rPr>
          <w:w w:val="98"/>
        </w:rPr>
        <w:t> </w:t>
      </w:r>
      <w:r>
        <w:rPr>
          <w:w w:val="95"/>
        </w:rPr>
        <w:t>in </w:t>
      </w:r>
      <w:r>
        <w:rPr>
          <w:spacing w:val="-1"/>
          <w:w w:val="97"/>
        </w:rPr>
        <w:t>late</w:t>
      </w:r>
      <w:r>
        <w:rPr>
          <w:w w:val="97"/>
        </w:rPr>
        <w:t> </w:t>
      </w:r>
      <w:r>
        <w:rPr>
          <w:spacing w:val="1"/>
          <w:w w:val="90"/>
        </w:rPr>
        <w:t>2016</w:t>
      </w:r>
      <w:r>
        <w:rPr>
          <w:w w:val="90"/>
        </w:rPr>
        <w:t> </w:t>
      </w:r>
      <w:r>
        <w:rPr>
          <w:spacing w:val="1"/>
          <w:w w:val="97"/>
        </w:rPr>
        <w:t>under</w:t>
      </w:r>
      <w:r>
        <w:rPr>
          <w:w w:val="97"/>
        </w:rPr>
        <w:t> </w:t>
      </w:r>
      <w:r>
        <w:rPr/>
        <w:t>the Early Voluntary Redundancy Scheme (EVRS)</w:t>
      </w:r>
      <w:r>
        <w:rPr>
          <w:spacing w:val="-13"/>
        </w:rPr>
        <w:t> </w:t>
      </w:r>
      <w:r>
        <w:rPr/>
        <w:t>offered</w:t>
      </w:r>
      <w:r>
        <w:rPr>
          <w:spacing w:val="-13"/>
        </w:rPr>
        <w:t> </w:t>
      </w:r>
      <w:r>
        <w:rPr/>
        <w:t>to</w:t>
      </w:r>
      <w:r>
        <w:rPr>
          <w:spacing w:val="-13"/>
        </w:rPr>
        <w:t> </w:t>
      </w:r>
      <w:r>
        <w:rPr/>
        <w:t>Western</w:t>
      </w:r>
      <w:r>
        <w:rPr>
          <w:spacing w:val="-13"/>
        </w:rPr>
        <w:t> </w:t>
      </w:r>
      <w:r>
        <w:rPr/>
        <w:t>Sydney</w:t>
      </w:r>
      <w:r>
        <w:rPr>
          <w:spacing w:val="-13"/>
        </w:rPr>
        <w:t> </w:t>
      </w:r>
      <w:r>
        <w:rPr/>
        <w:t>University staff members. The resultant cost savings will be balanced against operational </w:t>
      </w:r>
      <w:r>
        <w:rPr>
          <w:spacing w:val="1"/>
          <w:w w:val="97"/>
        </w:rPr>
        <w:t>requirements</w:t>
      </w:r>
      <w:r>
        <w:rPr>
          <w:w w:val="97"/>
        </w:rPr>
        <w:t> </w:t>
      </w:r>
      <w:r>
        <w:rPr>
          <w:w w:val="95"/>
        </w:rPr>
        <w:t>in </w:t>
      </w:r>
      <w:r>
        <w:rPr>
          <w:spacing w:val="-2"/>
          <w:w w:val="83"/>
        </w:rPr>
        <w:t>2017,</w:t>
      </w:r>
      <w:r>
        <w:rPr>
          <w:w w:val="83"/>
        </w:rPr>
        <w:t> </w:t>
      </w:r>
      <w:r>
        <w:rPr>
          <w:spacing w:val="1"/>
          <w:w w:val="97"/>
        </w:rPr>
        <w:t>and</w:t>
      </w:r>
      <w:r>
        <w:rPr>
          <w:w w:val="97"/>
        </w:rPr>
        <w:t> </w:t>
      </w:r>
      <w:r>
        <w:rPr>
          <w:w w:val="97"/>
        </w:rPr>
        <w:t>the </w:t>
      </w:r>
      <w:r>
        <w:rPr>
          <w:spacing w:val="1"/>
          <w:w w:val="98"/>
        </w:rPr>
        <w:t>School</w:t>
      </w:r>
      <w:r>
        <w:rPr>
          <w:w w:val="98"/>
        </w:rPr>
        <w:t> </w:t>
      </w:r>
      <w:r>
        <w:rPr>
          <w:w w:val="97"/>
        </w:rPr>
        <w:t>will </w:t>
      </w:r>
      <w:r>
        <w:rPr/>
        <w:t>review</w:t>
      </w:r>
      <w:r>
        <w:rPr>
          <w:spacing w:val="-18"/>
        </w:rPr>
        <w:t> </w:t>
      </w:r>
      <w:r>
        <w:rPr/>
        <w:t>the</w:t>
      </w:r>
      <w:r>
        <w:rPr>
          <w:spacing w:val="-18"/>
        </w:rPr>
        <w:t> </w:t>
      </w:r>
      <w:r>
        <w:rPr/>
        <w:t>existing</w:t>
      </w:r>
      <w:r>
        <w:rPr>
          <w:spacing w:val="-18"/>
        </w:rPr>
        <w:t> </w:t>
      </w:r>
      <w:r>
        <w:rPr/>
        <w:t>staffing</w:t>
      </w:r>
      <w:r>
        <w:rPr>
          <w:spacing w:val="-18"/>
        </w:rPr>
        <w:t> </w:t>
      </w:r>
      <w:r>
        <w:rPr/>
        <w:t>structure</w:t>
      </w:r>
      <w:r>
        <w:rPr>
          <w:spacing w:val="-18"/>
        </w:rPr>
        <w:t> </w:t>
      </w:r>
      <w:r>
        <w:rPr/>
        <w:t>in</w:t>
      </w:r>
    </w:p>
    <w:p>
      <w:pPr>
        <w:pStyle w:val="BodyText"/>
        <w:spacing w:line="192" w:lineRule="exact"/>
        <w:ind w:left="107" w:right="6"/>
      </w:pPr>
      <w:r>
        <w:rPr/>
        <w:t>light of the decline in enrolments.</w:t>
      </w:r>
    </w:p>
    <w:p>
      <w:pPr>
        <w:pStyle w:val="BodyText"/>
        <w:spacing w:before="10"/>
        <w:rPr>
          <w:sz w:val="19"/>
        </w:rPr>
      </w:pPr>
    </w:p>
    <w:p>
      <w:pPr>
        <w:pStyle w:val="Heading7"/>
        <w:ind w:right="6"/>
      </w:pPr>
      <w:r>
        <w:rPr/>
        <w:t>RESEARCH</w:t>
      </w:r>
    </w:p>
    <w:p>
      <w:pPr>
        <w:pStyle w:val="BodyText"/>
        <w:spacing w:line="249" w:lineRule="auto" w:before="58"/>
        <w:ind w:left="107" w:right="55"/>
      </w:pPr>
      <w:r>
        <w:rPr>
          <w:w w:val="80"/>
        </w:rPr>
        <w:t>In </w:t>
      </w:r>
      <w:r>
        <w:rPr>
          <w:w w:val="85"/>
        </w:rPr>
        <w:t>2016, </w:t>
      </w:r>
      <w:r>
        <w:rPr>
          <w:w w:val="97"/>
        </w:rPr>
        <w:t>the </w:t>
      </w:r>
      <w:r>
        <w:rPr>
          <w:w w:val="98"/>
        </w:rPr>
        <w:t>School </w:t>
      </w:r>
      <w:r>
        <w:rPr>
          <w:w w:val="99"/>
        </w:rPr>
        <w:t>developed </w:t>
      </w:r>
      <w:r>
        <w:rPr>
          <w:w w:val="98"/>
        </w:rPr>
        <w:t>collaborative </w:t>
      </w:r>
      <w:r>
        <w:rPr/>
        <w:t>research relationships within the University and with external industry and community partners in an effort to increase the quality and impact of research and increase </w:t>
      </w:r>
      <w:r>
        <w:rPr>
          <w:w w:val="95"/>
        </w:rPr>
        <w:t>research income.</w:t>
      </w:r>
    </w:p>
    <w:p>
      <w:pPr>
        <w:pStyle w:val="BodyText"/>
        <w:rPr>
          <w:sz w:val="14"/>
        </w:rPr>
      </w:pPr>
    </w:p>
    <w:p>
      <w:pPr>
        <w:pStyle w:val="BodyText"/>
        <w:spacing w:line="249" w:lineRule="auto"/>
        <w:ind w:left="107" w:right="140"/>
      </w:pPr>
      <w:r>
        <w:rPr/>
        <w:t>The School undertook several initiatives in support of this objective:</w:t>
      </w:r>
    </w:p>
    <w:p>
      <w:pPr>
        <w:pStyle w:val="BodyText"/>
        <w:spacing w:line="244" w:lineRule="auto" w:before="55"/>
        <w:ind w:left="305" w:right="6" w:hanging="199"/>
      </w:pPr>
      <w:r>
        <w:rPr>
          <w:rFonts w:ascii="Century Gothic" w:hAnsi="Century Gothic"/>
          <w:b/>
          <w:w w:val="115"/>
        </w:rPr>
        <w:t>≥ </w:t>
      </w:r>
      <w:r>
        <w:rPr/>
        <w:t>It introduced a fortnightly School of Business Research Seminar Series.</w:t>
      </w:r>
    </w:p>
    <w:p>
      <w:pPr>
        <w:pStyle w:val="BodyText"/>
        <w:spacing w:line="244" w:lineRule="auto" w:before="58"/>
        <w:ind w:left="305" w:right="6" w:hanging="199"/>
      </w:pPr>
      <w:r>
        <w:rPr>
          <w:rFonts w:ascii="Century Gothic" w:hAnsi="Century Gothic"/>
          <w:b/>
          <w:w w:val="115"/>
        </w:rPr>
        <w:t>≥ </w:t>
      </w:r>
      <w:r>
        <w:rPr/>
        <w:t>It undertook various initiatives to develop research links within the School and</w:t>
      </w:r>
    </w:p>
    <w:p>
      <w:pPr>
        <w:pStyle w:val="BodyText"/>
        <w:spacing w:before="3"/>
        <w:ind w:left="305" w:right="6"/>
      </w:pPr>
      <w:r>
        <w:rPr/>
        <w:t>with other Schools and Institutes in the</w:t>
      </w:r>
    </w:p>
    <w:p>
      <w:pPr>
        <w:pStyle w:val="BodyText"/>
        <w:spacing w:before="9"/>
      </w:pPr>
      <w:r>
        <w:rPr/>
        <w:br w:type="column"/>
      </w:r>
      <w:r>
        <w:rPr/>
      </w:r>
    </w:p>
    <w:p>
      <w:pPr>
        <w:pStyle w:val="BodyText"/>
        <w:spacing w:line="249" w:lineRule="auto"/>
        <w:ind w:left="305" w:right="211"/>
      </w:pPr>
      <w:r>
        <w:rPr/>
        <w:t>University. This included, for example, seminars on how the School’s expertise in cost–benefit analysis and economic modelling could provide additional</w:t>
      </w:r>
    </w:p>
    <w:p>
      <w:pPr>
        <w:pStyle w:val="BodyText"/>
        <w:spacing w:line="249" w:lineRule="auto"/>
        <w:ind w:left="305" w:right="-19"/>
      </w:pPr>
      <w:r>
        <w:rPr/>
        <w:t>dimensions to tenders and grant proposals submitted by research partners within the University.</w:t>
      </w:r>
    </w:p>
    <w:p>
      <w:pPr>
        <w:pStyle w:val="BodyText"/>
        <w:spacing w:line="247" w:lineRule="auto" w:before="55"/>
        <w:ind w:left="305" w:right="130" w:hanging="199"/>
      </w:pPr>
      <w:r>
        <w:rPr>
          <w:rFonts w:ascii="Century Gothic" w:hAnsi="Century Gothic"/>
          <w:b/>
          <w:w w:val="115"/>
        </w:rPr>
        <w:t>≥ </w:t>
      </w:r>
      <w:r>
        <w:rPr/>
        <w:t>It undertook initiatives to develop external research links with industry and community</w:t>
      </w:r>
      <w:r>
        <w:rPr>
          <w:spacing w:val="-21"/>
        </w:rPr>
        <w:t> </w:t>
      </w:r>
      <w:r>
        <w:rPr>
          <w:spacing w:val="2"/>
        </w:rPr>
        <w:t>partners,</w:t>
      </w:r>
      <w:r>
        <w:rPr>
          <w:spacing w:val="-21"/>
        </w:rPr>
        <w:t> </w:t>
      </w:r>
      <w:r>
        <w:rPr/>
        <w:t>and</w:t>
      </w:r>
      <w:r>
        <w:rPr>
          <w:spacing w:val="-21"/>
        </w:rPr>
        <w:t> </w:t>
      </w:r>
      <w:r>
        <w:rPr/>
        <w:t>leverage</w:t>
      </w:r>
      <w:r>
        <w:rPr>
          <w:spacing w:val="-21"/>
        </w:rPr>
        <w:t> </w:t>
      </w:r>
      <w:r>
        <w:rPr/>
        <w:t>strong existing external relationships developed through student engagement projects. During Research Week, the School hosted a seminar, ‘Research for Future Development of the Region: Innovation for Manufacturing’, which was attended by</w:t>
      </w:r>
      <w:r>
        <w:rPr>
          <w:spacing w:val="-17"/>
        </w:rPr>
        <w:t> </w:t>
      </w:r>
      <w:r>
        <w:rPr/>
        <w:t>industry,</w:t>
      </w:r>
      <w:r>
        <w:rPr>
          <w:spacing w:val="-17"/>
        </w:rPr>
        <w:t> </w:t>
      </w:r>
      <w:r>
        <w:rPr/>
        <w:t>government</w:t>
      </w:r>
      <w:r>
        <w:rPr>
          <w:spacing w:val="-17"/>
        </w:rPr>
        <w:t> </w:t>
      </w:r>
      <w:r>
        <w:rPr/>
        <w:t>and</w:t>
      </w:r>
      <w:r>
        <w:rPr>
          <w:spacing w:val="-17"/>
        </w:rPr>
        <w:t> </w:t>
      </w:r>
      <w:r>
        <w:rPr/>
        <w:t>community</w:t>
      </w:r>
    </w:p>
    <w:p>
      <w:pPr>
        <w:pStyle w:val="BodyText"/>
        <w:spacing w:line="249" w:lineRule="auto" w:before="1"/>
        <w:ind w:left="305" w:right="9"/>
      </w:pPr>
      <w:r>
        <w:rPr/>
        <w:t>organisations.</w:t>
      </w:r>
      <w:r>
        <w:rPr>
          <w:spacing w:val="-20"/>
        </w:rPr>
        <w:t> </w:t>
      </w:r>
      <w:r>
        <w:rPr/>
        <w:t>It</w:t>
      </w:r>
      <w:r>
        <w:rPr>
          <w:spacing w:val="-20"/>
        </w:rPr>
        <w:t> </w:t>
      </w:r>
      <w:r>
        <w:rPr/>
        <w:t>included</w:t>
      </w:r>
      <w:r>
        <w:rPr>
          <w:spacing w:val="-20"/>
        </w:rPr>
        <w:t> </w:t>
      </w:r>
      <w:r>
        <w:rPr/>
        <w:t>presentations</w:t>
      </w:r>
      <w:r>
        <w:rPr>
          <w:spacing w:val="-20"/>
        </w:rPr>
        <w:t> </w:t>
      </w:r>
      <w:r>
        <w:rPr/>
        <w:t>on research projects relevant to innovation and manufacturing in the Western Sydney region</w:t>
      </w:r>
      <w:r>
        <w:rPr>
          <w:spacing w:val="-14"/>
        </w:rPr>
        <w:t> </w:t>
      </w:r>
      <w:r>
        <w:rPr/>
        <w:t>and</w:t>
      </w:r>
      <w:r>
        <w:rPr>
          <w:spacing w:val="-14"/>
        </w:rPr>
        <w:t> </w:t>
      </w:r>
      <w:r>
        <w:rPr/>
        <w:t>a</w:t>
      </w:r>
      <w:r>
        <w:rPr>
          <w:spacing w:val="-14"/>
        </w:rPr>
        <w:t> </w:t>
      </w:r>
      <w:r>
        <w:rPr/>
        <w:t>wide-ranging</w:t>
      </w:r>
      <w:r>
        <w:rPr>
          <w:spacing w:val="-14"/>
        </w:rPr>
        <w:t> </w:t>
      </w:r>
      <w:r>
        <w:rPr/>
        <w:t>panel</w:t>
      </w:r>
      <w:r>
        <w:rPr>
          <w:spacing w:val="-14"/>
        </w:rPr>
        <w:t> </w:t>
      </w:r>
      <w:r>
        <w:rPr/>
        <w:t>discussion on projects and methods that could be used</w:t>
      </w:r>
      <w:r>
        <w:rPr>
          <w:spacing w:val="-15"/>
        </w:rPr>
        <w:t> </w:t>
      </w:r>
      <w:r>
        <w:rPr/>
        <w:t>to</w:t>
      </w:r>
      <w:r>
        <w:rPr>
          <w:spacing w:val="-15"/>
        </w:rPr>
        <w:t> </w:t>
      </w:r>
      <w:r>
        <w:rPr/>
        <w:t>further</w:t>
      </w:r>
      <w:r>
        <w:rPr>
          <w:spacing w:val="-15"/>
        </w:rPr>
        <w:t> </w:t>
      </w:r>
      <w:r>
        <w:rPr/>
        <w:t>engagement</w:t>
      </w:r>
      <w:r>
        <w:rPr>
          <w:spacing w:val="-15"/>
        </w:rPr>
        <w:t> </w:t>
      </w:r>
      <w:r>
        <w:rPr/>
        <w:t>among</w:t>
      </w:r>
    </w:p>
    <w:p>
      <w:pPr>
        <w:pStyle w:val="BodyText"/>
        <w:spacing w:line="249" w:lineRule="auto"/>
        <w:ind w:left="305" w:right="177"/>
      </w:pPr>
      <w:r>
        <w:rPr/>
        <w:t>the School, industry and community. The School also conducted student engagement projects with local councils and used Western Sydney University Launch Pad and the interest of major</w:t>
      </w:r>
    </w:p>
    <w:p>
      <w:pPr>
        <w:pStyle w:val="BodyText"/>
        <w:spacing w:line="249" w:lineRule="auto"/>
        <w:ind w:left="305" w:right="-1"/>
      </w:pPr>
      <w:r>
        <w:rPr/>
        <w:t>business</w:t>
      </w:r>
      <w:r>
        <w:rPr>
          <w:spacing w:val="-20"/>
        </w:rPr>
        <w:t> </w:t>
      </w:r>
      <w:r>
        <w:rPr/>
        <w:t>consultancy</w:t>
      </w:r>
      <w:r>
        <w:rPr>
          <w:spacing w:val="-20"/>
        </w:rPr>
        <w:t> </w:t>
      </w:r>
      <w:r>
        <w:rPr/>
        <w:t>organisations</w:t>
      </w:r>
      <w:r>
        <w:rPr>
          <w:spacing w:val="-20"/>
        </w:rPr>
        <w:t> </w:t>
      </w:r>
      <w:r>
        <w:rPr/>
        <w:t>in</w:t>
      </w:r>
      <w:r>
        <w:rPr>
          <w:spacing w:val="-20"/>
        </w:rPr>
        <w:t> </w:t>
      </w:r>
      <w:r>
        <w:rPr/>
        <w:t>those projects</w:t>
      </w:r>
      <w:r>
        <w:rPr>
          <w:spacing w:val="-22"/>
        </w:rPr>
        <w:t> </w:t>
      </w:r>
      <w:r>
        <w:rPr/>
        <w:t>and</w:t>
      </w:r>
      <w:r>
        <w:rPr>
          <w:spacing w:val="-22"/>
        </w:rPr>
        <w:t> </w:t>
      </w:r>
      <w:r>
        <w:rPr/>
        <w:t>future</w:t>
      </w:r>
      <w:r>
        <w:rPr>
          <w:spacing w:val="-22"/>
        </w:rPr>
        <w:t> </w:t>
      </w:r>
      <w:r>
        <w:rPr/>
        <w:t>engagement.</w:t>
      </w:r>
    </w:p>
    <w:p>
      <w:pPr>
        <w:pStyle w:val="BodyText"/>
        <w:spacing w:line="247" w:lineRule="auto" w:before="55"/>
        <w:ind w:left="305" w:right="28" w:hanging="199"/>
      </w:pPr>
      <w:r>
        <w:rPr>
          <w:rFonts w:ascii="Century Gothic" w:hAnsi="Century Gothic"/>
          <w:b/>
          <w:w w:val="115"/>
        </w:rPr>
        <w:t>≥ </w:t>
      </w:r>
      <w:r>
        <w:rPr/>
        <w:t>It conducted initiatives designed to</w:t>
      </w:r>
      <w:r>
        <w:rPr>
          <w:spacing w:val="-33"/>
        </w:rPr>
        <w:t> </w:t>
      </w:r>
      <w:r>
        <w:rPr/>
        <w:t>deepen the</w:t>
      </w:r>
      <w:r>
        <w:rPr>
          <w:spacing w:val="-16"/>
        </w:rPr>
        <w:t> </w:t>
      </w:r>
      <w:r>
        <w:rPr/>
        <w:t>School’s</w:t>
      </w:r>
      <w:r>
        <w:rPr>
          <w:spacing w:val="-16"/>
        </w:rPr>
        <w:t> </w:t>
      </w:r>
      <w:r>
        <w:rPr/>
        <w:t>research</w:t>
      </w:r>
      <w:r>
        <w:rPr>
          <w:spacing w:val="-16"/>
        </w:rPr>
        <w:t> </w:t>
      </w:r>
      <w:r>
        <w:rPr/>
        <w:t>supervisory</w:t>
      </w:r>
      <w:r>
        <w:rPr>
          <w:spacing w:val="-16"/>
        </w:rPr>
        <w:t> </w:t>
      </w:r>
      <w:r>
        <w:rPr/>
        <w:t>capacity. This included a training program involving 36</w:t>
      </w:r>
      <w:r>
        <w:rPr>
          <w:spacing w:val="-18"/>
        </w:rPr>
        <w:t> </w:t>
      </w:r>
      <w:r>
        <w:rPr/>
        <w:t>participants.</w:t>
      </w:r>
    </w:p>
    <w:p>
      <w:pPr>
        <w:pStyle w:val="BodyText"/>
        <w:spacing w:line="247" w:lineRule="auto" w:before="57"/>
        <w:ind w:left="305" w:right="12" w:hanging="199"/>
      </w:pPr>
      <w:r>
        <w:rPr>
          <w:rFonts w:ascii="Century Gothic" w:hAnsi="Century Gothic"/>
          <w:b/>
          <w:w w:val="115"/>
        </w:rPr>
        <w:t>≥ </w:t>
      </w:r>
      <w:r>
        <w:rPr/>
        <w:t>It conducted a number of initiatives to improve its processing of expressions of interest (EOIs) for higher degree research (HDR) study, and the translation of those EOIs to competitive and sustainable HDR applications that align with research capacity and research themes. The School </w:t>
      </w:r>
      <w:r>
        <w:rPr>
          <w:w w:val="98"/>
        </w:rPr>
        <w:t>received </w:t>
      </w:r>
      <w:r>
        <w:rPr>
          <w:w w:val="83"/>
        </w:rPr>
        <w:t>316 </w:t>
      </w:r>
      <w:r>
        <w:rPr>
          <w:w w:val="98"/>
        </w:rPr>
        <w:t>HDR </w:t>
      </w:r>
      <w:r>
        <w:rPr>
          <w:w w:val="98"/>
        </w:rPr>
        <w:t>applications </w:t>
      </w:r>
      <w:r>
        <w:rPr>
          <w:w w:val="95"/>
        </w:rPr>
        <w:t>in </w:t>
      </w:r>
      <w:r>
        <w:rPr>
          <w:w w:val="85"/>
        </w:rPr>
        <w:t>2016, </w:t>
      </w:r>
      <w:r>
        <w:rPr>
          <w:w w:val="98"/>
        </w:rPr>
        <w:t>up </w:t>
      </w:r>
      <w:r>
        <w:rPr/>
        <w:t>35 per cent from last year.</w:t>
      </w:r>
    </w:p>
    <w:p>
      <w:pPr>
        <w:pStyle w:val="BodyText"/>
        <w:spacing w:before="4"/>
        <w:rPr>
          <w:sz w:val="19"/>
        </w:rPr>
      </w:pPr>
    </w:p>
    <w:p>
      <w:pPr>
        <w:pStyle w:val="Heading7"/>
        <w:spacing w:before="1"/>
      </w:pPr>
      <w:r>
        <w:rPr>
          <w:w w:val="95"/>
        </w:rPr>
        <w:t>LEARNING AND TEACHING</w:t>
      </w:r>
    </w:p>
    <w:p>
      <w:pPr>
        <w:pStyle w:val="BodyText"/>
        <w:spacing w:line="249" w:lineRule="auto" w:before="58"/>
        <w:ind w:left="107" w:right="57"/>
      </w:pPr>
      <w:r>
        <w:rPr/>
        <w:t>The School has been conducting a major curriculum renewal project to redesign more than 80 undergraduate units for delivery</w:t>
      </w:r>
    </w:p>
    <w:p>
      <w:pPr>
        <w:pStyle w:val="BodyText"/>
        <w:spacing w:line="249" w:lineRule="auto"/>
        <w:ind w:left="107" w:right="177"/>
      </w:pPr>
      <w:r>
        <w:rPr/>
        <w:t>in a flipped classroom model – which is based around online resources and classes</w:t>
      </w:r>
    </w:p>
    <w:p>
      <w:pPr>
        <w:pStyle w:val="BodyText"/>
        <w:spacing w:line="249" w:lineRule="auto"/>
        <w:ind w:left="107" w:right="3"/>
      </w:pPr>
      <w:r>
        <w:rPr/>
        <w:t>delivered in collaborative, technology-infused learning spaces in the new Parramatta City </w:t>
      </w:r>
      <w:r>
        <w:rPr>
          <w:w w:val="98"/>
        </w:rPr>
        <w:t>campus </w:t>
      </w:r>
      <w:r>
        <w:rPr>
          <w:w w:val="98"/>
        </w:rPr>
        <w:t>building </w:t>
      </w:r>
      <w:r>
        <w:rPr>
          <w:w w:val="91"/>
        </w:rPr>
        <w:t>(1PSQ) </w:t>
      </w:r>
      <w:r>
        <w:rPr>
          <w:w w:val="95"/>
        </w:rPr>
        <w:t>in </w:t>
      </w:r>
      <w:r>
        <w:rPr>
          <w:w w:val="83"/>
        </w:rPr>
        <w:t>2017. </w:t>
      </w:r>
      <w:r>
        <w:rPr>
          <w:w w:val="94"/>
        </w:rPr>
        <w:t>The </w:t>
      </w:r>
      <w:r>
        <w:rPr>
          <w:w w:val="97"/>
        </w:rPr>
        <w:t>design</w:t>
      </w:r>
    </w:p>
    <w:p>
      <w:pPr>
        <w:pStyle w:val="BodyText"/>
        <w:spacing w:before="9"/>
      </w:pPr>
      <w:r>
        <w:rPr/>
        <w:br w:type="column"/>
      </w:r>
      <w:r>
        <w:rPr/>
      </w:r>
    </w:p>
    <w:p>
      <w:pPr>
        <w:pStyle w:val="BodyText"/>
        <w:spacing w:line="249" w:lineRule="auto"/>
        <w:ind w:left="107" w:right="122"/>
      </w:pPr>
      <w:r>
        <w:rPr/>
        <w:t>principles guiding this project centre on providing flexible, anytime/anywhere access to engaging resources and unit content, to prepare students for face-to-face classes involving active, group-based learning in</w:t>
      </w:r>
    </w:p>
    <w:p>
      <w:pPr>
        <w:pStyle w:val="BodyText"/>
        <w:spacing w:line="249" w:lineRule="auto"/>
        <w:ind w:left="107" w:right="480"/>
      </w:pPr>
      <w:r>
        <w:rPr/>
        <w:t>a collaborative, dynamic learning space. The School’s academic staff members have embraced the challenge and are producing innovative video resources and interactive online components, and using a range of tools and technologies to engage and interact with students both inside and outside the classroom.</w:t>
      </w:r>
    </w:p>
    <w:p>
      <w:pPr>
        <w:pStyle w:val="BodyText"/>
        <w:rPr>
          <w:sz w:val="14"/>
        </w:rPr>
      </w:pPr>
    </w:p>
    <w:p>
      <w:pPr>
        <w:pStyle w:val="BodyText"/>
        <w:spacing w:line="249" w:lineRule="auto"/>
        <w:ind w:left="107" w:right="293"/>
      </w:pPr>
      <w:r>
        <w:rPr/>
        <w:t>The new Bachelor of Business commenced </w:t>
      </w:r>
      <w:r>
        <w:rPr>
          <w:w w:val="95"/>
        </w:rPr>
        <w:t>in </w:t>
      </w:r>
      <w:r>
        <w:rPr>
          <w:w w:val="85"/>
        </w:rPr>
        <w:t>2016. </w:t>
      </w:r>
      <w:r>
        <w:rPr>
          <w:w w:val="83"/>
        </w:rPr>
        <w:t>It </w:t>
      </w:r>
      <w:r>
        <w:rPr>
          <w:w w:val="95"/>
        </w:rPr>
        <w:t>is </w:t>
      </w:r>
      <w:r>
        <w:rPr>
          <w:w w:val="94"/>
        </w:rPr>
        <w:t>a </w:t>
      </w:r>
      <w:r>
        <w:rPr>
          <w:w w:val="97"/>
        </w:rPr>
        <w:t>clearly </w:t>
      </w:r>
      <w:r>
        <w:rPr>
          <w:w w:val="97"/>
        </w:rPr>
        <w:t>differentiated </w:t>
      </w:r>
      <w:r>
        <w:rPr>
          <w:w w:val="96"/>
        </w:rPr>
        <w:t>business </w:t>
      </w:r>
      <w:r>
        <w:rPr/>
        <w:t>degree that facilitates collaboration, innovation and work-ready graduates.</w:t>
      </w:r>
    </w:p>
    <w:p>
      <w:pPr>
        <w:pStyle w:val="BodyText"/>
        <w:spacing w:line="249" w:lineRule="auto"/>
        <w:ind w:left="107" w:right="682"/>
      </w:pPr>
      <w:r>
        <w:rPr/>
        <w:t>It includes an increased focus on the career-readiness of graduates, with a suite of new professional core units, and a continued delivery of work integrated learning engaged units.</w:t>
      </w:r>
    </w:p>
    <w:p>
      <w:pPr>
        <w:pStyle w:val="BodyText"/>
        <w:rPr>
          <w:sz w:val="14"/>
        </w:rPr>
      </w:pPr>
    </w:p>
    <w:p>
      <w:pPr>
        <w:pStyle w:val="BodyText"/>
        <w:spacing w:line="249" w:lineRule="auto"/>
        <w:ind w:left="107" w:right="319"/>
      </w:pPr>
      <w:r>
        <w:rPr/>
        <w:t>The School has developed a new Bachelor </w:t>
      </w:r>
      <w:r>
        <w:rPr>
          <w:w w:val="99"/>
        </w:rPr>
        <w:t>of </w:t>
      </w:r>
      <w:r>
        <w:rPr>
          <w:w w:val="97"/>
        </w:rPr>
        <w:t>Accounting, </w:t>
      </w:r>
      <w:r>
        <w:rPr>
          <w:spacing w:val="1"/>
          <w:w w:val="97"/>
        </w:rPr>
        <w:t>first </w:t>
      </w:r>
      <w:r>
        <w:rPr>
          <w:spacing w:val="1"/>
          <w:w w:val="97"/>
        </w:rPr>
        <w:t>delivered </w:t>
      </w:r>
      <w:r>
        <w:rPr>
          <w:spacing w:val="1"/>
          <w:w w:val="95"/>
        </w:rPr>
        <w:t>in </w:t>
      </w:r>
      <w:r>
        <w:rPr>
          <w:spacing w:val="2"/>
          <w:w w:val="85"/>
        </w:rPr>
        <w:t>2016, </w:t>
      </w:r>
      <w:r>
        <w:rPr>
          <w:spacing w:val="2"/>
          <w:w w:val="95"/>
        </w:rPr>
        <w:t>in </w:t>
      </w:r>
      <w:r>
        <w:rPr>
          <w:spacing w:val="2"/>
        </w:rPr>
        <w:t>response to changing market demand for accounting programs. The new program offers a distinctive curriculum that allows graduates</w:t>
      </w:r>
      <w:r>
        <w:rPr/>
        <w:t> to not only achieve professional accounting accreditation, but also to register as a tax (financial) adviser with the </w:t>
      </w:r>
      <w:r>
        <w:rPr>
          <w:spacing w:val="-3"/>
        </w:rPr>
        <w:t>Tax </w:t>
      </w:r>
      <w:r>
        <w:rPr/>
        <w:t>Practitioners Board, and become a </w:t>
      </w:r>
      <w:r>
        <w:rPr>
          <w:spacing w:val="1"/>
          <w:w w:val="97"/>
        </w:rPr>
        <w:t>Financial </w:t>
      </w:r>
      <w:r>
        <w:rPr>
          <w:spacing w:val="1"/>
          <w:w w:val="96"/>
        </w:rPr>
        <w:t>Planner </w:t>
      </w:r>
      <w:r>
        <w:rPr>
          <w:spacing w:val="3"/>
          <w:w w:val="90"/>
        </w:rPr>
        <w:t>AFP® </w:t>
      </w:r>
      <w:r>
        <w:rPr>
          <w:spacing w:val="1"/>
          <w:w w:val="97"/>
        </w:rPr>
        <w:t>member </w:t>
      </w:r>
      <w:r>
        <w:rPr>
          <w:w w:val="98"/>
        </w:rPr>
        <w:t>with </w:t>
      </w:r>
      <w:r>
        <w:rPr>
          <w:w w:val="97"/>
        </w:rPr>
        <w:t>the</w:t>
      </w:r>
    </w:p>
    <w:p>
      <w:pPr>
        <w:pStyle w:val="BodyText"/>
        <w:spacing w:line="249" w:lineRule="auto"/>
        <w:ind w:left="107" w:right="209"/>
      </w:pPr>
      <w:r>
        <w:rPr/>
        <w:t>Financial Planning Association of Australia. The new program is the only one in the state to provide this distinctive feature.</w:t>
      </w:r>
    </w:p>
    <w:p>
      <w:pPr>
        <w:pStyle w:val="BodyText"/>
        <w:spacing w:line="249" w:lineRule="auto"/>
        <w:ind w:left="107" w:right="439"/>
      </w:pPr>
      <w:r>
        <w:rPr/>
        <w:t>The response from prospective domestic students was phenomenal; 40 per cent of NSW students who applied for an</w:t>
      </w:r>
    </w:p>
    <w:p>
      <w:pPr>
        <w:pStyle w:val="BodyText"/>
        <w:spacing w:line="249" w:lineRule="auto"/>
        <w:ind w:left="107" w:right="197"/>
      </w:pPr>
      <w:r>
        <w:rPr/>
        <w:t>undergraduate accounting degree selected the new program as their first preference.</w:t>
      </w:r>
    </w:p>
    <w:p>
      <w:pPr>
        <w:pStyle w:val="BodyText"/>
        <w:spacing w:before="3"/>
        <w:rPr>
          <w:sz w:val="19"/>
        </w:rPr>
      </w:pPr>
    </w:p>
    <w:p>
      <w:pPr>
        <w:pStyle w:val="Heading7"/>
        <w:ind w:right="460"/>
      </w:pPr>
      <w:r>
        <w:rPr/>
        <w:t>ACCREDITATION</w:t>
      </w:r>
    </w:p>
    <w:p>
      <w:pPr>
        <w:pStyle w:val="BodyText"/>
        <w:spacing w:line="249" w:lineRule="auto" w:before="58"/>
        <w:ind w:left="107" w:right="385"/>
      </w:pPr>
      <w:r>
        <w:rPr/>
        <w:t>The School of Business is progressing with its Association to Advance Collegiate</w:t>
      </w:r>
    </w:p>
    <w:p>
      <w:pPr>
        <w:pStyle w:val="BodyText"/>
        <w:spacing w:line="249" w:lineRule="auto"/>
        <w:ind w:left="107" w:right="347"/>
      </w:pPr>
      <w:r>
        <w:rPr/>
        <w:t>Schools of Business (AACSB)</w:t>
      </w:r>
      <w:r>
        <w:rPr>
          <w:spacing w:val="-26"/>
        </w:rPr>
        <w:t> </w:t>
      </w:r>
      <w:r>
        <w:rPr/>
        <w:t>accreditation process.</w:t>
      </w:r>
      <w:r>
        <w:rPr>
          <w:spacing w:val="-15"/>
        </w:rPr>
        <w:t> </w:t>
      </w:r>
      <w:r>
        <w:rPr/>
        <w:t>The</w:t>
      </w:r>
      <w:r>
        <w:rPr>
          <w:spacing w:val="-15"/>
        </w:rPr>
        <w:t> </w:t>
      </w:r>
      <w:r>
        <w:rPr/>
        <w:t>School’s</w:t>
      </w:r>
      <w:r>
        <w:rPr>
          <w:spacing w:val="-15"/>
        </w:rPr>
        <w:t> </w:t>
      </w:r>
      <w:r>
        <w:rPr/>
        <w:t>eligibility</w:t>
      </w:r>
      <w:r>
        <w:rPr>
          <w:spacing w:val="-15"/>
        </w:rPr>
        <w:t> </w:t>
      </w:r>
      <w:r>
        <w:rPr/>
        <w:t>application </w:t>
      </w:r>
      <w:r>
        <w:rPr>
          <w:w w:val="96"/>
        </w:rPr>
        <w:t>was </w:t>
      </w:r>
      <w:r>
        <w:rPr>
          <w:w w:val="99"/>
        </w:rPr>
        <w:t>accepted </w:t>
      </w:r>
      <w:r>
        <w:rPr>
          <w:w w:val="95"/>
        </w:rPr>
        <w:t>in </w:t>
      </w:r>
      <w:r>
        <w:rPr>
          <w:spacing w:val="2"/>
          <w:w w:val="98"/>
        </w:rPr>
        <w:t>January</w:t>
      </w:r>
      <w:r>
        <w:rPr>
          <w:w w:val="98"/>
        </w:rPr>
        <w:t> </w:t>
      </w:r>
      <w:r>
        <w:rPr>
          <w:spacing w:val="1"/>
          <w:w w:val="84"/>
        </w:rPr>
        <w:t>2015,</w:t>
      </w:r>
      <w:r>
        <w:rPr>
          <w:w w:val="84"/>
        </w:rPr>
        <w:t> </w:t>
      </w:r>
      <w:r>
        <w:rPr>
          <w:w w:val="97"/>
        </w:rPr>
        <w:t>allowing </w:t>
      </w:r>
      <w:r>
        <w:rPr>
          <w:w w:val="99"/>
        </w:rPr>
        <w:t>it </w:t>
      </w:r>
      <w:r>
        <w:rPr/>
        <w:t>to</w:t>
      </w:r>
      <w:r>
        <w:rPr>
          <w:spacing w:val="-14"/>
        </w:rPr>
        <w:t> </w:t>
      </w:r>
      <w:r>
        <w:rPr/>
        <w:t>proceed</w:t>
      </w:r>
      <w:r>
        <w:rPr>
          <w:spacing w:val="-14"/>
        </w:rPr>
        <w:t> </w:t>
      </w:r>
      <w:r>
        <w:rPr/>
        <w:t>to</w:t>
      </w:r>
      <w:r>
        <w:rPr>
          <w:spacing w:val="-14"/>
        </w:rPr>
        <w:t> </w:t>
      </w:r>
      <w:r>
        <w:rPr/>
        <w:t>the</w:t>
      </w:r>
      <w:r>
        <w:rPr>
          <w:spacing w:val="-14"/>
        </w:rPr>
        <w:t> </w:t>
      </w:r>
      <w:r>
        <w:rPr/>
        <w:t>next</w:t>
      </w:r>
      <w:r>
        <w:rPr>
          <w:spacing w:val="-14"/>
        </w:rPr>
        <w:t> </w:t>
      </w:r>
      <w:r>
        <w:rPr/>
        <w:t>accreditation</w:t>
      </w:r>
      <w:r>
        <w:rPr>
          <w:spacing w:val="-14"/>
        </w:rPr>
        <w:t> </w:t>
      </w:r>
      <w:r>
        <w:rPr/>
        <w:t>stage. The Initial Self Evaluation Report (iSER) – </w:t>
      </w:r>
      <w:r>
        <w:rPr>
          <w:spacing w:val="1"/>
          <w:w w:val="98"/>
        </w:rPr>
        <w:t>submitted</w:t>
      </w:r>
      <w:r>
        <w:rPr>
          <w:spacing w:val="-10"/>
          <w:w w:val="98"/>
        </w:rPr>
        <w:t> </w:t>
      </w:r>
      <w:r>
        <w:rPr>
          <w:w w:val="98"/>
        </w:rPr>
        <w:t>at</w:t>
      </w:r>
      <w:r>
        <w:rPr>
          <w:spacing w:val="-10"/>
          <w:w w:val="98"/>
        </w:rPr>
        <w:t> </w:t>
      </w:r>
      <w:r>
        <w:rPr>
          <w:w w:val="97"/>
        </w:rPr>
        <w:t>the</w:t>
      </w:r>
      <w:r>
        <w:rPr>
          <w:spacing w:val="-10"/>
          <w:w w:val="97"/>
        </w:rPr>
        <w:t> </w:t>
      </w:r>
      <w:r>
        <w:rPr>
          <w:spacing w:val="1"/>
          <w:w w:val="97"/>
        </w:rPr>
        <w:t>end</w:t>
      </w:r>
      <w:r>
        <w:rPr>
          <w:spacing w:val="-10"/>
          <w:w w:val="97"/>
        </w:rPr>
        <w:t> </w:t>
      </w:r>
      <w:r>
        <w:rPr>
          <w:w w:val="99"/>
        </w:rPr>
        <w:t>of</w:t>
      </w:r>
      <w:r>
        <w:rPr>
          <w:spacing w:val="-10"/>
          <w:w w:val="99"/>
        </w:rPr>
        <w:t> </w:t>
      </w:r>
      <w:r>
        <w:rPr>
          <w:spacing w:val="1"/>
          <w:w w:val="90"/>
        </w:rPr>
        <w:t>2016</w:t>
      </w:r>
      <w:r>
        <w:rPr>
          <w:spacing w:val="-6"/>
          <w:w w:val="90"/>
        </w:rPr>
        <w:t> </w:t>
      </w:r>
      <w:r>
        <w:rPr>
          <w:w w:val="89"/>
        </w:rPr>
        <w:t>–</w:t>
      </w:r>
      <w:r>
        <w:rPr>
          <w:spacing w:val="-6"/>
          <w:w w:val="89"/>
        </w:rPr>
        <w:t> </w:t>
      </w:r>
      <w:r>
        <w:rPr>
          <w:spacing w:val="1"/>
          <w:w w:val="97"/>
        </w:rPr>
        <w:t>addressed</w:t>
      </w:r>
    </w:p>
    <w:p>
      <w:pPr>
        <w:pStyle w:val="BodyText"/>
        <w:spacing w:line="249" w:lineRule="auto"/>
        <w:ind w:left="107" w:right="133"/>
      </w:pPr>
      <w:r>
        <w:rPr/>
        <w:t>the 15 AACSB Standards and identified areas for improvement. The Initial Accreditation</w:t>
      </w:r>
    </w:p>
    <w:p>
      <w:pPr>
        <w:spacing w:after="0" w:line="249" w:lineRule="auto"/>
        <w:sectPr>
          <w:type w:val="continuous"/>
          <w:pgSz w:w="11910" w:h="16840"/>
          <w:pgMar w:top="1580" w:bottom="280" w:left="800" w:right="800"/>
          <w:cols w:num="3" w:equalWidth="0">
            <w:col w:w="3248" w:space="192"/>
            <w:col w:w="3320" w:space="119"/>
            <w:col w:w="3431"/>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28"/>
      </w:pPr>
      <w:r>
        <w:rPr>
          <w:spacing w:val="1"/>
          <w:w w:val="99"/>
        </w:rPr>
        <w:t>Committee</w:t>
      </w:r>
      <w:r>
        <w:rPr>
          <w:w w:val="99"/>
        </w:rPr>
        <w:t> </w:t>
      </w:r>
      <w:r>
        <w:rPr>
          <w:w w:val="97"/>
        </w:rPr>
        <w:t>will </w:t>
      </w:r>
      <w:r>
        <w:rPr>
          <w:spacing w:val="1"/>
          <w:w w:val="98"/>
        </w:rPr>
        <w:t>meet</w:t>
      </w:r>
      <w:r>
        <w:rPr>
          <w:w w:val="98"/>
        </w:rPr>
        <w:t> </w:t>
      </w:r>
      <w:r>
        <w:rPr>
          <w:w w:val="95"/>
        </w:rPr>
        <w:t>in </w:t>
      </w:r>
      <w:r>
        <w:rPr>
          <w:spacing w:val="2"/>
          <w:w w:val="98"/>
        </w:rPr>
        <w:t>February</w:t>
      </w:r>
      <w:r>
        <w:rPr>
          <w:w w:val="98"/>
        </w:rPr>
        <w:t> </w:t>
      </w:r>
      <w:r>
        <w:rPr>
          <w:w w:val="87"/>
        </w:rPr>
        <w:t>2017 </w:t>
      </w:r>
      <w:r>
        <w:rPr>
          <w:spacing w:val="-1"/>
          <w:w w:val="101"/>
        </w:rPr>
        <w:t>to</w:t>
      </w:r>
      <w:r>
        <w:rPr>
          <w:w w:val="101"/>
        </w:rPr>
        <w:t> </w:t>
      </w:r>
      <w:r>
        <w:rPr>
          <w:spacing w:val="2"/>
        </w:rPr>
        <w:t>assess </w:t>
      </w:r>
      <w:r>
        <w:rPr/>
        <w:t>the School’s suitability to proceed to the</w:t>
      </w:r>
      <w:r>
        <w:rPr>
          <w:spacing w:val="-17"/>
        </w:rPr>
        <w:t> </w:t>
      </w:r>
      <w:r>
        <w:rPr/>
        <w:t>action</w:t>
      </w:r>
      <w:r>
        <w:rPr>
          <w:spacing w:val="-17"/>
        </w:rPr>
        <w:t> </w:t>
      </w:r>
      <w:r>
        <w:rPr/>
        <w:t>implementation</w:t>
      </w:r>
      <w:r>
        <w:rPr>
          <w:spacing w:val="-17"/>
        </w:rPr>
        <w:t> </w:t>
      </w:r>
      <w:r>
        <w:rPr/>
        <w:t>phase.</w:t>
      </w:r>
      <w:r>
        <w:rPr>
          <w:spacing w:val="-17"/>
        </w:rPr>
        <w:t> </w:t>
      </w:r>
      <w:r>
        <w:rPr/>
        <w:t>The</w:t>
      </w:r>
      <w:r>
        <w:rPr>
          <w:spacing w:val="-17"/>
        </w:rPr>
        <w:t> </w:t>
      </w:r>
      <w:r>
        <w:rPr/>
        <w:t>School will</w:t>
      </w:r>
      <w:r>
        <w:rPr>
          <w:spacing w:val="-15"/>
        </w:rPr>
        <w:t> </w:t>
      </w:r>
      <w:r>
        <w:rPr/>
        <w:t>then</w:t>
      </w:r>
      <w:r>
        <w:rPr>
          <w:spacing w:val="-15"/>
        </w:rPr>
        <w:t> </w:t>
      </w:r>
      <w:r>
        <w:rPr/>
        <w:t>be</w:t>
      </w:r>
      <w:r>
        <w:rPr>
          <w:spacing w:val="-15"/>
        </w:rPr>
        <w:t> </w:t>
      </w:r>
      <w:r>
        <w:rPr/>
        <w:t>required</w:t>
      </w:r>
      <w:r>
        <w:rPr>
          <w:spacing w:val="-15"/>
        </w:rPr>
        <w:t> </w:t>
      </w:r>
      <w:r>
        <w:rPr/>
        <w:t>to</w:t>
      </w:r>
      <w:r>
        <w:rPr>
          <w:spacing w:val="-15"/>
        </w:rPr>
        <w:t> </w:t>
      </w:r>
      <w:r>
        <w:rPr/>
        <w:t>submit</w:t>
      </w:r>
      <w:r>
        <w:rPr>
          <w:spacing w:val="-15"/>
        </w:rPr>
        <w:t> </w:t>
      </w:r>
      <w:r>
        <w:rPr/>
        <w:t>annual</w:t>
      </w:r>
      <w:r>
        <w:rPr>
          <w:spacing w:val="-15"/>
        </w:rPr>
        <w:t> </w:t>
      </w:r>
      <w:r>
        <w:rPr/>
        <w:t>reports that outline its progress towards alignment with</w:t>
      </w:r>
      <w:r>
        <w:rPr>
          <w:spacing w:val="-19"/>
        </w:rPr>
        <w:t> </w:t>
      </w:r>
      <w:r>
        <w:rPr/>
        <w:t>the</w:t>
      </w:r>
      <w:r>
        <w:rPr>
          <w:spacing w:val="-19"/>
        </w:rPr>
        <w:t> </w:t>
      </w:r>
      <w:r>
        <w:rPr/>
        <w:t>standards.</w:t>
      </w:r>
      <w:r>
        <w:rPr>
          <w:spacing w:val="-19"/>
        </w:rPr>
        <w:t> </w:t>
      </w:r>
      <w:r>
        <w:rPr/>
        <w:t>The</w:t>
      </w:r>
      <w:r>
        <w:rPr>
          <w:spacing w:val="-19"/>
        </w:rPr>
        <w:t> </w:t>
      </w:r>
      <w:r>
        <w:rPr/>
        <w:t>appointed</w:t>
      </w:r>
      <w:r>
        <w:rPr>
          <w:spacing w:val="-19"/>
        </w:rPr>
        <w:t> </w:t>
      </w:r>
      <w:r>
        <w:rPr/>
        <w:t>mentor</w:t>
      </w:r>
      <w:r>
        <w:rPr>
          <w:spacing w:val="-19"/>
        </w:rPr>
        <w:t> </w:t>
      </w:r>
      <w:r>
        <w:rPr/>
        <w:t>has been working closely with the Accreditation team</w:t>
      </w:r>
      <w:r>
        <w:rPr>
          <w:spacing w:val="-20"/>
        </w:rPr>
        <w:t> </w:t>
      </w:r>
      <w:r>
        <w:rPr/>
        <w:t>throughout</w:t>
      </w:r>
      <w:r>
        <w:rPr>
          <w:spacing w:val="-20"/>
        </w:rPr>
        <w:t> </w:t>
      </w:r>
      <w:r>
        <w:rPr/>
        <w:t>the</w:t>
      </w:r>
      <w:r>
        <w:rPr>
          <w:spacing w:val="-20"/>
        </w:rPr>
        <w:t> </w:t>
      </w:r>
      <w:r>
        <w:rPr/>
        <w:t>process.</w:t>
      </w:r>
    </w:p>
    <w:p>
      <w:pPr>
        <w:pStyle w:val="BodyText"/>
        <w:spacing w:before="3"/>
        <w:rPr>
          <w:sz w:val="19"/>
        </w:rPr>
      </w:pPr>
    </w:p>
    <w:p>
      <w:pPr>
        <w:pStyle w:val="Heading7"/>
      </w:pPr>
      <w:r>
        <w:rPr/>
        <w:t>ENGAGEMENT</w:t>
      </w:r>
    </w:p>
    <w:p>
      <w:pPr>
        <w:pStyle w:val="BodyText"/>
        <w:spacing w:line="249" w:lineRule="auto" w:before="58"/>
        <w:ind w:left="107" w:right="15"/>
      </w:pPr>
      <w:r>
        <w:rPr/>
        <w:t>The</w:t>
      </w:r>
      <w:r>
        <w:rPr>
          <w:spacing w:val="-14"/>
        </w:rPr>
        <w:t> </w:t>
      </w:r>
      <w:r>
        <w:rPr/>
        <w:t>School</w:t>
      </w:r>
      <w:r>
        <w:rPr>
          <w:spacing w:val="-14"/>
        </w:rPr>
        <w:t> </w:t>
      </w:r>
      <w:r>
        <w:rPr/>
        <w:t>continued</w:t>
      </w:r>
      <w:r>
        <w:rPr>
          <w:spacing w:val="-14"/>
        </w:rPr>
        <w:t> </w:t>
      </w:r>
      <w:r>
        <w:rPr/>
        <w:t>to</w:t>
      </w:r>
      <w:r>
        <w:rPr>
          <w:spacing w:val="-14"/>
        </w:rPr>
        <w:t> </w:t>
      </w:r>
      <w:r>
        <w:rPr/>
        <w:t>engage</w:t>
      </w:r>
      <w:r>
        <w:rPr>
          <w:spacing w:val="-14"/>
        </w:rPr>
        <w:t> </w:t>
      </w:r>
      <w:r>
        <w:rPr/>
        <w:t>with</w:t>
      </w:r>
      <w:r>
        <w:rPr>
          <w:spacing w:val="-14"/>
        </w:rPr>
        <w:t> </w:t>
      </w:r>
      <w:r>
        <w:rPr/>
        <w:t>the</w:t>
      </w:r>
      <w:r>
        <w:rPr>
          <w:spacing w:val="-14"/>
        </w:rPr>
        <w:t> </w:t>
      </w:r>
      <w:r>
        <w:rPr/>
        <w:t>local and broader business community, as well as the general community, through a range of activities including research, consultancy and student</w:t>
      </w:r>
      <w:r>
        <w:rPr>
          <w:spacing w:val="-19"/>
        </w:rPr>
        <w:t> </w:t>
      </w:r>
      <w:r>
        <w:rPr/>
        <w:t>projects.</w:t>
      </w:r>
      <w:r>
        <w:rPr>
          <w:spacing w:val="-19"/>
        </w:rPr>
        <w:t> </w:t>
      </w:r>
      <w:r>
        <w:rPr/>
        <w:t>Many</w:t>
      </w:r>
      <w:r>
        <w:rPr>
          <w:spacing w:val="-19"/>
        </w:rPr>
        <w:t> </w:t>
      </w:r>
      <w:r>
        <w:rPr/>
        <w:t>organisations</w:t>
      </w:r>
      <w:r>
        <w:rPr>
          <w:spacing w:val="-19"/>
        </w:rPr>
        <w:t> </w:t>
      </w:r>
      <w:r>
        <w:rPr/>
        <w:t>took</w:t>
      </w:r>
    </w:p>
    <w:p>
      <w:pPr>
        <w:pStyle w:val="BodyText"/>
        <w:spacing w:line="249" w:lineRule="auto"/>
        <w:ind w:left="107" w:right="69"/>
      </w:pPr>
      <w:r>
        <w:rPr/>
        <w:t>on students as part of group or individual projects and the School appreciates the commitment they made to help and guide students. This is a win-win for the students and organisations involved, providing students with hands-on experience in real business issues, and the organisations with possible new solutions and ideas on how to respond to opportunities or challenges they are facing.</w:t>
      </w:r>
    </w:p>
    <w:p>
      <w:pPr>
        <w:pStyle w:val="BodyText"/>
        <w:rPr>
          <w:sz w:val="14"/>
        </w:rPr>
      </w:pPr>
    </w:p>
    <w:p>
      <w:pPr>
        <w:pStyle w:val="BodyText"/>
        <w:spacing w:line="249" w:lineRule="auto"/>
        <w:ind w:left="107" w:right="89"/>
      </w:pPr>
      <w:r>
        <w:rPr/>
        <w:t>The</w:t>
      </w:r>
      <w:r>
        <w:rPr>
          <w:spacing w:val="-13"/>
        </w:rPr>
        <w:t> </w:t>
      </w:r>
      <w:r>
        <w:rPr/>
        <w:t>School</w:t>
      </w:r>
      <w:r>
        <w:rPr>
          <w:spacing w:val="-13"/>
        </w:rPr>
        <w:t> </w:t>
      </w:r>
      <w:r>
        <w:rPr/>
        <w:t>introduced</w:t>
      </w:r>
      <w:r>
        <w:rPr>
          <w:spacing w:val="-13"/>
        </w:rPr>
        <w:t> </w:t>
      </w:r>
      <w:r>
        <w:rPr/>
        <w:t>a</w:t>
      </w:r>
      <w:r>
        <w:rPr>
          <w:spacing w:val="-13"/>
        </w:rPr>
        <w:t> </w:t>
      </w:r>
      <w:r>
        <w:rPr/>
        <w:t>Corporate</w:t>
      </w:r>
      <w:r>
        <w:rPr>
          <w:spacing w:val="-13"/>
        </w:rPr>
        <w:t> </w:t>
      </w:r>
      <w:r>
        <w:rPr/>
        <w:t>Partners’ </w:t>
      </w:r>
      <w:r>
        <w:rPr>
          <w:spacing w:val="1"/>
          <w:w w:val="98"/>
        </w:rPr>
        <w:t>Program</w:t>
      </w:r>
      <w:r>
        <w:rPr>
          <w:w w:val="98"/>
        </w:rPr>
        <w:t> </w:t>
      </w:r>
      <w:r>
        <w:rPr>
          <w:w w:val="95"/>
        </w:rPr>
        <w:t>in </w:t>
      </w:r>
      <w:r>
        <w:rPr>
          <w:spacing w:val="1"/>
          <w:w w:val="91"/>
        </w:rPr>
        <w:t>mid-2016.</w:t>
      </w:r>
      <w:r>
        <w:rPr>
          <w:w w:val="91"/>
        </w:rPr>
        <w:t> </w:t>
      </w:r>
      <w:r>
        <w:rPr>
          <w:spacing w:val="1"/>
          <w:w w:val="94"/>
        </w:rPr>
        <w:t>This</w:t>
      </w:r>
      <w:r>
        <w:rPr>
          <w:w w:val="94"/>
        </w:rPr>
        <w:t> </w:t>
      </w:r>
      <w:r>
        <w:rPr>
          <w:w w:val="95"/>
        </w:rPr>
        <w:t>is </w:t>
      </w:r>
      <w:r>
        <w:rPr>
          <w:w w:val="94"/>
        </w:rPr>
        <w:t>a </w:t>
      </w:r>
      <w:r>
        <w:rPr>
          <w:w w:val="100"/>
        </w:rPr>
        <w:t>two-way </w:t>
      </w:r>
      <w:r>
        <w:rPr/>
        <w:t>program – with the School providing real value to its partners who, in turn, provide support to the School and students in a variety</w:t>
      </w:r>
      <w:r>
        <w:rPr>
          <w:spacing w:val="-21"/>
        </w:rPr>
        <w:t> </w:t>
      </w:r>
      <w:r>
        <w:rPr/>
        <w:t>of</w:t>
      </w:r>
      <w:r>
        <w:rPr>
          <w:spacing w:val="-21"/>
        </w:rPr>
        <w:t> </w:t>
      </w:r>
      <w:r>
        <w:rPr/>
        <w:t>ways.</w:t>
      </w:r>
      <w:r>
        <w:rPr>
          <w:spacing w:val="-21"/>
        </w:rPr>
        <w:t> </w:t>
      </w:r>
      <w:r>
        <w:rPr/>
        <w:t>The</w:t>
      </w:r>
      <w:r>
        <w:rPr>
          <w:spacing w:val="-21"/>
        </w:rPr>
        <w:t> </w:t>
      </w:r>
      <w:r>
        <w:rPr/>
        <w:t>program,</w:t>
      </w:r>
      <w:r>
        <w:rPr>
          <w:spacing w:val="-21"/>
        </w:rPr>
        <w:t> </w:t>
      </w:r>
      <w:r>
        <w:rPr/>
        <w:t>aimed</w:t>
      </w:r>
      <w:r>
        <w:rPr>
          <w:spacing w:val="-21"/>
        </w:rPr>
        <w:t> </w:t>
      </w:r>
      <w:r>
        <w:rPr/>
        <w:t>at</w:t>
      </w:r>
      <w:r>
        <w:rPr>
          <w:spacing w:val="-21"/>
        </w:rPr>
        <w:t> </w:t>
      </w:r>
      <w:r>
        <w:rPr/>
        <w:t>small, medium-sized</w:t>
      </w:r>
      <w:r>
        <w:rPr>
          <w:spacing w:val="-18"/>
        </w:rPr>
        <w:t> </w:t>
      </w:r>
      <w:r>
        <w:rPr/>
        <w:t>and</w:t>
      </w:r>
      <w:r>
        <w:rPr>
          <w:spacing w:val="-18"/>
        </w:rPr>
        <w:t> </w:t>
      </w:r>
      <w:r>
        <w:rPr/>
        <w:t>large</w:t>
      </w:r>
      <w:r>
        <w:rPr>
          <w:spacing w:val="-18"/>
        </w:rPr>
        <w:t> </w:t>
      </w:r>
      <w:r>
        <w:rPr/>
        <w:t>organisations,</w:t>
      </w:r>
      <w:r>
        <w:rPr>
          <w:spacing w:val="-18"/>
        </w:rPr>
        <w:t> </w:t>
      </w:r>
      <w:r>
        <w:rPr/>
        <w:t>is</w:t>
      </w:r>
      <w:r>
        <w:rPr>
          <w:spacing w:val="-18"/>
        </w:rPr>
        <w:t> </w:t>
      </w:r>
      <w:r>
        <w:rPr/>
        <w:t>not intended to be a formal arrangement but a flexible program that can be tailored to suit the</w:t>
      </w:r>
      <w:r>
        <w:rPr>
          <w:spacing w:val="-25"/>
        </w:rPr>
        <w:t> </w:t>
      </w:r>
      <w:r>
        <w:rPr/>
        <w:t>requirements</w:t>
      </w:r>
      <w:r>
        <w:rPr>
          <w:spacing w:val="-25"/>
        </w:rPr>
        <w:t> </w:t>
      </w:r>
      <w:r>
        <w:rPr/>
        <w:t>of</w:t>
      </w:r>
      <w:r>
        <w:rPr>
          <w:spacing w:val="-25"/>
        </w:rPr>
        <w:t> </w:t>
      </w:r>
      <w:r>
        <w:rPr/>
        <w:t>individual</w:t>
      </w:r>
      <w:r>
        <w:rPr>
          <w:spacing w:val="-25"/>
        </w:rPr>
        <w:t> </w:t>
      </w:r>
      <w:r>
        <w:rPr>
          <w:spacing w:val="2"/>
        </w:rPr>
        <w:t>partners.</w:t>
      </w:r>
    </w:p>
    <w:p>
      <w:pPr>
        <w:pStyle w:val="BodyText"/>
        <w:rPr>
          <w:sz w:val="14"/>
        </w:rPr>
      </w:pPr>
    </w:p>
    <w:p>
      <w:pPr>
        <w:pStyle w:val="BodyText"/>
        <w:spacing w:line="249" w:lineRule="auto"/>
        <w:ind w:left="107" w:right="-7"/>
      </w:pPr>
      <w:r>
        <w:rPr/>
        <w:t>Written by Warren Day, School Manager, School of Business with assistance from Professor Scott </w:t>
      </w:r>
      <w:r>
        <w:rPr>
          <w:spacing w:val="2"/>
        </w:rPr>
        <w:t>Holmes, Dean, </w:t>
      </w:r>
      <w:r>
        <w:rPr/>
        <w:t>School of Business;</w:t>
      </w:r>
      <w:r>
        <w:rPr>
          <w:spacing w:val="-27"/>
        </w:rPr>
        <w:t> </w:t>
      </w:r>
      <w:r>
        <w:rPr/>
        <w:t>Professor</w:t>
      </w:r>
      <w:r>
        <w:rPr>
          <w:spacing w:val="-27"/>
        </w:rPr>
        <w:t> </w:t>
      </w:r>
      <w:r>
        <w:rPr/>
        <w:t>Sara</w:t>
      </w:r>
      <w:r>
        <w:rPr>
          <w:spacing w:val="-27"/>
        </w:rPr>
        <w:t> </w:t>
      </w:r>
      <w:r>
        <w:rPr/>
        <w:t>Denize,</w:t>
      </w:r>
      <w:r>
        <w:rPr>
          <w:spacing w:val="-27"/>
        </w:rPr>
        <w:t> </w:t>
      </w:r>
      <w:r>
        <w:rPr/>
        <w:t>Deputy</w:t>
      </w:r>
      <w:r>
        <w:rPr>
          <w:spacing w:val="-27"/>
        </w:rPr>
        <w:t> </w:t>
      </w:r>
      <w:r>
        <w:rPr>
          <w:spacing w:val="2"/>
        </w:rPr>
        <w:t>Dean, </w:t>
      </w:r>
      <w:r>
        <w:rPr/>
        <w:t>School of Business; Associate Professor Meg Smith, Director Research and </w:t>
      </w:r>
      <w:r>
        <w:rPr>
          <w:spacing w:val="2"/>
        </w:rPr>
        <w:t>HDR; </w:t>
      </w:r>
      <w:r>
        <w:rPr/>
        <w:t>Renata Susanj, Quality and Accreditation Manager; and</w:t>
      </w:r>
      <w:r>
        <w:rPr>
          <w:spacing w:val="-21"/>
        </w:rPr>
        <w:t> </w:t>
      </w:r>
      <w:r>
        <w:rPr/>
        <w:t>Kate</w:t>
      </w:r>
      <w:r>
        <w:rPr>
          <w:spacing w:val="-21"/>
        </w:rPr>
        <w:t> </w:t>
      </w:r>
      <w:r>
        <w:rPr/>
        <w:t>New,</w:t>
      </w:r>
      <w:r>
        <w:rPr>
          <w:spacing w:val="-21"/>
        </w:rPr>
        <w:t> </w:t>
      </w:r>
      <w:r>
        <w:rPr/>
        <w:t>Management</w:t>
      </w:r>
      <w:r>
        <w:rPr>
          <w:spacing w:val="-21"/>
        </w:rPr>
        <w:t> </w:t>
      </w:r>
      <w:r>
        <w:rPr/>
        <w:t>Accountant.</w:t>
      </w:r>
    </w:p>
    <w:p>
      <w:pPr>
        <w:pStyle w:val="BodyText"/>
        <w:spacing w:before="1"/>
        <w:rPr>
          <w:sz w:val="18"/>
        </w:rPr>
      </w:pPr>
      <w:r>
        <w:rPr/>
        <w:br w:type="column"/>
      </w:r>
      <w:r>
        <w:rPr>
          <w:sz w:val="18"/>
        </w:rPr>
      </w:r>
    </w:p>
    <w:p>
      <w:pPr>
        <w:spacing w:line="260" w:lineRule="exact" w:before="1"/>
        <w:ind w:left="107" w:right="435" w:firstLine="0"/>
        <w:jc w:val="left"/>
        <w:rPr>
          <w:rFonts w:ascii="Gotham Narrow Bold"/>
          <w:b/>
          <w:sz w:val="24"/>
        </w:rPr>
      </w:pPr>
      <w:r>
        <w:rPr>
          <w:rFonts w:ascii="Gotham Narrow Bold"/>
          <w:b/>
          <w:w w:val="95"/>
          <w:sz w:val="24"/>
        </w:rPr>
        <w:t>SCHOOL OF COMPUTING, </w:t>
      </w:r>
      <w:r>
        <w:rPr>
          <w:rFonts w:ascii="Gotham Narrow Bold"/>
          <w:b/>
          <w:sz w:val="24"/>
        </w:rPr>
        <w:t>ENGINEERING AND MATHEMATICS</w:t>
      </w:r>
    </w:p>
    <w:p>
      <w:pPr>
        <w:pStyle w:val="BodyText"/>
        <w:spacing w:line="247" w:lineRule="auto" w:before="101"/>
        <w:ind w:left="107" w:right="8"/>
      </w:pPr>
      <w:r>
        <w:rPr>
          <w:spacing w:val="2"/>
        </w:rPr>
        <w:t>“In </w:t>
      </w:r>
      <w:r>
        <w:rPr/>
        <w:t>its scale, scope and complexity … the fourth</w:t>
      </w:r>
      <w:r>
        <w:rPr>
          <w:spacing w:val="-18"/>
        </w:rPr>
        <w:t> </w:t>
      </w:r>
      <w:r>
        <w:rPr/>
        <w:t>industrial</w:t>
      </w:r>
      <w:r>
        <w:rPr>
          <w:spacing w:val="-18"/>
        </w:rPr>
        <w:t> </w:t>
      </w:r>
      <w:r>
        <w:rPr/>
        <w:t>revolution</w:t>
      </w:r>
      <w:r>
        <w:rPr>
          <w:spacing w:val="-18"/>
        </w:rPr>
        <w:t> </w:t>
      </w:r>
      <w:r>
        <w:rPr/>
        <w:t>is</w:t>
      </w:r>
      <w:r>
        <w:rPr>
          <w:spacing w:val="-18"/>
        </w:rPr>
        <w:t> </w:t>
      </w:r>
      <w:r>
        <w:rPr/>
        <w:t>unlike</w:t>
      </w:r>
      <w:r>
        <w:rPr>
          <w:spacing w:val="-18"/>
        </w:rPr>
        <w:t> </w:t>
      </w:r>
      <w:r>
        <w:rPr/>
        <w:t>anything humankind has experienced before.” It is driven by innovations that “build on and amplify</w:t>
      </w:r>
      <w:r>
        <w:rPr>
          <w:spacing w:val="-15"/>
        </w:rPr>
        <w:t> </w:t>
      </w:r>
      <w:r>
        <w:rPr/>
        <w:t>each</w:t>
      </w:r>
      <w:r>
        <w:rPr>
          <w:spacing w:val="-15"/>
        </w:rPr>
        <w:t> </w:t>
      </w:r>
      <w:r>
        <w:rPr/>
        <w:t>other</w:t>
      </w:r>
      <w:r>
        <w:rPr>
          <w:spacing w:val="-15"/>
        </w:rPr>
        <w:t> </w:t>
      </w:r>
      <w:r>
        <w:rPr/>
        <w:t>in</w:t>
      </w:r>
      <w:r>
        <w:rPr>
          <w:spacing w:val="-15"/>
        </w:rPr>
        <w:t> </w:t>
      </w:r>
      <w:r>
        <w:rPr/>
        <w:t>a</w:t>
      </w:r>
      <w:r>
        <w:rPr>
          <w:spacing w:val="-15"/>
        </w:rPr>
        <w:t> </w:t>
      </w:r>
      <w:r>
        <w:rPr/>
        <w:t>fusion</w:t>
      </w:r>
      <w:r>
        <w:rPr>
          <w:spacing w:val="-15"/>
        </w:rPr>
        <w:t> </w:t>
      </w:r>
      <w:r>
        <w:rPr/>
        <w:t>of</w:t>
      </w:r>
      <w:r>
        <w:rPr>
          <w:spacing w:val="-15"/>
        </w:rPr>
        <w:t> </w:t>
      </w:r>
      <w:r>
        <w:rPr/>
        <w:t>technologies across the physical, digital and biological worlds”. These quotes from </w:t>
      </w:r>
      <w:r>
        <w:rPr>
          <w:rFonts w:ascii="Century Gothic" w:hAnsi="Century Gothic"/>
          <w:i/>
        </w:rPr>
        <w:t>The Fourth </w:t>
      </w:r>
      <w:r>
        <w:rPr>
          <w:rFonts w:ascii="Century Gothic" w:hAnsi="Century Gothic"/>
          <w:i/>
          <w:w w:val="97"/>
        </w:rPr>
        <w:t>Industrial </w:t>
      </w:r>
      <w:r>
        <w:rPr>
          <w:rFonts w:ascii="Century Gothic" w:hAnsi="Century Gothic"/>
          <w:i/>
          <w:w w:val="92"/>
        </w:rPr>
        <w:t>Revolution </w:t>
      </w:r>
      <w:r>
        <w:rPr>
          <w:spacing w:val="1"/>
          <w:w w:val="94"/>
        </w:rPr>
        <w:t>(Penguin,</w:t>
      </w:r>
      <w:r>
        <w:rPr>
          <w:w w:val="94"/>
        </w:rPr>
        <w:t> </w:t>
      </w:r>
      <w:r>
        <w:rPr>
          <w:spacing w:val="1"/>
          <w:w w:val="91"/>
        </w:rPr>
        <w:t>2016)</w:t>
      </w:r>
      <w:r>
        <w:rPr>
          <w:w w:val="91"/>
        </w:rPr>
        <w:t> </w:t>
      </w:r>
      <w:r>
        <w:rPr>
          <w:spacing w:val="-1"/>
          <w:w w:val="102"/>
        </w:rPr>
        <w:t>by</w:t>
      </w:r>
      <w:r>
        <w:rPr>
          <w:w w:val="102"/>
        </w:rPr>
        <w:t> </w:t>
      </w:r>
      <w:r>
        <w:rPr/>
        <w:t>Professor Klaus Schwab, founder and Executive Chairman of the World Economic Forum, summarise the speed, breadth and transformational impact of the changes for which teachers must prepare students to </w:t>
      </w:r>
      <w:r>
        <w:rPr>
          <w:spacing w:val="1"/>
          <w:w w:val="96"/>
        </w:rPr>
        <w:t>secure</w:t>
      </w:r>
      <w:r>
        <w:rPr>
          <w:w w:val="96"/>
        </w:rPr>
        <w:t> </w:t>
      </w:r>
      <w:r>
        <w:rPr>
          <w:spacing w:val="1"/>
          <w:w w:val="97"/>
        </w:rPr>
        <w:t>their</w:t>
      </w:r>
      <w:r>
        <w:rPr>
          <w:w w:val="97"/>
        </w:rPr>
        <w:t> </w:t>
      </w:r>
      <w:r>
        <w:rPr>
          <w:spacing w:val="1"/>
          <w:w w:val="93"/>
        </w:rPr>
        <w:t>success.</w:t>
      </w:r>
      <w:r>
        <w:rPr>
          <w:w w:val="93"/>
        </w:rPr>
        <w:t> </w:t>
      </w: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w w:val="99"/>
        </w:rPr>
        <w:t>of </w:t>
      </w:r>
      <w:r>
        <w:rPr/>
        <w:t>Computing, Engineering and Mathematics (SCEM) addressed these rapid, multifaceted changes with strategies that take student- centredness</w:t>
      </w:r>
      <w:r>
        <w:rPr>
          <w:spacing w:val="-22"/>
        </w:rPr>
        <w:t> </w:t>
      </w:r>
      <w:r>
        <w:rPr/>
        <w:t>to</w:t>
      </w:r>
      <w:r>
        <w:rPr>
          <w:spacing w:val="-22"/>
        </w:rPr>
        <w:t> </w:t>
      </w:r>
      <w:r>
        <w:rPr/>
        <w:t>a</w:t>
      </w:r>
      <w:r>
        <w:rPr>
          <w:spacing w:val="-22"/>
        </w:rPr>
        <w:t> </w:t>
      </w:r>
      <w:r>
        <w:rPr/>
        <w:t>new</w:t>
      </w:r>
      <w:r>
        <w:rPr>
          <w:spacing w:val="-22"/>
        </w:rPr>
        <w:t> </w:t>
      </w:r>
      <w:r>
        <w:rPr/>
        <w:t>level.</w:t>
      </w:r>
    </w:p>
    <w:p>
      <w:pPr>
        <w:pStyle w:val="BodyText"/>
        <w:spacing w:before="2"/>
        <w:rPr>
          <w:sz w:val="14"/>
        </w:rPr>
      </w:pPr>
    </w:p>
    <w:p>
      <w:pPr>
        <w:pStyle w:val="BodyText"/>
        <w:spacing w:line="249" w:lineRule="auto"/>
        <w:ind w:left="107" w:right="-1"/>
      </w:pPr>
      <w:r>
        <w:rPr>
          <w:w w:val="94"/>
        </w:rPr>
        <w:t>The </w:t>
      </w:r>
      <w:r>
        <w:rPr>
          <w:w w:val="94"/>
        </w:rPr>
        <w:t>CSIRO’s </w:t>
      </w:r>
      <w:r>
        <w:rPr>
          <w:w w:val="90"/>
        </w:rPr>
        <w:t>2016 </w:t>
      </w:r>
      <w:r>
        <w:rPr>
          <w:w w:val="94"/>
        </w:rPr>
        <w:t>report, </w:t>
      </w:r>
      <w:r>
        <w:rPr>
          <w:w w:val="97"/>
        </w:rPr>
        <w:t>‘Tomorrow’s </w:t>
      </w:r>
      <w:r>
        <w:rPr>
          <w:w w:val="98"/>
        </w:rPr>
        <w:t>Digitally </w:t>
      </w:r>
      <w:r>
        <w:rPr/>
        <w:t>Enabled Workforce’, flags the beginning</w:t>
      </w:r>
    </w:p>
    <w:p>
      <w:pPr>
        <w:pStyle w:val="BodyText"/>
        <w:spacing w:line="249" w:lineRule="auto"/>
        <w:ind w:left="107" w:right="258"/>
      </w:pPr>
      <w:r>
        <w:rPr/>
        <w:t>of</w:t>
      </w:r>
      <w:r>
        <w:rPr>
          <w:spacing w:val="-16"/>
        </w:rPr>
        <w:t> </w:t>
      </w:r>
      <w:r>
        <w:rPr/>
        <w:t>an</w:t>
      </w:r>
      <w:r>
        <w:rPr>
          <w:spacing w:val="-16"/>
        </w:rPr>
        <w:t> </w:t>
      </w:r>
      <w:r>
        <w:rPr/>
        <w:t>era</w:t>
      </w:r>
      <w:r>
        <w:rPr>
          <w:spacing w:val="-16"/>
        </w:rPr>
        <w:t> </w:t>
      </w:r>
      <w:r>
        <w:rPr/>
        <w:t>of</w:t>
      </w:r>
      <w:r>
        <w:rPr>
          <w:spacing w:val="-16"/>
        </w:rPr>
        <w:t> </w:t>
      </w:r>
      <w:r>
        <w:rPr/>
        <w:t>immense</w:t>
      </w:r>
      <w:r>
        <w:rPr>
          <w:spacing w:val="-16"/>
        </w:rPr>
        <w:t> </w:t>
      </w:r>
      <w:r>
        <w:rPr/>
        <w:t>change</w:t>
      </w:r>
      <w:r>
        <w:rPr>
          <w:spacing w:val="-16"/>
        </w:rPr>
        <w:t> </w:t>
      </w:r>
      <w:r>
        <w:rPr/>
        <w:t>in</w:t>
      </w:r>
      <w:r>
        <w:rPr>
          <w:spacing w:val="-16"/>
        </w:rPr>
        <w:t> </w:t>
      </w:r>
      <w:r>
        <w:rPr/>
        <w:t>Australia. “Computing speed, device connectivity, data volumes and many other indicators of technological capability are increasing at</w:t>
      </w:r>
      <w:r>
        <w:rPr>
          <w:spacing w:val="-25"/>
        </w:rPr>
        <w:t> </w:t>
      </w:r>
      <w:r>
        <w:rPr/>
        <w:t>exponential,</w:t>
      </w:r>
      <w:r>
        <w:rPr>
          <w:spacing w:val="-25"/>
        </w:rPr>
        <w:t> </w:t>
      </w:r>
      <w:r>
        <w:rPr/>
        <w:t>not</w:t>
      </w:r>
      <w:r>
        <w:rPr>
          <w:spacing w:val="-25"/>
        </w:rPr>
        <w:t> </w:t>
      </w:r>
      <w:r>
        <w:rPr/>
        <w:t>linear,</w:t>
      </w:r>
      <w:r>
        <w:rPr>
          <w:spacing w:val="-25"/>
        </w:rPr>
        <w:t> </w:t>
      </w:r>
      <w:r>
        <w:rPr/>
        <w:t>rates,”</w:t>
      </w:r>
      <w:r>
        <w:rPr>
          <w:spacing w:val="-25"/>
        </w:rPr>
        <w:t> </w:t>
      </w:r>
      <w:r>
        <w:rPr/>
        <w:t>the</w:t>
      </w:r>
      <w:r>
        <w:rPr>
          <w:spacing w:val="-25"/>
        </w:rPr>
        <w:t> </w:t>
      </w:r>
      <w:r>
        <w:rPr/>
        <w:t>report says,</w:t>
      </w:r>
      <w:r>
        <w:rPr>
          <w:spacing w:val="-15"/>
        </w:rPr>
        <w:t> </w:t>
      </w:r>
      <w:r>
        <w:rPr/>
        <w:t>adding</w:t>
      </w:r>
      <w:r>
        <w:rPr>
          <w:spacing w:val="-15"/>
        </w:rPr>
        <w:t> </w:t>
      </w:r>
      <w:r>
        <w:rPr/>
        <w:t>that</w:t>
      </w:r>
      <w:r>
        <w:rPr>
          <w:spacing w:val="-15"/>
        </w:rPr>
        <w:t> </w:t>
      </w:r>
      <w:r>
        <w:rPr/>
        <w:t>beyond</w:t>
      </w:r>
      <w:r>
        <w:rPr>
          <w:spacing w:val="-15"/>
        </w:rPr>
        <w:t> </w:t>
      </w:r>
      <w:r>
        <w:rPr/>
        <w:t>2020,</w:t>
      </w:r>
      <w:r>
        <w:rPr>
          <w:spacing w:val="-15"/>
        </w:rPr>
        <w:t> </w:t>
      </w:r>
      <w:r>
        <w:rPr/>
        <w:t>the</w:t>
      </w:r>
      <w:r>
        <w:rPr>
          <w:spacing w:val="-15"/>
        </w:rPr>
        <w:t> </w:t>
      </w:r>
      <w:r>
        <w:rPr/>
        <w:t>world</w:t>
      </w:r>
    </w:p>
    <w:p>
      <w:pPr>
        <w:pStyle w:val="BodyText"/>
        <w:spacing w:line="249" w:lineRule="auto"/>
        <w:ind w:left="107" w:right="8"/>
      </w:pPr>
      <w:r>
        <w:rPr/>
        <w:t>may</w:t>
      </w:r>
      <w:r>
        <w:rPr>
          <w:spacing w:val="-16"/>
        </w:rPr>
        <w:t> </w:t>
      </w:r>
      <w:r>
        <w:rPr/>
        <w:t>look</w:t>
      </w:r>
      <w:r>
        <w:rPr>
          <w:spacing w:val="-16"/>
        </w:rPr>
        <w:t> </w:t>
      </w:r>
      <w:r>
        <w:rPr/>
        <w:t>very</w:t>
      </w:r>
      <w:r>
        <w:rPr>
          <w:spacing w:val="-16"/>
        </w:rPr>
        <w:t> </w:t>
      </w:r>
      <w:r>
        <w:rPr/>
        <w:t>different</w:t>
      </w:r>
      <w:r>
        <w:rPr>
          <w:spacing w:val="-16"/>
        </w:rPr>
        <w:t> </w:t>
      </w:r>
      <w:r>
        <w:rPr/>
        <w:t>as</w:t>
      </w:r>
      <w:r>
        <w:rPr>
          <w:spacing w:val="-16"/>
        </w:rPr>
        <w:t> </w:t>
      </w:r>
      <w:r>
        <w:rPr/>
        <w:t>the</w:t>
      </w:r>
      <w:r>
        <w:rPr>
          <w:spacing w:val="-16"/>
        </w:rPr>
        <w:t> </w:t>
      </w:r>
      <w:r>
        <w:rPr/>
        <w:t>rate</w:t>
      </w:r>
      <w:r>
        <w:rPr>
          <w:spacing w:val="-16"/>
        </w:rPr>
        <w:t> </w:t>
      </w:r>
      <w:r>
        <w:rPr/>
        <w:t>of</w:t>
      </w:r>
      <w:r>
        <w:rPr>
          <w:spacing w:val="-16"/>
        </w:rPr>
        <w:t> </w:t>
      </w:r>
      <w:r>
        <w:rPr/>
        <w:t>change increases.</w:t>
      </w:r>
      <w:r>
        <w:rPr>
          <w:spacing w:val="-20"/>
        </w:rPr>
        <w:t> </w:t>
      </w:r>
      <w:r>
        <w:rPr/>
        <w:t>“It</w:t>
      </w:r>
      <w:r>
        <w:rPr>
          <w:spacing w:val="-20"/>
        </w:rPr>
        <w:t> </w:t>
      </w:r>
      <w:r>
        <w:rPr/>
        <w:t>is</w:t>
      </w:r>
      <w:r>
        <w:rPr>
          <w:spacing w:val="-20"/>
        </w:rPr>
        <w:t> </w:t>
      </w:r>
      <w:r>
        <w:rPr/>
        <w:t>estimated</w:t>
      </w:r>
      <w:r>
        <w:rPr>
          <w:spacing w:val="-20"/>
        </w:rPr>
        <w:t> </w:t>
      </w:r>
      <w:r>
        <w:rPr/>
        <w:t>that</w:t>
      </w:r>
      <w:r>
        <w:rPr>
          <w:spacing w:val="-20"/>
        </w:rPr>
        <w:t> </w:t>
      </w:r>
      <w:r>
        <w:rPr>
          <w:spacing w:val="3"/>
        </w:rPr>
        <w:t>44</w:t>
      </w:r>
      <w:r>
        <w:rPr>
          <w:spacing w:val="-20"/>
        </w:rPr>
        <w:t> </w:t>
      </w:r>
      <w:r>
        <w:rPr/>
        <w:t>per</w:t>
      </w:r>
      <w:r>
        <w:rPr>
          <w:spacing w:val="-20"/>
        </w:rPr>
        <w:t> </w:t>
      </w:r>
      <w:r>
        <w:rPr/>
        <w:t>cent</w:t>
      </w:r>
    </w:p>
    <w:p>
      <w:pPr>
        <w:pStyle w:val="BodyText"/>
        <w:spacing w:line="249" w:lineRule="auto"/>
        <w:ind w:left="107" w:right="119"/>
      </w:pPr>
      <w:r>
        <w:rPr/>
        <w:t>of jobs in Australia are potentially at high risk of computerisation and automation. Many new jobs will also be created by technology… People who work in highly structured environments or who lack high level interpersonal skills may be particularly vulnerable to their jobs being automated.”</w:t>
      </w:r>
    </w:p>
    <w:p>
      <w:pPr>
        <w:pStyle w:val="BodyText"/>
        <w:rPr>
          <w:sz w:val="14"/>
        </w:rPr>
      </w:pPr>
    </w:p>
    <w:p>
      <w:pPr>
        <w:pStyle w:val="BodyText"/>
        <w:spacing w:line="249" w:lineRule="auto"/>
        <w:ind w:left="107" w:right="372"/>
      </w:pPr>
      <w:r>
        <w:rPr/>
        <w:t>Artificial intelligence (AI) technologies play</w:t>
      </w:r>
      <w:r>
        <w:rPr>
          <w:spacing w:val="-18"/>
        </w:rPr>
        <w:t> </w:t>
      </w:r>
      <w:r>
        <w:rPr/>
        <w:t>a</w:t>
      </w:r>
      <w:r>
        <w:rPr>
          <w:spacing w:val="-18"/>
        </w:rPr>
        <w:t> </w:t>
      </w:r>
      <w:r>
        <w:rPr/>
        <w:t>central</w:t>
      </w:r>
      <w:r>
        <w:rPr>
          <w:spacing w:val="-18"/>
        </w:rPr>
        <w:t> </w:t>
      </w:r>
      <w:r>
        <w:rPr/>
        <w:t>role</w:t>
      </w:r>
      <w:r>
        <w:rPr>
          <w:spacing w:val="-18"/>
        </w:rPr>
        <w:t> </w:t>
      </w:r>
      <w:r>
        <w:rPr/>
        <w:t>in</w:t>
      </w:r>
      <w:r>
        <w:rPr>
          <w:spacing w:val="-18"/>
        </w:rPr>
        <w:t> </w:t>
      </w:r>
      <w:r>
        <w:rPr/>
        <w:t>the</w:t>
      </w:r>
      <w:r>
        <w:rPr>
          <w:spacing w:val="-18"/>
        </w:rPr>
        <w:t> </w:t>
      </w:r>
      <w:r>
        <w:rPr/>
        <w:t>transformational</w:t>
      </w:r>
    </w:p>
    <w:p>
      <w:pPr>
        <w:spacing w:line="247" w:lineRule="auto" w:before="0"/>
        <w:ind w:left="107" w:right="157" w:firstLine="0"/>
        <w:jc w:val="left"/>
        <w:rPr>
          <w:sz w:val="16"/>
        </w:rPr>
      </w:pPr>
      <w:r>
        <w:rPr>
          <w:sz w:val="16"/>
        </w:rPr>
        <w:t>changes of the ‘fourth industrial revolution’ through their ubiquitous presence in daily </w:t>
      </w:r>
      <w:r>
        <w:rPr>
          <w:w w:val="95"/>
          <w:sz w:val="16"/>
        </w:rPr>
        <w:t>life. In </w:t>
      </w:r>
      <w:r>
        <w:rPr>
          <w:rFonts w:ascii="Century Gothic" w:hAnsi="Century Gothic"/>
          <w:i/>
          <w:w w:val="95"/>
          <w:sz w:val="16"/>
        </w:rPr>
        <w:t>Preparing for the Future of Artificial </w:t>
      </w:r>
      <w:r>
        <w:rPr>
          <w:rFonts w:ascii="Century Gothic" w:hAnsi="Century Gothic"/>
          <w:i/>
          <w:sz w:val="16"/>
        </w:rPr>
        <w:t>Intelligence </w:t>
      </w:r>
      <w:r>
        <w:rPr>
          <w:sz w:val="16"/>
        </w:rPr>
        <w:t>(US Executive Office of the </w:t>
      </w:r>
      <w:r>
        <w:rPr>
          <w:w w:val="95"/>
          <w:sz w:val="16"/>
        </w:rPr>
        <w:t>President, </w:t>
      </w:r>
      <w:r>
        <w:rPr>
          <w:w w:val="100"/>
          <w:sz w:val="16"/>
        </w:rPr>
        <w:t>October </w:t>
      </w:r>
      <w:r>
        <w:rPr>
          <w:w w:val="87"/>
          <w:sz w:val="16"/>
        </w:rPr>
        <w:t>2016), </w:t>
      </w:r>
      <w:r>
        <w:rPr>
          <w:w w:val="98"/>
          <w:sz w:val="16"/>
        </w:rPr>
        <w:t>experts </w:t>
      </w:r>
      <w:r>
        <w:rPr>
          <w:w w:val="98"/>
          <w:sz w:val="16"/>
        </w:rPr>
        <w:t>from </w:t>
      </w:r>
      <w:r>
        <w:rPr>
          <w:w w:val="97"/>
          <w:sz w:val="16"/>
        </w:rPr>
        <w:t>the</w:t>
      </w:r>
    </w:p>
    <w:p>
      <w:pPr>
        <w:pStyle w:val="BodyText"/>
        <w:spacing w:line="249" w:lineRule="auto" w:before="1"/>
        <w:ind w:left="107" w:right="8"/>
      </w:pPr>
      <w:r>
        <w:rPr/>
        <w:t>US</w:t>
      </w:r>
      <w:r>
        <w:rPr>
          <w:spacing w:val="-16"/>
        </w:rPr>
        <w:t> </w:t>
      </w:r>
      <w:r>
        <w:rPr/>
        <w:t>National</w:t>
      </w:r>
      <w:r>
        <w:rPr>
          <w:spacing w:val="-16"/>
        </w:rPr>
        <w:t> </w:t>
      </w:r>
      <w:r>
        <w:rPr/>
        <w:t>Science</w:t>
      </w:r>
      <w:r>
        <w:rPr>
          <w:spacing w:val="-16"/>
        </w:rPr>
        <w:t> </w:t>
      </w:r>
      <w:r>
        <w:rPr/>
        <w:t>and</w:t>
      </w:r>
      <w:r>
        <w:rPr>
          <w:spacing w:val="-16"/>
        </w:rPr>
        <w:t> </w:t>
      </w:r>
      <w:r>
        <w:rPr/>
        <w:t>Technology</w:t>
      </w:r>
      <w:r>
        <w:rPr>
          <w:spacing w:val="-16"/>
        </w:rPr>
        <w:t> </w:t>
      </w:r>
      <w:r>
        <w:rPr/>
        <w:t>Council’s Committee</w:t>
      </w:r>
      <w:r>
        <w:rPr>
          <w:spacing w:val="-15"/>
        </w:rPr>
        <w:t> </w:t>
      </w:r>
      <w:r>
        <w:rPr/>
        <w:t>on</w:t>
      </w:r>
      <w:r>
        <w:rPr>
          <w:spacing w:val="-15"/>
        </w:rPr>
        <w:t> </w:t>
      </w:r>
      <w:r>
        <w:rPr/>
        <w:t>Technology</w:t>
      </w:r>
      <w:r>
        <w:rPr>
          <w:spacing w:val="-15"/>
        </w:rPr>
        <w:t> </w:t>
      </w:r>
      <w:r>
        <w:rPr/>
        <w:t>predicted</w:t>
      </w:r>
      <w:r>
        <w:rPr>
          <w:spacing w:val="-15"/>
        </w:rPr>
        <w:t> </w:t>
      </w:r>
      <w:r>
        <w:rPr/>
        <w:t>that</w:t>
      </w:r>
      <w:r>
        <w:rPr>
          <w:spacing w:val="-15"/>
        </w:rPr>
        <w:t> </w:t>
      </w:r>
      <w:r>
        <w:rPr/>
        <w:t>“AI- driven</w:t>
      </w:r>
      <w:r>
        <w:rPr>
          <w:spacing w:val="-16"/>
        </w:rPr>
        <w:t> </w:t>
      </w:r>
      <w:r>
        <w:rPr/>
        <w:t>automation</w:t>
      </w:r>
      <w:r>
        <w:rPr>
          <w:spacing w:val="-16"/>
        </w:rPr>
        <w:t> </w:t>
      </w:r>
      <w:r>
        <w:rPr/>
        <w:t>will</w:t>
      </w:r>
      <w:r>
        <w:rPr>
          <w:spacing w:val="-16"/>
        </w:rPr>
        <w:t> </w:t>
      </w:r>
      <w:r>
        <w:rPr/>
        <w:t>increase</w:t>
      </w:r>
      <w:r>
        <w:rPr>
          <w:spacing w:val="-16"/>
        </w:rPr>
        <w:t> </w:t>
      </w:r>
      <w:r>
        <w:rPr/>
        <w:t>the</w:t>
      </w:r>
      <w:r>
        <w:rPr>
          <w:spacing w:val="-16"/>
        </w:rPr>
        <w:t> </w:t>
      </w:r>
      <w:r>
        <w:rPr/>
        <w:t>wage</w:t>
      </w:r>
      <w:r>
        <w:rPr>
          <w:spacing w:val="-16"/>
        </w:rPr>
        <w:t> </w:t>
      </w:r>
      <w:r>
        <w:rPr/>
        <w:t>gap between less-educated and more-educated workers, potentially increasing economic inequality”.</w:t>
      </w:r>
      <w:r>
        <w:rPr>
          <w:spacing w:val="-19"/>
        </w:rPr>
        <w:t> </w:t>
      </w:r>
      <w:r>
        <w:rPr/>
        <w:t>They</w:t>
      </w:r>
      <w:r>
        <w:rPr>
          <w:spacing w:val="-19"/>
        </w:rPr>
        <w:t> </w:t>
      </w:r>
      <w:r>
        <w:rPr/>
        <w:t>noted</w:t>
      </w:r>
      <w:r>
        <w:rPr>
          <w:spacing w:val="-19"/>
        </w:rPr>
        <w:t> </w:t>
      </w:r>
      <w:r>
        <w:rPr/>
        <w:t>that</w:t>
      </w:r>
      <w:r>
        <w:rPr>
          <w:spacing w:val="-19"/>
        </w:rPr>
        <w:t> </w:t>
      </w:r>
      <w:r>
        <w:rPr/>
        <w:t>“the</w:t>
      </w:r>
      <w:r>
        <w:rPr>
          <w:spacing w:val="-19"/>
        </w:rPr>
        <w:t> </w:t>
      </w:r>
      <w:r>
        <w:rPr/>
        <w:t>rapid</w:t>
      </w:r>
      <w:r>
        <w:rPr>
          <w:spacing w:val="-19"/>
        </w:rPr>
        <w:t> </w:t>
      </w:r>
      <w:r>
        <w:rPr/>
        <w:t>growth</w:t>
      </w:r>
    </w:p>
    <w:p>
      <w:pPr>
        <w:pStyle w:val="BodyText"/>
        <w:spacing w:before="9"/>
      </w:pPr>
      <w:r>
        <w:rPr/>
        <w:br w:type="column"/>
      </w:r>
      <w:r>
        <w:rPr/>
      </w:r>
    </w:p>
    <w:p>
      <w:pPr>
        <w:pStyle w:val="BodyText"/>
        <w:spacing w:line="249" w:lineRule="auto" w:before="1"/>
        <w:ind w:left="107" w:right="230"/>
      </w:pPr>
      <w:r>
        <w:rPr/>
        <w:t>of</w:t>
      </w:r>
      <w:r>
        <w:rPr>
          <w:spacing w:val="-16"/>
        </w:rPr>
        <w:t> </w:t>
      </w:r>
      <w:r>
        <w:rPr/>
        <w:t>AI</w:t>
      </w:r>
      <w:r>
        <w:rPr>
          <w:spacing w:val="-16"/>
        </w:rPr>
        <w:t> </w:t>
      </w:r>
      <w:r>
        <w:rPr/>
        <w:t>has</w:t>
      </w:r>
      <w:r>
        <w:rPr>
          <w:spacing w:val="-16"/>
        </w:rPr>
        <w:t> </w:t>
      </w:r>
      <w:r>
        <w:rPr/>
        <w:t>dramatically</w:t>
      </w:r>
      <w:r>
        <w:rPr>
          <w:spacing w:val="-16"/>
        </w:rPr>
        <w:t> </w:t>
      </w:r>
      <w:r>
        <w:rPr/>
        <w:t>increased</w:t>
      </w:r>
      <w:r>
        <w:rPr>
          <w:spacing w:val="-16"/>
        </w:rPr>
        <w:t> </w:t>
      </w:r>
      <w:r>
        <w:rPr/>
        <w:t>the</w:t>
      </w:r>
      <w:r>
        <w:rPr>
          <w:spacing w:val="-16"/>
        </w:rPr>
        <w:t> </w:t>
      </w:r>
      <w:r>
        <w:rPr/>
        <w:t>need</w:t>
      </w:r>
      <w:r>
        <w:rPr>
          <w:spacing w:val="-5"/>
        </w:rPr>
        <w:t> </w:t>
      </w:r>
      <w:r>
        <w:rPr/>
        <w:t>for people with relevant skills to support and advance</w:t>
      </w:r>
      <w:r>
        <w:rPr>
          <w:spacing w:val="-18"/>
        </w:rPr>
        <w:t> </w:t>
      </w:r>
      <w:r>
        <w:rPr/>
        <w:t>the</w:t>
      </w:r>
      <w:r>
        <w:rPr>
          <w:spacing w:val="-18"/>
        </w:rPr>
        <w:t> </w:t>
      </w:r>
      <w:r>
        <w:rPr/>
        <w:t>field”</w:t>
      </w:r>
      <w:r>
        <w:rPr>
          <w:spacing w:val="-18"/>
        </w:rPr>
        <w:t> </w:t>
      </w:r>
      <w:r>
        <w:rPr/>
        <w:t>and</w:t>
      </w:r>
      <w:r>
        <w:rPr>
          <w:spacing w:val="-18"/>
        </w:rPr>
        <w:t> </w:t>
      </w:r>
      <w:r>
        <w:rPr/>
        <w:t>that</w:t>
      </w:r>
      <w:r>
        <w:rPr>
          <w:spacing w:val="-18"/>
        </w:rPr>
        <w:t> </w:t>
      </w:r>
      <w:r>
        <w:rPr/>
        <w:t>an</w:t>
      </w:r>
      <w:r>
        <w:rPr>
          <w:spacing w:val="-18"/>
        </w:rPr>
        <w:t> </w:t>
      </w:r>
      <w:r>
        <w:rPr/>
        <w:t>“AI-enabled</w:t>
      </w:r>
    </w:p>
    <w:p>
      <w:pPr>
        <w:pStyle w:val="BodyText"/>
        <w:spacing w:line="249" w:lineRule="auto"/>
        <w:ind w:left="107" w:right="60"/>
      </w:pPr>
      <w:r>
        <w:rPr/>
        <w:t>world demands a data-literate citizenry that is able to read, use, interpret, and communicate about data, and participate in policy debates about matters affected by AI. In line with</w:t>
      </w:r>
    </w:p>
    <w:p>
      <w:pPr>
        <w:pStyle w:val="BodyText"/>
        <w:spacing w:line="249" w:lineRule="auto"/>
        <w:ind w:left="107" w:right="111"/>
      </w:pPr>
      <w:r>
        <w:rPr/>
        <w:t>this, SCEM recognises that it must empower students</w:t>
      </w:r>
      <w:r>
        <w:rPr>
          <w:spacing w:val="-16"/>
        </w:rPr>
        <w:t> </w:t>
      </w:r>
      <w:r>
        <w:rPr/>
        <w:t>with</w:t>
      </w:r>
      <w:r>
        <w:rPr>
          <w:spacing w:val="-16"/>
        </w:rPr>
        <w:t> </w:t>
      </w:r>
      <w:r>
        <w:rPr/>
        <w:t>a</w:t>
      </w:r>
      <w:r>
        <w:rPr>
          <w:spacing w:val="-16"/>
        </w:rPr>
        <w:t> </w:t>
      </w:r>
      <w:r>
        <w:rPr/>
        <w:t>fusion</w:t>
      </w:r>
      <w:r>
        <w:rPr>
          <w:spacing w:val="-16"/>
        </w:rPr>
        <w:t> </w:t>
      </w:r>
      <w:r>
        <w:rPr/>
        <w:t>of</w:t>
      </w:r>
      <w:r>
        <w:rPr>
          <w:spacing w:val="-16"/>
        </w:rPr>
        <w:t> </w:t>
      </w:r>
      <w:r>
        <w:rPr/>
        <w:t>broad</w:t>
      </w:r>
      <w:r>
        <w:rPr>
          <w:spacing w:val="-16"/>
        </w:rPr>
        <w:t> </w:t>
      </w:r>
      <w:r>
        <w:rPr/>
        <w:t>AI</w:t>
      </w:r>
      <w:r>
        <w:rPr>
          <w:spacing w:val="-16"/>
        </w:rPr>
        <w:t> </w:t>
      </w:r>
      <w:r>
        <w:rPr/>
        <w:t>knowledge, research and training through its science, technology, engineering and mathematics (STEM) academic programs, and its new interdisciplinary programs. SCEM must also equip students with deep computational thinking skills that will allow them to prosper in</w:t>
      </w:r>
      <w:r>
        <w:rPr>
          <w:spacing w:val="-17"/>
        </w:rPr>
        <w:t> </w:t>
      </w:r>
      <w:r>
        <w:rPr/>
        <w:t>a</w:t>
      </w:r>
      <w:r>
        <w:rPr>
          <w:spacing w:val="-17"/>
        </w:rPr>
        <w:t> </w:t>
      </w:r>
      <w:r>
        <w:rPr/>
        <w:t>technology-driven</w:t>
      </w:r>
      <w:r>
        <w:rPr>
          <w:spacing w:val="-17"/>
        </w:rPr>
        <w:t> </w:t>
      </w:r>
      <w:r>
        <w:rPr/>
        <w:t>world.</w:t>
      </w:r>
    </w:p>
    <w:p>
      <w:pPr>
        <w:pStyle w:val="BodyText"/>
        <w:rPr>
          <w:sz w:val="14"/>
        </w:rPr>
      </w:pPr>
    </w:p>
    <w:p>
      <w:pPr>
        <w:pStyle w:val="BodyText"/>
        <w:spacing w:line="249" w:lineRule="auto"/>
        <w:ind w:left="107" w:right="147"/>
      </w:pPr>
      <w:r>
        <w:rPr>
          <w:spacing w:val="1"/>
          <w:w w:val="98"/>
        </w:rPr>
        <w:t>SCEM’s</w:t>
      </w:r>
      <w:r>
        <w:rPr>
          <w:w w:val="98"/>
        </w:rPr>
        <w:t> </w:t>
      </w:r>
      <w:r>
        <w:rPr>
          <w:spacing w:val="1"/>
          <w:w w:val="98"/>
        </w:rPr>
        <w:t>activities</w:t>
      </w:r>
      <w:r>
        <w:rPr>
          <w:w w:val="98"/>
        </w:rPr>
        <w:t> </w:t>
      </w:r>
      <w:r>
        <w:rPr>
          <w:w w:val="95"/>
        </w:rPr>
        <w:t>in </w:t>
      </w:r>
      <w:r>
        <w:rPr>
          <w:spacing w:val="1"/>
          <w:w w:val="90"/>
        </w:rPr>
        <w:t>2016</w:t>
      </w:r>
      <w:r>
        <w:rPr>
          <w:w w:val="90"/>
        </w:rPr>
        <w:t> </w:t>
      </w:r>
      <w:r>
        <w:rPr>
          <w:w w:val="97"/>
        </w:rPr>
        <w:t>were </w:t>
      </w:r>
      <w:r>
        <w:rPr>
          <w:spacing w:val="1"/>
          <w:w w:val="97"/>
        </w:rPr>
        <w:t>shaped</w:t>
      </w:r>
      <w:r>
        <w:rPr>
          <w:w w:val="97"/>
        </w:rPr>
        <w:t> </w:t>
      </w:r>
      <w:r>
        <w:rPr>
          <w:spacing w:val="-1"/>
          <w:w w:val="102"/>
        </w:rPr>
        <w:t>by</w:t>
      </w:r>
      <w:r>
        <w:rPr>
          <w:w w:val="102"/>
        </w:rPr>
        <w:t> </w:t>
      </w:r>
      <w:r>
        <w:rPr/>
        <w:t>these analyses, together with the Australian Government’s National Innovation and Science</w:t>
      </w:r>
      <w:r>
        <w:rPr>
          <w:spacing w:val="-19"/>
        </w:rPr>
        <w:t> </w:t>
      </w:r>
      <w:r>
        <w:rPr/>
        <w:t>Agenda;</w:t>
      </w:r>
      <w:r>
        <w:rPr>
          <w:spacing w:val="-19"/>
        </w:rPr>
        <w:t> </w:t>
      </w:r>
      <w:r>
        <w:rPr/>
        <w:t>the</w:t>
      </w:r>
      <w:r>
        <w:rPr>
          <w:spacing w:val="-19"/>
        </w:rPr>
        <w:t> </w:t>
      </w:r>
      <w:r>
        <w:rPr/>
        <w:t>14</w:t>
      </w:r>
      <w:r>
        <w:rPr>
          <w:spacing w:val="-19"/>
        </w:rPr>
        <w:t> </w:t>
      </w:r>
      <w:r>
        <w:rPr/>
        <w:t>Grand</w:t>
      </w:r>
      <w:r>
        <w:rPr>
          <w:spacing w:val="-19"/>
        </w:rPr>
        <w:t> </w:t>
      </w:r>
      <w:r>
        <w:rPr/>
        <w:t>Challenges</w:t>
      </w:r>
      <w:r>
        <w:rPr>
          <w:spacing w:val="-19"/>
        </w:rPr>
        <w:t> </w:t>
      </w:r>
      <w:r>
        <w:rPr/>
        <w:t>for Engineering</w:t>
      </w:r>
      <w:r>
        <w:rPr>
          <w:spacing w:val="-26"/>
        </w:rPr>
        <w:t> </w:t>
      </w:r>
      <w:r>
        <w:rPr/>
        <w:t>in</w:t>
      </w:r>
      <w:r>
        <w:rPr>
          <w:spacing w:val="-26"/>
        </w:rPr>
        <w:t> </w:t>
      </w:r>
      <w:r>
        <w:rPr/>
        <w:t>the</w:t>
      </w:r>
      <w:r>
        <w:rPr>
          <w:spacing w:val="-26"/>
        </w:rPr>
        <w:t> </w:t>
      </w:r>
      <w:r>
        <w:rPr>
          <w:spacing w:val="2"/>
        </w:rPr>
        <w:t>21st</w:t>
      </w:r>
      <w:r>
        <w:rPr>
          <w:spacing w:val="-26"/>
        </w:rPr>
        <w:t> </w:t>
      </w:r>
      <w:r>
        <w:rPr/>
        <w:t>Century,</w:t>
      </w:r>
      <w:r>
        <w:rPr>
          <w:spacing w:val="-26"/>
        </w:rPr>
        <w:t> </w:t>
      </w:r>
      <w:r>
        <w:rPr/>
        <w:t>as</w:t>
      </w:r>
      <w:r>
        <w:rPr>
          <w:spacing w:val="-26"/>
        </w:rPr>
        <w:t> </w:t>
      </w:r>
      <w:r>
        <w:rPr/>
        <w:t>formulated by the US National Academy for Engineering </w:t>
      </w:r>
      <w:r>
        <w:rPr>
          <w:w w:val="95"/>
        </w:rPr>
        <w:t>(www.engineeringchallenges.org);  and</w:t>
      </w:r>
      <w:r>
        <w:rPr>
          <w:spacing w:val="11"/>
          <w:w w:val="95"/>
        </w:rPr>
        <w:t> </w:t>
      </w:r>
      <w:r>
        <w:rPr>
          <w:w w:val="95"/>
        </w:rPr>
        <w:t>the</w:t>
      </w:r>
    </w:p>
    <w:p>
      <w:pPr>
        <w:pStyle w:val="BodyText"/>
        <w:spacing w:line="249" w:lineRule="auto"/>
        <w:ind w:left="107" w:right="196"/>
      </w:pPr>
      <w:r>
        <w:rPr/>
        <w:t>17</w:t>
      </w:r>
      <w:r>
        <w:rPr>
          <w:spacing w:val="-21"/>
        </w:rPr>
        <w:t> </w:t>
      </w:r>
      <w:r>
        <w:rPr/>
        <w:t>Global</w:t>
      </w:r>
      <w:r>
        <w:rPr>
          <w:spacing w:val="-21"/>
        </w:rPr>
        <w:t> </w:t>
      </w:r>
      <w:r>
        <w:rPr/>
        <w:t>Goals</w:t>
      </w:r>
      <w:r>
        <w:rPr>
          <w:spacing w:val="-21"/>
        </w:rPr>
        <w:t> </w:t>
      </w:r>
      <w:r>
        <w:rPr/>
        <w:t>For</w:t>
      </w:r>
      <w:r>
        <w:rPr>
          <w:spacing w:val="-21"/>
        </w:rPr>
        <w:t> </w:t>
      </w:r>
      <w:r>
        <w:rPr/>
        <w:t>Sustainable</w:t>
      </w:r>
      <w:r>
        <w:rPr>
          <w:spacing w:val="-21"/>
        </w:rPr>
        <w:t> </w:t>
      </w:r>
      <w:r>
        <w:rPr/>
        <w:t>Development (www.globalgoals.org).</w:t>
      </w:r>
    </w:p>
    <w:p>
      <w:pPr>
        <w:pStyle w:val="BodyText"/>
        <w:rPr>
          <w:sz w:val="14"/>
        </w:rPr>
      </w:pPr>
    </w:p>
    <w:p>
      <w:pPr>
        <w:pStyle w:val="BodyText"/>
        <w:spacing w:line="249" w:lineRule="auto"/>
        <w:ind w:left="107" w:right="469"/>
      </w:pPr>
      <w:r>
        <w:rPr/>
        <w:t>SCEM’s student-centred initiatives for </w:t>
      </w:r>
      <w:r>
        <w:rPr>
          <w:w w:val="90"/>
        </w:rPr>
        <w:t>2016 </w:t>
      </w:r>
      <w:r>
        <w:rPr>
          <w:w w:val="94"/>
        </w:rPr>
        <w:t>included:</w:t>
      </w:r>
    </w:p>
    <w:p>
      <w:pPr>
        <w:pStyle w:val="BodyText"/>
        <w:spacing w:line="247" w:lineRule="auto" w:before="55"/>
        <w:ind w:left="305" w:right="66" w:hanging="199"/>
      </w:pPr>
      <w:r>
        <w:rPr>
          <w:rFonts w:ascii="Century Gothic" w:hAnsi="Century Gothic"/>
          <w:b/>
          <w:w w:val="115"/>
        </w:rPr>
        <w:t>≥ </w:t>
      </w:r>
      <w:r>
        <w:rPr/>
        <w:t>creating a framework and platform (including curriculum structure) for developing research-led academic programs that will prepare students for the opportunities and changes of the fourth industrial revolution</w:t>
      </w:r>
    </w:p>
    <w:p>
      <w:pPr>
        <w:pStyle w:val="BodyText"/>
        <w:spacing w:line="247" w:lineRule="auto" w:before="57"/>
        <w:ind w:left="305" w:hanging="199"/>
      </w:pPr>
      <w:r>
        <w:rPr>
          <w:rFonts w:ascii="Century Gothic" w:hAnsi="Century Gothic"/>
          <w:b/>
          <w:w w:val="115"/>
        </w:rPr>
        <w:t>≥ </w:t>
      </w:r>
      <w:r>
        <w:rPr/>
        <w:t>establishing integrated research and development projects that support transdisciplinary and interdisciplinary thinking with measurable impact and extensive student involvement</w:t>
      </w:r>
    </w:p>
    <w:p>
      <w:pPr>
        <w:pStyle w:val="BodyText"/>
        <w:spacing w:line="247" w:lineRule="auto" w:before="57"/>
        <w:ind w:left="305" w:hanging="199"/>
      </w:pPr>
      <w:r>
        <w:rPr>
          <w:rFonts w:ascii="Century Gothic" w:hAnsi="Century Gothic"/>
          <w:b/>
          <w:w w:val="115"/>
        </w:rPr>
        <w:t>≥ </w:t>
      </w:r>
      <w:r>
        <w:rPr/>
        <w:t>extending the national and international impact of the School through its academic excellence, entrepreneurship, professional outreach, partnerships and community involvement.</w:t>
      </w:r>
    </w:p>
    <w:p>
      <w:pPr>
        <w:pStyle w:val="BodyText"/>
        <w:spacing w:before="2"/>
        <w:rPr>
          <w:sz w:val="14"/>
        </w:rPr>
      </w:pPr>
    </w:p>
    <w:p>
      <w:pPr>
        <w:pStyle w:val="BodyText"/>
        <w:spacing w:line="249" w:lineRule="auto"/>
        <w:ind w:left="107"/>
      </w:pPr>
      <w:r>
        <w:rPr/>
        <w:t>Strategic development of the transdisciplinary culture and steady enrolments in the School’s academic programs saw richer interaction </w:t>
      </w:r>
      <w:r>
        <w:rPr>
          <w:w w:val="98"/>
        </w:rPr>
        <w:t>between </w:t>
      </w:r>
      <w:r>
        <w:rPr>
          <w:w w:val="97"/>
        </w:rPr>
        <w:t>the </w:t>
      </w:r>
      <w:r>
        <w:rPr>
          <w:w w:val="97"/>
        </w:rPr>
        <w:t>disciplines </w:t>
      </w:r>
      <w:r>
        <w:rPr>
          <w:w w:val="97"/>
        </w:rPr>
        <w:t>during </w:t>
      </w:r>
      <w:r>
        <w:rPr>
          <w:w w:val="85"/>
        </w:rPr>
        <w:t>2016.</w:t>
      </w:r>
    </w:p>
    <w:p>
      <w:pPr>
        <w:spacing w:after="0" w:line="249" w:lineRule="auto"/>
        <w:sectPr>
          <w:type w:val="continuous"/>
          <w:pgSz w:w="11910" w:h="16840"/>
          <w:pgMar w:top="1580" w:bottom="280" w:left="800" w:right="800"/>
          <w:cols w:num="3" w:equalWidth="0">
            <w:col w:w="3320" w:space="119"/>
            <w:col w:w="3318" w:space="121"/>
            <w:col w:w="3432"/>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5"/>
        <w:rPr>
          <w:rFonts w:ascii="Chronicle Text G1"/>
          <w:b w:val="0"/>
          <w:sz w:val="17"/>
        </w:rPr>
      </w:pPr>
    </w:p>
    <w:p>
      <w:pPr>
        <w:pStyle w:val="Heading7"/>
        <w:spacing w:line="249" w:lineRule="auto"/>
        <w:ind w:right="399"/>
      </w:pPr>
      <w:r>
        <w:rPr/>
        <w:t>LEARNING, TEACHING AND </w:t>
      </w:r>
      <w:r>
        <w:rPr>
          <w:w w:val="95"/>
        </w:rPr>
        <w:t>ACADEMIC ENTREPRENEURSHIP</w:t>
      </w:r>
    </w:p>
    <w:p>
      <w:pPr>
        <w:pStyle w:val="BodyText"/>
        <w:spacing w:line="249" w:lineRule="auto" w:before="50"/>
        <w:ind w:left="107" w:right="-7"/>
      </w:pPr>
      <w:r>
        <w:rPr/>
        <w:t>The</w:t>
      </w:r>
      <w:r>
        <w:rPr>
          <w:spacing w:val="-14"/>
        </w:rPr>
        <w:t> </w:t>
      </w:r>
      <w:r>
        <w:rPr/>
        <w:t>School</w:t>
      </w:r>
      <w:r>
        <w:rPr>
          <w:spacing w:val="-14"/>
        </w:rPr>
        <w:t> </w:t>
      </w:r>
      <w:r>
        <w:rPr/>
        <w:t>developed</w:t>
      </w:r>
      <w:r>
        <w:rPr>
          <w:spacing w:val="-14"/>
        </w:rPr>
        <w:t> </w:t>
      </w:r>
      <w:r>
        <w:rPr/>
        <w:t>the</w:t>
      </w:r>
      <w:r>
        <w:rPr>
          <w:spacing w:val="-14"/>
        </w:rPr>
        <w:t> </w:t>
      </w:r>
      <w:r>
        <w:rPr/>
        <w:t>innovative</w:t>
      </w:r>
      <w:r>
        <w:rPr>
          <w:spacing w:val="-14"/>
        </w:rPr>
        <w:t> </w:t>
      </w:r>
      <w:r>
        <w:rPr/>
        <w:t>Bachelor of Entrepreneurship (Games Design and Simulation). The structure of this academic program provides a prototypical framework and platform for developing research-led academic programs with interdisciplinary and transdisciplinary flavours. The program aims to train the next generation of high-impact entrepreneurs by helping them develop practical skills for success. Simulations and games are </w:t>
      </w:r>
      <w:r>
        <w:rPr>
          <w:spacing w:val="2"/>
        </w:rPr>
        <w:t>part </w:t>
      </w:r>
      <w:r>
        <w:rPr/>
        <w:t>of our everyday environment and</w:t>
      </w:r>
      <w:r>
        <w:rPr>
          <w:spacing w:val="-17"/>
        </w:rPr>
        <w:t> </w:t>
      </w:r>
      <w:r>
        <w:rPr/>
        <w:t>are</w:t>
      </w:r>
      <w:r>
        <w:rPr>
          <w:spacing w:val="-17"/>
        </w:rPr>
        <w:t> </w:t>
      </w:r>
      <w:r>
        <w:rPr/>
        <w:t>used</w:t>
      </w:r>
      <w:r>
        <w:rPr>
          <w:spacing w:val="-17"/>
        </w:rPr>
        <w:t> </w:t>
      </w:r>
      <w:r>
        <w:rPr/>
        <w:t>in</w:t>
      </w:r>
      <w:r>
        <w:rPr>
          <w:spacing w:val="-17"/>
        </w:rPr>
        <w:t> </w:t>
      </w:r>
      <w:r>
        <w:rPr/>
        <w:t>almost</w:t>
      </w:r>
      <w:r>
        <w:rPr>
          <w:spacing w:val="-17"/>
        </w:rPr>
        <w:t> </w:t>
      </w:r>
      <w:r>
        <w:rPr/>
        <w:t>every</w:t>
      </w:r>
      <w:r>
        <w:rPr>
          <w:spacing w:val="-17"/>
        </w:rPr>
        <w:t> </w:t>
      </w:r>
      <w:r>
        <w:rPr/>
        <w:t>profession</w:t>
      </w:r>
    </w:p>
    <w:p>
      <w:pPr>
        <w:pStyle w:val="BodyText"/>
        <w:spacing w:line="249" w:lineRule="auto"/>
        <w:ind w:left="107" w:right="55"/>
      </w:pPr>
      <w:r>
        <w:rPr/>
        <w:t>– which is why SCEM chose them as the specialisations for this first entrepreneurship program. Study of these and all other potential specialisations will be connected with schooling in entrepreneurship. The</w:t>
      </w:r>
    </w:p>
    <w:p>
      <w:pPr>
        <w:pStyle w:val="BodyText"/>
        <w:spacing w:line="249" w:lineRule="auto"/>
        <w:ind w:left="107" w:right="13"/>
      </w:pPr>
      <w:r>
        <w:rPr/>
        <w:t>aim is to guide students throughout their entrepreneurship journey: from ideation and forming</w:t>
      </w:r>
      <w:r>
        <w:rPr>
          <w:spacing w:val="-15"/>
        </w:rPr>
        <w:t> </w:t>
      </w:r>
      <w:r>
        <w:rPr/>
        <w:t>a</w:t>
      </w:r>
      <w:r>
        <w:rPr>
          <w:spacing w:val="-15"/>
        </w:rPr>
        <w:t> </w:t>
      </w:r>
      <w:r>
        <w:rPr/>
        <w:t>development</w:t>
      </w:r>
      <w:r>
        <w:rPr>
          <w:spacing w:val="-15"/>
        </w:rPr>
        <w:t> </w:t>
      </w:r>
      <w:r>
        <w:rPr/>
        <w:t>team</w:t>
      </w:r>
      <w:r>
        <w:rPr>
          <w:spacing w:val="-15"/>
        </w:rPr>
        <w:t> </w:t>
      </w:r>
      <w:r>
        <w:rPr/>
        <w:t>to</w:t>
      </w:r>
      <w:r>
        <w:rPr>
          <w:spacing w:val="-15"/>
        </w:rPr>
        <w:t> </w:t>
      </w:r>
      <w:r>
        <w:rPr/>
        <w:t>pitching</w:t>
      </w:r>
      <w:r>
        <w:rPr>
          <w:spacing w:val="-15"/>
        </w:rPr>
        <w:t> </w:t>
      </w:r>
      <w:r>
        <w:rPr/>
        <w:t>ideas to</w:t>
      </w:r>
      <w:r>
        <w:rPr>
          <w:spacing w:val="-14"/>
        </w:rPr>
        <w:t> </w:t>
      </w:r>
      <w:r>
        <w:rPr/>
        <w:t>potential</w:t>
      </w:r>
      <w:r>
        <w:rPr>
          <w:spacing w:val="-14"/>
        </w:rPr>
        <w:t> </w:t>
      </w:r>
      <w:r>
        <w:rPr/>
        <w:t>investors</w:t>
      </w:r>
      <w:r>
        <w:rPr>
          <w:spacing w:val="-14"/>
        </w:rPr>
        <w:t> </w:t>
      </w:r>
      <w:r>
        <w:rPr/>
        <w:t>and</w:t>
      </w:r>
      <w:r>
        <w:rPr>
          <w:spacing w:val="-14"/>
        </w:rPr>
        <w:t> </w:t>
      </w:r>
      <w:r>
        <w:rPr/>
        <w:t>developing</w:t>
      </w:r>
      <w:r>
        <w:rPr>
          <w:spacing w:val="-14"/>
        </w:rPr>
        <w:t> </w:t>
      </w:r>
      <w:r>
        <w:rPr/>
        <w:t>funding strategies. The School also developed a one- year Bachelor of Entrepreneurship course that</w:t>
      </w:r>
      <w:r>
        <w:rPr>
          <w:spacing w:val="-14"/>
        </w:rPr>
        <w:t> </w:t>
      </w:r>
      <w:r>
        <w:rPr/>
        <w:t>students</w:t>
      </w:r>
      <w:r>
        <w:rPr>
          <w:spacing w:val="-14"/>
        </w:rPr>
        <w:t> </w:t>
      </w:r>
      <w:r>
        <w:rPr/>
        <w:t>can</w:t>
      </w:r>
      <w:r>
        <w:rPr>
          <w:spacing w:val="-14"/>
        </w:rPr>
        <w:t> </w:t>
      </w:r>
      <w:r>
        <w:rPr/>
        <w:t>complete</w:t>
      </w:r>
      <w:r>
        <w:rPr>
          <w:spacing w:val="-14"/>
        </w:rPr>
        <w:t> </w:t>
      </w:r>
      <w:r>
        <w:rPr/>
        <w:t>concurrently</w:t>
      </w:r>
      <w:r>
        <w:rPr>
          <w:spacing w:val="-14"/>
        </w:rPr>
        <w:t> </w:t>
      </w:r>
      <w:r>
        <w:rPr/>
        <w:t>with courses</w:t>
      </w:r>
      <w:r>
        <w:rPr>
          <w:spacing w:val="-29"/>
        </w:rPr>
        <w:t> </w:t>
      </w:r>
      <w:r>
        <w:rPr/>
        <w:t>in</w:t>
      </w:r>
      <w:r>
        <w:rPr>
          <w:spacing w:val="-29"/>
        </w:rPr>
        <w:t> </w:t>
      </w:r>
      <w:r>
        <w:rPr/>
        <w:t>science,</w:t>
      </w:r>
      <w:r>
        <w:rPr>
          <w:spacing w:val="-29"/>
        </w:rPr>
        <w:t> </w:t>
      </w:r>
      <w:r>
        <w:rPr/>
        <w:t>engineering,</w:t>
      </w:r>
      <w:r>
        <w:rPr>
          <w:spacing w:val="-29"/>
        </w:rPr>
        <w:t> </w:t>
      </w:r>
      <w:r>
        <w:rPr/>
        <w:t>business,</w:t>
      </w:r>
    </w:p>
    <w:p>
      <w:pPr>
        <w:pStyle w:val="BodyText"/>
        <w:spacing w:line="249" w:lineRule="auto"/>
        <w:ind w:left="107" w:right="-7"/>
      </w:pPr>
      <w:r>
        <w:rPr/>
        <w:t>arts or other professional areas in pursuing </w:t>
      </w:r>
      <w:r>
        <w:rPr>
          <w:w w:val="97"/>
        </w:rPr>
        <w:t>their </w:t>
      </w:r>
      <w:r>
        <w:rPr>
          <w:w w:val="96"/>
        </w:rPr>
        <w:t>entrepreneurship </w:t>
      </w:r>
      <w:r>
        <w:rPr>
          <w:w w:val="94"/>
        </w:rPr>
        <w:t>aspirations. </w:t>
      </w:r>
      <w:r>
        <w:rPr>
          <w:w w:val="94"/>
        </w:rPr>
        <w:t>The </w:t>
      </w:r>
      <w:r>
        <w:rPr>
          <w:w w:val="87"/>
        </w:rPr>
        <w:t>2017 </w:t>
      </w:r>
      <w:r>
        <w:rPr/>
        <w:t>academic year marked the first student intakes for both courses.</w:t>
      </w:r>
    </w:p>
    <w:p>
      <w:pPr>
        <w:pStyle w:val="BodyText"/>
        <w:rPr>
          <w:sz w:val="14"/>
        </w:rPr>
      </w:pPr>
    </w:p>
    <w:p>
      <w:pPr>
        <w:pStyle w:val="BodyText"/>
        <w:spacing w:line="249" w:lineRule="auto"/>
        <w:ind w:left="107" w:right="7"/>
      </w:pPr>
      <w:r>
        <w:rPr/>
        <w:t>The</w:t>
      </w:r>
      <w:r>
        <w:rPr>
          <w:spacing w:val="-14"/>
        </w:rPr>
        <w:t> </w:t>
      </w:r>
      <w:r>
        <w:rPr/>
        <w:t>School</w:t>
      </w:r>
      <w:r>
        <w:rPr>
          <w:spacing w:val="-14"/>
        </w:rPr>
        <w:t> </w:t>
      </w:r>
      <w:r>
        <w:rPr/>
        <w:t>also</w:t>
      </w:r>
      <w:r>
        <w:rPr>
          <w:spacing w:val="-14"/>
        </w:rPr>
        <w:t> </w:t>
      </w:r>
      <w:r>
        <w:rPr/>
        <w:t>led</w:t>
      </w:r>
      <w:r>
        <w:rPr>
          <w:spacing w:val="-14"/>
        </w:rPr>
        <w:t> </w:t>
      </w:r>
      <w:r>
        <w:rPr/>
        <w:t>the</w:t>
      </w:r>
      <w:r>
        <w:rPr>
          <w:spacing w:val="-14"/>
        </w:rPr>
        <w:t> </w:t>
      </w:r>
      <w:r>
        <w:rPr/>
        <w:t>strategic</w:t>
      </w:r>
      <w:r>
        <w:rPr>
          <w:spacing w:val="-14"/>
        </w:rPr>
        <w:t> </w:t>
      </w:r>
      <w:r>
        <w:rPr/>
        <w:t>development of architecture courses at Western Sydney University. The first intake of architecture </w:t>
      </w:r>
      <w:r>
        <w:rPr>
          <w:spacing w:val="1"/>
          <w:w w:val="97"/>
        </w:rPr>
        <w:t>students</w:t>
      </w:r>
      <w:r>
        <w:rPr>
          <w:w w:val="97"/>
        </w:rPr>
        <w:t> </w:t>
      </w:r>
      <w:r>
        <w:rPr>
          <w:w w:val="95"/>
        </w:rPr>
        <w:t>is </w:t>
      </w:r>
      <w:r>
        <w:rPr>
          <w:spacing w:val="1"/>
          <w:w w:val="99"/>
        </w:rPr>
        <w:t>expected</w:t>
      </w:r>
      <w:r>
        <w:rPr>
          <w:w w:val="99"/>
        </w:rPr>
        <w:t> </w:t>
      </w:r>
      <w:r>
        <w:rPr>
          <w:w w:val="95"/>
        </w:rPr>
        <w:t>in</w:t>
      </w:r>
      <w:r>
        <w:rPr>
          <w:spacing w:val="-26"/>
          <w:w w:val="95"/>
        </w:rPr>
        <w:t> </w:t>
      </w:r>
      <w:r>
        <w:rPr>
          <w:spacing w:val="2"/>
          <w:w w:val="85"/>
        </w:rPr>
        <w:t>2018.</w:t>
      </w:r>
    </w:p>
    <w:p>
      <w:pPr>
        <w:pStyle w:val="BodyText"/>
        <w:rPr>
          <w:sz w:val="14"/>
        </w:rPr>
      </w:pPr>
    </w:p>
    <w:p>
      <w:pPr>
        <w:pStyle w:val="BodyText"/>
        <w:spacing w:line="249" w:lineRule="auto"/>
        <w:ind w:left="107" w:right="-5"/>
      </w:pPr>
      <w:r>
        <w:rPr/>
        <w:t>In its quest to develop new and markedly distinct academic programs with </w:t>
      </w:r>
      <w:r>
        <w:rPr>
          <w:spacing w:val="2"/>
        </w:rPr>
        <w:t>deep </w:t>
      </w:r>
      <w:r>
        <w:rPr/>
        <w:t>interdisciplinary</w:t>
      </w:r>
      <w:r>
        <w:rPr>
          <w:spacing w:val="-16"/>
        </w:rPr>
        <w:t> </w:t>
      </w:r>
      <w:r>
        <w:rPr/>
        <w:t>and</w:t>
      </w:r>
      <w:r>
        <w:rPr>
          <w:spacing w:val="-16"/>
        </w:rPr>
        <w:t> </w:t>
      </w:r>
      <w:r>
        <w:rPr/>
        <w:t>transdisciplinary</w:t>
      </w:r>
      <w:r>
        <w:rPr>
          <w:spacing w:val="-16"/>
        </w:rPr>
        <w:t> </w:t>
      </w:r>
      <w:r>
        <w:rPr/>
        <w:t>bridges, the School has expanded its engineering and construction management programs to the Parramatta </w:t>
      </w:r>
      <w:r>
        <w:rPr>
          <w:spacing w:val="2"/>
        </w:rPr>
        <w:t>campus, </w:t>
      </w:r>
      <w:r>
        <w:rPr/>
        <w:t>with the first student </w:t>
      </w:r>
      <w:r>
        <w:rPr>
          <w:w w:val="96"/>
        </w:rPr>
        <w:t>intake</w:t>
      </w:r>
      <w:r>
        <w:rPr>
          <w:spacing w:val="-7"/>
          <w:w w:val="96"/>
        </w:rPr>
        <w:t> </w:t>
      </w:r>
      <w:r>
        <w:rPr>
          <w:w w:val="95"/>
        </w:rPr>
        <w:t>in</w:t>
      </w:r>
      <w:r>
        <w:rPr>
          <w:spacing w:val="-6"/>
          <w:w w:val="95"/>
        </w:rPr>
        <w:t> </w:t>
      </w:r>
      <w:r>
        <w:rPr>
          <w:w w:val="99"/>
        </w:rPr>
        <w:t>Autumn</w:t>
      </w:r>
      <w:r>
        <w:rPr>
          <w:spacing w:val="-9"/>
          <w:w w:val="99"/>
        </w:rPr>
        <w:t> </w:t>
      </w:r>
      <w:r>
        <w:rPr>
          <w:spacing w:val="-2"/>
          <w:w w:val="83"/>
        </w:rPr>
        <w:t>2017.</w:t>
      </w:r>
      <w:r>
        <w:rPr>
          <w:w w:val="83"/>
        </w:rPr>
        <w:t> </w:t>
      </w:r>
      <w:r>
        <w:rPr>
          <w:spacing w:val="1"/>
          <w:w w:val="94"/>
        </w:rPr>
        <w:t>These</w:t>
      </w:r>
      <w:r>
        <w:rPr>
          <w:spacing w:val="-6"/>
          <w:w w:val="94"/>
        </w:rPr>
        <w:t> </w:t>
      </w:r>
      <w:r>
        <w:rPr>
          <w:spacing w:val="1"/>
          <w:w w:val="98"/>
        </w:rPr>
        <w:t>programs</w:t>
      </w:r>
      <w:r>
        <w:rPr>
          <w:spacing w:val="-8"/>
          <w:w w:val="98"/>
        </w:rPr>
        <w:t> </w:t>
      </w:r>
      <w:r>
        <w:rPr>
          <w:w w:val="97"/>
        </w:rPr>
        <w:t>will</w:t>
      </w:r>
      <w:r>
        <w:rPr>
          <w:spacing w:val="-7"/>
          <w:w w:val="97"/>
        </w:rPr>
        <w:t> </w:t>
      </w:r>
      <w:r>
        <w:rPr>
          <w:spacing w:val="1"/>
          <w:w w:val="99"/>
        </w:rPr>
        <w:t>be</w:t>
      </w:r>
      <w:r>
        <w:rPr>
          <w:w w:val="99"/>
        </w:rPr>
        <w:t> </w:t>
      </w:r>
      <w:r>
        <w:rPr/>
        <w:t>delivered in a new learning space jointly with the</w:t>
      </w:r>
      <w:r>
        <w:rPr>
          <w:spacing w:val="-15"/>
        </w:rPr>
        <w:t> </w:t>
      </w:r>
      <w:r>
        <w:rPr/>
        <w:t>programs</w:t>
      </w:r>
      <w:r>
        <w:rPr>
          <w:spacing w:val="-15"/>
        </w:rPr>
        <w:t> </w:t>
      </w:r>
      <w:r>
        <w:rPr/>
        <w:t>of</w:t>
      </w:r>
      <w:r>
        <w:rPr>
          <w:spacing w:val="-15"/>
        </w:rPr>
        <w:t> </w:t>
      </w:r>
      <w:r>
        <w:rPr/>
        <w:t>the</w:t>
      </w:r>
      <w:r>
        <w:rPr>
          <w:spacing w:val="-15"/>
        </w:rPr>
        <w:t> </w:t>
      </w:r>
      <w:r>
        <w:rPr/>
        <w:t>School</w:t>
      </w:r>
      <w:r>
        <w:rPr>
          <w:spacing w:val="-15"/>
        </w:rPr>
        <w:t> </w:t>
      </w:r>
      <w:r>
        <w:rPr/>
        <w:t>of</w:t>
      </w:r>
      <w:r>
        <w:rPr>
          <w:spacing w:val="-15"/>
        </w:rPr>
        <w:t> </w:t>
      </w:r>
      <w:r>
        <w:rPr/>
        <w:t>Humanities</w:t>
      </w:r>
      <w:r>
        <w:rPr>
          <w:spacing w:val="-15"/>
        </w:rPr>
        <w:t> </w:t>
      </w:r>
      <w:r>
        <w:rPr/>
        <w:t>and Communication </w:t>
      </w:r>
      <w:r>
        <w:rPr>
          <w:spacing w:val="3"/>
        </w:rPr>
        <w:t>Arts. </w:t>
      </w:r>
      <w:r>
        <w:rPr/>
        <w:t>This state-of-the-art learning</w:t>
      </w:r>
      <w:r>
        <w:rPr>
          <w:spacing w:val="-15"/>
        </w:rPr>
        <w:t> </w:t>
      </w:r>
      <w:r>
        <w:rPr/>
        <w:t>precinct</w:t>
      </w:r>
      <w:r>
        <w:rPr>
          <w:spacing w:val="-15"/>
        </w:rPr>
        <w:t> </w:t>
      </w:r>
      <w:r>
        <w:rPr/>
        <w:t>–</w:t>
      </w:r>
      <w:r>
        <w:rPr>
          <w:spacing w:val="-15"/>
        </w:rPr>
        <w:t> </w:t>
      </w:r>
      <w:r>
        <w:rPr/>
        <w:t>which</w:t>
      </w:r>
      <w:r>
        <w:rPr>
          <w:spacing w:val="-15"/>
        </w:rPr>
        <w:t> </w:t>
      </w:r>
      <w:r>
        <w:rPr/>
        <w:t>was</w:t>
      </w:r>
      <w:r>
        <w:rPr>
          <w:spacing w:val="-15"/>
        </w:rPr>
        <w:t> </w:t>
      </w:r>
      <w:r>
        <w:rPr/>
        <w:t>conceptually</w:t>
      </w:r>
    </w:p>
    <w:p>
      <w:pPr>
        <w:pStyle w:val="BodyText"/>
        <w:spacing w:line="249" w:lineRule="auto"/>
        <w:ind w:left="107" w:right="174"/>
      </w:pPr>
      <w:r>
        <w:rPr/>
        <w:t>co-designed by the two schools – includes multipurpose learning studios, engineering laboratories, a media recording studio and other learning spaces. A chemistry lab in the new science building will be used by</w:t>
      </w:r>
    </w:p>
    <w:p>
      <w:pPr>
        <w:pStyle w:val="BodyText"/>
        <w:spacing w:line="192" w:lineRule="exact"/>
        <w:ind w:left="107" w:right="-7"/>
      </w:pPr>
      <w:r>
        <w:rPr/>
        <w:t>environmental</w:t>
      </w:r>
      <w:r>
        <w:rPr>
          <w:spacing w:val="-26"/>
        </w:rPr>
        <w:t> </w:t>
      </w:r>
      <w:r>
        <w:rPr/>
        <w:t>engineering</w:t>
      </w:r>
      <w:r>
        <w:rPr>
          <w:spacing w:val="-26"/>
        </w:rPr>
        <w:t> </w:t>
      </w:r>
      <w:r>
        <w:rPr/>
        <w:t>students.</w:t>
      </w:r>
      <w:r>
        <w:rPr>
          <w:spacing w:val="-26"/>
        </w:rPr>
        <w:t> </w:t>
      </w:r>
      <w:r>
        <w:rPr/>
        <w:t>The</w:t>
      </w:r>
      <w:r>
        <w:rPr>
          <w:spacing w:val="-26"/>
        </w:rPr>
        <w:t> </w:t>
      </w:r>
      <w:r>
        <w:rPr/>
        <w:t>joint</w:t>
      </w:r>
    </w:p>
    <w:p>
      <w:pPr>
        <w:pStyle w:val="BodyText"/>
        <w:spacing w:before="10"/>
      </w:pPr>
      <w:r>
        <w:rPr/>
        <w:br w:type="column"/>
      </w:r>
      <w:r>
        <w:rPr/>
      </w:r>
    </w:p>
    <w:p>
      <w:pPr>
        <w:pStyle w:val="BodyText"/>
        <w:spacing w:line="249" w:lineRule="auto"/>
        <w:ind w:left="107" w:right="29"/>
      </w:pPr>
      <w:r>
        <w:rPr/>
        <w:t>learning</w:t>
      </w:r>
      <w:r>
        <w:rPr>
          <w:spacing w:val="-15"/>
        </w:rPr>
        <w:t> </w:t>
      </w:r>
      <w:r>
        <w:rPr/>
        <w:t>space</w:t>
      </w:r>
      <w:r>
        <w:rPr>
          <w:spacing w:val="-15"/>
        </w:rPr>
        <w:t> </w:t>
      </w:r>
      <w:r>
        <w:rPr/>
        <w:t>design</w:t>
      </w:r>
      <w:r>
        <w:rPr>
          <w:spacing w:val="-15"/>
        </w:rPr>
        <w:t> </w:t>
      </w:r>
      <w:r>
        <w:rPr/>
        <w:t>is</w:t>
      </w:r>
      <w:r>
        <w:rPr>
          <w:spacing w:val="-15"/>
        </w:rPr>
        <w:t> </w:t>
      </w:r>
      <w:r>
        <w:rPr/>
        <w:t>expected</w:t>
      </w:r>
      <w:r>
        <w:rPr>
          <w:spacing w:val="-15"/>
        </w:rPr>
        <w:t> </w:t>
      </w:r>
      <w:r>
        <w:rPr/>
        <w:t>to</w:t>
      </w:r>
      <w:r>
        <w:rPr>
          <w:spacing w:val="-15"/>
        </w:rPr>
        <w:t> </w:t>
      </w:r>
      <w:r>
        <w:rPr/>
        <w:t>stimulate crossdisciplinary and transdisciplinary thinking</w:t>
      </w:r>
      <w:r>
        <w:rPr>
          <w:spacing w:val="-20"/>
        </w:rPr>
        <w:t> </w:t>
      </w:r>
      <w:r>
        <w:rPr/>
        <w:t>and</w:t>
      </w:r>
      <w:r>
        <w:rPr>
          <w:spacing w:val="-20"/>
        </w:rPr>
        <w:t> </w:t>
      </w:r>
      <w:r>
        <w:rPr/>
        <w:t>interaction</w:t>
      </w:r>
      <w:r>
        <w:rPr>
          <w:spacing w:val="-20"/>
        </w:rPr>
        <w:t> </w:t>
      </w:r>
      <w:r>
        <w:rPr/>
        <w:t>at</w:t>
      </w:r>
      <w:r>
        <w:rPr>
          <w:spacing w:val="-20"/>
        </w:rPr>
        <w:t> </w:t>
      </w:r>
      <w:r>
        <w:rPr/>
        <w:t>all</w:t>
      </w:r>
      <w:r>
        <w:rPr>
          <w:spacing w:val="-20"/>
        </w:rPr>
        <w:t> </w:t>
      </w:r>
      <w:r>
        <w:rPr/>
        <w:t>levels,</w:t>
      </w:r>
      <w:r>
        <w:rPr>
          <w:spacing w:val="-20"/>
        </w:rPr>
        <w:t> </w:t>
      </w:r>
      <w:r>
        <w:rPr/>
        <w:t>and</w:t>
      </w:r>
    </w:p>
    <w:p>
      <w:pPr>
        <w:pStyle w:val="BodyText"/>
        <w:spacing w:line="249" w:lineRule="auto"/>
        <w:ind w:left="107" w:right="-3"/>
      </w:pPr>
      <w:r>
        <w:rPr/>
        <w:t>help to develop a rich, innovative learning experience</w:t>
      </w:r>
      <w:r>
        <w:rPr>
          <w:spacing w:val="-25"/>
        </w:rPr>
        <w:t> </w:t>
      </w:r>
      <w:r>
        <w:rPr/>
        <w:t>that</w:t>
      </w:r>
      <w:r>
        <w:rPr>
          <w:spacing w:val="-25"/>
        </w:rPr>
        <w:t> </w:t>
      </w:r>
      <w:r>
        <w:rPr/>
        <w:t>integrates</w:t>
      </w:r>
      <w:r>
        <w:rPr>
          <w:spacing w:val="-25"/>
        </w:rPr>
        <w:t> </w:t>
      </w:r>
      <w:r>
        <w:rPr/>
        <w:t>science,</w:t>
      </w:r>
      <w:r>
        <w:rPr>
          <w:spacing w:val="-25"/>
        </w:rPr>
        <w:t> </w:t>
      </w:r>
      <w:r>
        <w:rPr/>
        <w:t>computing, engineering,</w:t>
      </w:r>
      <w:r>
        <w:rPr>
          <w:spacing w:val="-26"/>
        </w:rPr>
        <w:t> </w:t>
      </w:r>
      <w:r>
        <w:rPr/>
        <w:t>design,</w:t>
      </w:r>
      <w:r>
        <w:rPr>
          <w:spacing w:val="-26"/>
        </w:rPr>
        <w:t> </w:t>
      </w:r>
      <w:r>
        <w:rPr/>
        <w:t>communication</w:t>
      </w:r>
      <w:r>
        <w:rPr>
          <w:spacing w:val="-26"/>
        </w:rPr>
        <w:t> </w:t>
      </w:r>
      <w:r>
        <w:rPr>
          <w:spacing w:val="2"/>
        </w:rPr>
        <w:t>arts</w:t>
      </w:r>
    </w:p>
    <w:p>
      <w:pPr>
        <w:pStyle w:val="BodyText"/>
        <w:spacing w:line="249" w:lineRule="auto"/>
        <w:ind w:left="107" w:right="23"/>
      </w:pPr>
      <w:r>
        <w:rPr/>
        <w:t>and mathematics (SCEDAM). The SCEDAM vision,</w:t>
      </w:r>
      <w:r>
        <w:rPr>
          <w:spacing w:val="-18"/>
        </w:rPr>
        <w:t> </w:t>
      </w:r>
      <w:r>
        <w:rPr/>
        <w:t>and</w:t>
      </w:r>
      <w:r>
        <w:rPr>
          <w:spacing w:val="-18"/>
        </w:rPr>
        <w:t> </w:t>
      </w:r>
      <w:r>
        <w:rPr/>
        <w:t>the</w:t>
      </w:r>
      <w:r>
        <w:rPr>
          <w:spacing w:val="-18"/>
        </w:rPr>
        <w:t> </w:t>
      </w:r>
      <w:r>
        <w:rPr/>
        <w:t>philosophy</w:t>
      </w:r>
      <w:r>
        <w:rPr>
          <w:spacing w:val="-18"/>
        </w:rPr>
        <w:t> </w:t>
      </w:r>
      <w:r>
        <w:rPr/>
        <w:t>behind</w:t>
      </w:r>
      <w:r>
        <w:rPr>
          <w:spacing w:val="-18"/>
        </w:rPr>
        <w:t> </w:t>
      </w:r>
      <w:r>
        <w:rPr/>
        <w:t>it,</w:t>
      </w:r>
      <w:r>
        <w:rPr>
          <w:spacing w:val="-18"/>
        </w:rPr>
        <w:t> </w:t>
      </w:r>
      <w:r>
        <w:rPr/>
        <w:t>recognise two complementary national government strategies: the National Innovation and Science Agenda, and Creative Industries, a Strategy</w:t>
      </w:r>
      <w:r>
        <w:rPr>
          <w:spacing w:val="-27"/>
        </w:rPr>
        <w:t> </w:t>
      </w:r>
      <w:r>
        <w:rPr/>
        <w:t>for</w:t>
      </w:r>
      <w:r>
        <w:rPr>
          <w:spacing w:val="-27"/>
        </w:rPr>
        <w:t> </w:t>
      </w:r>
      <w:r>
        <w:rPr>
          <w:spacing w:val="2"/>
        </w:rPr>
        <w:t>21st</w:t>
      </w:r>
      <w:r>
        <w:rPr>
          <w:spacing w:val="-27"/>
        </w:rPr>
        <w:t> </w:t>
      </w:r>
      <w:r>
        <w:rPr/>
        <w:t>Century</w:t>
      </w:r>
      <w:r>
        <w:rPr>
          <w:spacing w:val="-27"/>
        </w:rPr>
        <w:t> </w:t>
      </w:r>
      <w:r>
        <w:rPr/>
        <w:t>Australia.</w:t>
      </w:r>
    </w:p>
    <w:p>
      <w:pPr>
        <w:pStyle w:val="BodyText"/>
        <w:rPr>
          <w:sz w:val="14"/>
        </w:rPr>
      </w:pPr>
    </w:p>
    <w:p>
      <w:pPr>
        <w:pStyle w:val="BodyText"/>
        <w:spacing w:line="249" w:lineRule="auto"/>
        <w:ind w:left="107" w:right="452"/>
      </w:pPr>
      <w:r>
        <w:rPr/>
        <w:t>The School continued its commitment to developing double-degree programs by</w:t>
      </w:r>
      <w:r>
        <w:rPr>
          <w:spacing w:val="-15"/>
        </w:rPr>
        <w:t> </w:t>
      </w:r>
      <w:r>
        <w:rPr/>
        <w:t>adding</w:t>
      </w:r>
      <w:r>
        <w:rPr>
          <w:spacing w:val="-15"/>
        </w:rPr>
        <w:t> </w:t>
      </w:r>
      <w:r>
        <w:rPr/>
        <w:t>two</w:t>
      </w:r>
      <w:r>
        <w:rPr>
          <w:spacing w:val="-15"/>
        </w:rPr>
        <w:t> </w:t>
      </w:r>
      <w:r>
        <w:rPr/>
        <w:t>new</w:t>
      </w:r>
      <w:r>
        <w:rPr>
          <w:spacing w:val="-15"/>
        </w:rPr>
        <w:t> </w:t>
      </w:r>
      <w:r>
        <w:rPr/>
        <w:t>courses:</w:t>
      </w:r>
      <w:r>
        <w:rPr>
          <w:spacing w:val="-15"/>
        </w:rPr>
        <w:t> </w:t>
      </w:r>
      <w:r>
        <w:rPr/>
        <w:t>Bachelor</w:t>
      </w:r>
      <w:r>
        <w:rPr>
          <w:spacing w:val="-15"/>
        </w:rPr>
        <w:t> </w:t>
      </w:r>
      <w:r>
        <w:rPr/>
        <w:t>of</w:t>
      </w:r>
    </w:p>
    <w:p>
      <w:pPr>
        <w:pStyle w:val="BodyText"/>
        <w:spacing w:line="249" w:lineRule="auto"/>
        <w:ind w:left="107" w:right="-2"/>
      </w:pPr>
      <w:r>
        <w:rPr/>
        <w:t>Information Systems/Bachelor of Business and Bachelor of Information Systems/ Bachelor of Law. Student intakes for these </w:t>
      </w:r>
      <w:r>
        <w:rPr>
          <w:w w:val="98"/>
        </w:rPr>
        <w:t>programs </w:t>
      </w:r>
      <w:r>
        <w:rPr>
          <w:w w:val="97"/>
        </w:rPr>
        <w:t>will </w:t>
      </w:r>
      <w:r>
        <w:rPr>
          <w:w w:val="97"/>
        </w:rPr>
        <w:t>start </w:t>
      </w:r>
      <w:r>
        <w:rPr>
          <w:w w:val="95"/>
        </w:rPr>
        <w:t>in </w:t>
      </w:r>
      <w:r>
        <w:rPr>
          <w:w w:val="83"/>
        </w:rPr>
        <w:t>2017. </w:t>
      </w:r>
      <w:r>
        <w:rPr>
          <w:w w:val="94"/>
        </w:rPr>
        <w:t>The </w:t>
      </w:r>
      <w:r>
        <w:rPr>
          <w:w w:val="98"/>
        </w:rPr>
        <w:t>Bachelor </w:t>
      </w:r>
      <w:r>
        <w:rPr>
          <w:w w:val="99"/>
        </w:rPr>
        <w:t>of </w:t>
      </w:r>
      <w:r>
        <w:rPr/>
        <w:t>Engineering (Honours)/Bachelor of Business </w:t>
      </w:r>
      <w:r>
        <w:rPr>
          <w:w w:val="98"/>
        </w:rPr>
        <w:t>double </w:t>
      </w:r>
      <w:r>
        <w:rPr>
          <w:w w:val="93"/>
        </w:rPr>
        <w:t>degree, </w:t>
      </w:r>
      <w:r>
        <w:rPr>
          <w:w w:val="99"/>
        </w:rPr>
        <w:t>developed </w:t>
      </w:r>
      <w:r>
        <w:rPr>
          <w:w w:val="95"/>
        </w:rPr>
        <w:t>in </w:t>
      </w:r>
      <w:r>
        <w:rPr>
          <w:w w:val="84"/>
        </w:rPr>
        <w:t>2015, </w:t>
      </w:r>
      <w:r>
        <w:rPr>
          <w:w w:val="97"/>
        </w:rPr>
        <w:t>had </w:t>
      </w:r>
      <w:r>
        <w:rPr>
          <w:w w:val="94"/>
        </w:rPr>
        <w:t>a </w:t>
      </w:r>
      <w:r>
        <w:rPr>
          <w:w w:val="97"/>
        </w:rPr>
        <w:t>healthy </w:t>
      </w:r>
      <w:r>
        <w:rPr>
          <w:w w:val="97"/>
        </w:rPr>
        <w:t>first-year </w:t>
      </w:r>
      <w:r>
        <w:rPr>
          <w:w w:val="96"/>
        </w:rPr>
        <w:t>intake </w:t>
      </w:r>
      <w:r>
        <w:rPr>
          <w:w w:val="95"/>
        </w:rPr>
        <w:t>in </w:t>
      </w:r>
      <w:r>
        <w:rPr>
          <w:w w:val="85"/>
        </w:rPr>
        <w:t>2016.</w:t>
      </w:r>
    </w:p>
    <w:p>
      <w:pPr>
        <w:pStyle w:val="BodyText"/>
        <w:rPr>
          <w:sz w:val="14"/>
        </w:rPr>
      </w:pPr>
    </w:p>
    <w:p>
      <w:pPr>
        <w:pStyle w:val="BodyText"/>
        <w:spacing w:line="249" w:lineRule="auto"/>
        <w:ind w:left="107" w:right="3"/>
      </w:pPr>
      <w:r>
        <w:rPr/>
        <w:t>Strategic priority has been given to developing undergraduate and postgraduate </w:t>
      </w:r>
      <w:r>
        <w:rPr>
          <w:w w:val="98"/>
        </w:rPr>
        <w:t>data </w:t>
      </w:r>
      <w:r>
        <w:rPr>
          <w:w w:val="97"/>
        </w:rPr>
        <w:t>science </w:t>
      </w:r>
      <w:r>
        <w:rPr>
          <w:w w:val="94"/>
        </w:rPr>
        <w:t>programs, </w:t>
      </w:r>
      <w:r>
        <w:rPr>
          <w:w w:val="98"/>
        </w:rPr>
        <w:t>which </w:t>
      </w:r>
      <w:r>
        <w:rPr>
          <w:w w:val="98"/>
        </w:rPr>
        <w:t>started </w:t>
      </w:r>
      <w:r>
        <w:rPr>
          <w:w w:val="95"/>
        </w:rPr>
        <w:t>in </w:t>
      </w:r>
      <w:r>
        <w:rPr>
          <w:w w:val="85"/>
        </w:rPr>
        <w:t>2016. </w:t>
      </w:r>
      <w:r>
        <w:rPr/>
        <w:t>The University had its first graduate from the transdisciplinary concurrent Bachelor of Data </w:t>
      </w:r>
      <w:r>
        <w:rPr>
          <w:w w:val="98"/>
        </w:rPr>
        <w:t>Science </w:t>
      </w:r>
      <w:r>
        <w:rPr>
          <w:w w:val="95"/>
        </w:rPr>
        <w:t>in </w:t>
      </w:r>
      <w:r>
        <w:rPr>
          <w:w w:val="85"/>
        </w:rPr>
        <w:t>2016.</w:t>
      </w:r>
    </w:p>
    <w:p>
      <w:pPr>
        <w:pStyle w:val="BodyText"/>
        <w:rPr>
          <w:sz w:val="14"/>
        </w:rPr>
      </w:pPr>
    </w:p>
    <w:p>
      <w:pPr>
        <w:pStyle w:val="BodyText"/>
        <w:spacing w:line="249" w:lineRule="auto"/>
        <w:ind w:left="107" w:right="22"/>
      </w:pPr>
      <w:r>
        <w:rPr/>
        <w:t>The School continued its commitment to The Academy and to delivering the concurrent Bachelor in Applied Leadership and Critical Thinking. The School’s programs continue</w:t>
      </w:r>
    </w:p>
    <w:p>
      <w:pPr>
        <w:pStyle w:val="BodyText"/>
        <w:spacing w:line="249" w:lineRule="auto"/>
        <w:ind w:left="107" w:right="149"/>
      </w:pPr>
      <w:r>
        <w:rPr/>
        <w:t>to</w:t>
      </w:r>
      <w:r>
        <w:rPr>
          <w:spacing w:val="-14"/>
        </w:rPr>
        <w:t> </w:t>
      </w:r>
      <w:r>
        <w:rPr/>
        <w:t>focus</w:t>
      </w:r>
      <w:r>
        <w:rPr>
          <w:spacing w:val="-14"/>
        </w:rPr>
        <w:t> </w:t>
      </w:r>
      <w:r>
        <w:rPr/>
        <w:t>on</w:t>
      </w:r>
      <w:r>
        <w:rPr>
          <w:spacing w:val="-14"/>
        </w:rPr>
        <w:t> </w:t>
      </w:r>
      <w:r>
        <w:rPr/>
        <w:t>being</w:t>
      </w:r>
      <w:r>
        <w:rPr>
          <w:spacing w:val="-14"/>
        </w:rPr>
        <w:t> </w:t>
      </w:r>
      <w:r>
        <w:rPr/>
        <w:t>highly</w:t>
      </w:r>
      <w:r>
        <w:rPr>
          <w:spacing w:val="-14"/>
        </w:rPr>
        <w:t> </w:t>
      </w:r>
      <w:r>
        <w:rPr/>
        <w:t>relevant</w:t>
      </w:r>
      <w:r>
        <w:rPr>
          <w:spacing w:val="-14"/>
        </w:rPr>
        <w:t> </w:t>
      </w:r>
      <w:r>
        <w:rPr/>
        <w:t>to</w:t>
      </w:r>
      <w:r>
        <w:rPr>
          <w:spacing w:val="-14"/>
        </w:rPr>
        <w:t> </w:t>
      </w:r>
      <w:r>
        <w:rPr/>
        <w:t>industry practice and meeting professional body accreditation requirements. The Master of Building Surveying program obtained full accreditation from the Australian Institute of Building Surveyors. The majority of the School’s other programs will be seeking </w:t>
      </w:r>
      <w:r>
        <w:rPr>
          <w:w w:val="98"/>
        </w:rPr>
        <w:t>accreditation </w:t>
      </w:r>
      <w:r>
        <w:rPr>
          <w:w w:val="95"/>
        </w:rPr>
        <w:t>in </w:t>
      </w:r>
      <w:r>
        <w:rPr>
          <w:spacing w:val="-2"/>
          <w:w w:val="83"/>
        </w:rPr>
        <w:t>2017.</w:t>
      </w:r>
    </w:p>
    <w:p>
      <w:pPr>
        <w:pStyle w:val="BodyText"/>
        <w:rPr>
          <w:sz w:val="14"/>
        </w:rPr>
      </w:pPr>
    </w:p>
    <w:p>
      <w:pPr>
        <w:pStyle w:val="BodyText"/>
        <w:spacing w:line="249" w:lineRule="auto"/>
        <w:ind w:left="107" w:right="448"/>
      </w:pPr>
      <w:r>
        <w:rPr/>
        <w:t>The School has strategically developed postgraduate programs. Together with the School of Business and the School of Law, it took the lead in developing</w:t>
      </w:r>
    </w:p>
    <w:p>
      <w:pPr>
        <w:pStyle w:val="BodyText"/>
        <w:spacing w:line="249" w:lineRule="auto"/>
        <w:ind w:left="107" w:right="213"/>
      </w:pPr>
      <w:r>
        <w:rPr/>
        <w:t>a new masters course in Information Governance to meet the rapidly increasing demand from industry, government and non-government organisations for safe management and governance related to information technology. The program will </w:t>
      </w:r>
      <w:r>
        <w:rPr>
          <w:w w:val="99"/>
        </w:rPr>
        <w:t>be </w:t>
      </w:r>
      <w:r>
        <w:rPr>
          <w:w w:val="98"/>
        </w:rPr>
        <w:t>ready </w:t>
      </w:r>
      <w:r>
        <w:rPr>
          <w:w w:val="98"/>
        </w:rPr>
        <w:t>for </w:t>
      </w:r>
      <w:r>
        <w:rPr>
          <w:w w:val="98"/>
        </w:rPr>
        <w:t>student </w:t>
      </w:r>
      <w:r>
        <w:rPr>
          <w:w w:val="96"/>
        </w:rPr>
        <w:t>intake </w:t>
      </w:r>
      <w:r>
        <w:rPr>
          <w:w w:val="95"/>
        </w:rPr>
        <w:t>in </w:t>
      </w:r>
      <w:r>
        <w:rPr>
          <w:w w:val="90"/>
        </w:rPr>
        <w:t>mid-2017. </w:t>
      </w:r>
      <w:r>
        <w:rPr>
          <w:w w:val="80"/>
        </w:rPr>
        <w:t>In</w:t>
      </w:r>
    </w:p>
    <w:p>
      <w:pPr>
        <w:pStyle w:val="BodyText"/>
        <w:spacing w:before="10"/>
      </w:pPr>
      <w:r>
        <w:rPr/>
        <w:br w:type="column"/>
      </w:r>
      <w:r>
        <w:rPr/>
      </w:r>
    </w:p>
    <w:p>
      <w:pPr>
        <w:pStyle w:val="BodyText"/>
        <w:spacing w:line="249" w:lineRule="auto"/>
        <w:ind w:left="107" w:right="333"/>
      </w:pPr>
      <w:r>
        <w:rPr>
          <w:spacing w:val="2"/>
          <w:w w:val="85"/>
        </w:rPr>
        <w:t>2016,</w:t>
      </w:r>
      <w:r>
        <w:rPr>
          <w:w w:val="85"/>
        </w:rPr>
        <w:t> </w:t>
      </w:r>
      <w:r>
        <w:rPr>
          <w:w w:val="97"/>
        </w:rPr>
        <w:t>the </w:t>
      </w:r>
      <w:r>
        <w:rPr>
          <w:spacing w:val="1"/>
          <w:w w:val="98"/>
        </w:rPr>
        <w:t>School</w:t>
      </w:r>
      <w:r>
        <w:rPr>
          <w:w w:val="98"/>
        </w:rPr>
        <w:t> </w:t>
      </w:r>
      <w:r>
        <w:rPr>
          <w:spacing w:val="1"/>
          <w:w w:val="99"/>
        </w:rPr>
        <w:t>completed</w:t>
      </w:r>
      <w:r>
        <w:rPr>
          <w:w w:val="99"/>
        </w:rPr>
        <w:t> </w:t>
      </w:r>
      <w:r>
        <w:rPr>
          <w:spacing w:val="1"/>
          <w:w w:val="98"/>
        </w:rPr>
        <w:t>development</w:t>
      </w:r>
      <w:r>
        <w:rPr>
          <w:w w:val="98"/>
        </w:rPr>
        <w:t> </w:t>
      </w:r>
      <w:r>
        <w:rPr/>
        <w:t>of</w:t>
      </w:r>
      <w:r>
        <w:rPr>
          <w:spacing w:val="-20"/>
        </w:rPr>
        <w:t> </w:t>
      </w:r>
      <w:r>
        <w:rPr/>
        <w:t>the</w:t>
      </w:r>
      <w:r>
        <w:rPr>
          <w:spacing w:val="-20"/>
        </w:rPr>
        <w:t> </w:t>
      </w:r>
      <w:r>
        <w:rPr/>
        <w:t>research</w:t>
      </w:r>
      <w:r>
        <w:rPr>
          <w:spacing w:val="-20"/>
        </w:rPr>
        <w:t> </w:t>
      </w:r>
      <w:r>
        <w:rPr/>
        <w:t>masters</w:t>
      </w:r>
      <w:r>
        <w:rPr>
          <w:spacing w:val="-20"/>
        </w:rPr>
        <w:t> </w:t>
      </w:r>
      <w:r>
        <w:rPr/>
        <w:t>program,</w:t>
      </w:r>
      <w:r>
        <w:rPr>
          <w:spacing w:val="-20"/>
        </w:rPr>
        <w:t> </w:t>
      </w:r>
      <w:r>
        <w:rPr/>
        <w:t>Master</w:t>
      </w:r>
      <w:r>
        <w:rPr>
          <w:spacing w:val="-20"/>
        </w:rPr>
        <w:t> </w:t>
      </w:r>
      <w:r>
        <w:rPr/>
        <w:t>of</w:t>
      </w:r>
    </w:p>
    <w:p>
      <w:pPr>
        <w:pStyle w:val="BodyText"/>
        <w:spacing w:line="249" w:lineRule="auto"/>
        <w:ind w:left="107" w:right="94"/>
      </w:pPr>
      <w:r>
        <w:rPr/>
        <w:t>Information and Communications Technology (Research), which provides students with</w:t>
      </w:r>
    </w:p>
    <w:p>
      <w:pPr>
        <w:pStyle w:val="BodyText"/>
        <w:spacing w:line="249" w:lineRule="auto"/>
        <w:ind w:left="107" w:right="530"/>
      </w:pPr>
      <w:r>
        <w:rPr/>
        <w:t>a pathway to study their PhD degree in this</w:t>
      </w:r>
      <w:r>
        <w:rPr>
          <w:spacing w:val="-17"/>
        </w:rPr>
        <w:t> </w:t>
      </w:r>
      <w:r>
        <w:rPr/>
        <w:t>area</w:t>
      </w:r>
      <w:r>
        <w:rPr>
          <w:spacing w:val="-17"/>
        </w:rPr>
        <w:t> </w:t>
      </w:r>
      <w:r>
        <w:rPr/>
        <w:t>or</w:t>
      </w:r>
      <w:r>
        <w:rPr>
          <w:spacing w:val="-17"/>
        </w:rPr>
        <w:t> </w:t>
      </w:r>
      <w:r>
        <w:rPr/>
        <w:t>to</w:t>
      </w:r>
      <w:r>
        <w:rPr>
          <w:spacing w:val="-17"/>
        </w:rPr>
        <w:t> </w:t>
      </w:r>
      <w:r>
        <w:rPr/>
        <w:t>practise</w:t>
      </w:r>
      <w:r>
        <w:rPr>
          <w:spacing w:val="-17"/>
        </w:rPr>
        <w:t> </w:t>
      </w:r>
      <w:r>
        <w:rPr/>
        <w:t>as</w:t>
      </w:r>
      <w:r>
        <w:rPr>
          <w:spacing w:val="-17"/>
        </w:rPr>
        <w:t> </w:t>
      </w:r>
      <w:r>
        <w:rPr/>
        <w:t>an</w:t>
      </w:r>
      <w:r>
        <w:rPr>
          <w:spacing w:val="-17"/>
        </w:rPr>
        <w:t> </w:t>
      </w:r>
      <w:r>
        <w:rPr/>
        <w:t>information and</w:t>
      </w:r>
      <w:r>
        <w:rPr>
          <w:spacing w:val="-22"/>
        </w:rPr>
        <w:t> </w:t>
      </w:r>
      <w:r>
        <w:rPr/>
        <w:t>communications</w:t>
      </w:r>
      <w:r>
        <w:rPr>
          <w:spacing w:val="-22"/>
        </w:rPr>
        <w:t> </w:t>
      </w:r>
      <w:r>
        <w:rPr/>
        <w:t>technology</w:t>
      </w:r>
      <w:r>
        <w:rPr>
          <w:spacing w:val="-22"/>
        </w:rPr>
        <w:t> </w:t>
      </w:r>
      <w:r>
        <w:rPr>
          <w:spacing w:val="3"/>
        </w:rPr>
        <w:t>(ICT)</w:t>
      </w:r>
    </w:p>
    <w:p>
      <w:pPr>
        <w:pStyle w:val="BodyText"/>
        <w:spacing w:line="249" w:lineRule="auto"/>
        <w:ind w:left="107"/>
      </w:pPr>
      <w:r>
        <w:rPr/>
        <w:t>professional.</w:t>
      </w:r>
      <w:r>
        <w:rPr>
          <w:spacing w:val="-18"/>
        </w:rPr>
        <w:t> </w:t>
      </w:r>
      <w:r>
        <w:rPr/>
        <w:t>This</w:t>
      </w:r>
      <w:r>
        <w:rPr>
          <w:spacing w:val="-18"/>
        </w:rPr>
        <w:t> </w:t>
      </w:r>
      <w:r>
        <w:rPr/>
        <w:t>program</w:t>
      </w:r>
      <w:r>
        <w:rPr>
          <w:spacing w:val="-18"/>
        </w:rPr>
        <w:t> </w:t>
      </w:r>
      <w:r>
        <w:rPr/>
        <w:t>will</w:t>
      </w:r>
      <w:r>
        <w:rPr>
          <w:spacing w:val="-18"/>
        </w:rPr>
        <w:t> </w:t>
      </w:r>
      <w:r>
        <w:rPr/>
        <w:t>be</w:t>
      </w:r>
      <w:r>
        <w:rPr>
          <w:spacing w:val="-18"/>
        </w:rPr>
        <w:t> </w:t>
      </w:r>
      <w:r>
        <w:rPr/>
        <w:t>offered</w:t>
      </w:r>
      <w:r>
        <w:rPr>
          <w:spacing w:val="-18"/>
        </w:rPr>
        <w:t> </w:t>
      </w:r>
      <w:r>
        <w:rPr/>
        <w:t>to </w:t>
      </w:r>
      <w:r>
        <w:rPr>
          <w:spacing w:val="1"/>
          <w:w w:val="97"/>
        </w:rPr>
        <w:t>students</w:t>
      </w:r>
      <w:r>
        <w:rPr>
          <w:w w:val="97"/>
        </w:rPr>
        <w:t> </w:t>
      </w:r>
      <w:r>
        <w:rPr>
          <w:w w:val="95"/>
        </w:rPr>
        <w:t>in</w:t>
      </w:r>
      <w:r>
        <w:rPr>
          <w:spacing w:val="-7"/>
          <w:w w:val="95"/>
        </w:rPr>
        <w:t> </w:t>
      </w:r>
      <w:r>
        <w:rPr>
          <w:spacing w:val="-2"/>
          <w:w w:val="83"/>
        </w:rPr>
        <w:t>2017.</w:t>
      </w:r>
    </w:p>
    <w:p>
      <w:pPr>
        <w:pStyle w:val="BodyText"/>
        <w:rPr>
          <w:sz w:val="14"/>
        </w:rPr>
      </w:pPr>
    </w:p>
    <w:p>
      <w:pPr>
        <w:pStyle w:val="BodyText"/>
        <w:spacing w:line="249" w:lineRule="auto"/>
        <w:ind w:left="107" w:right="111"/>
      </w:pPr>
      <w:r>
        <w:rPr/>
        <w:t>The School continued to provide its students with superior learning experiences through integrated research and development projects. The Formula SAE-A Project was </w:t>
      </w:r>
      <w:r>
        <w:rPr>
          <w:w w:val="97"/>
        </w:rPr>
        <w:t>initiated </w:t>
      </w:r>
      <w:r>
        <w:rPr>
          <w:spacing w:val="-1"/>
          <w:w w:val="102"/>
        </w:rPr>
        <w:t>by</w:t>
      </w:r>
      <w:r>
        <w:rPr>
          <w:w w:val="102"/>
        </w:rPr>
        <w:t> </w:t>
      </w:r>
      <w:r>
        <w:rPr>
          <w:w w:val="97"/>
        </w:rPr>
        <w:t>the </w:t>
      </w:r>
      <w:r>
        <w:rPr>
          <w:spacing w:val="1"/>
          <w:w w:val="98"/>
        </w:rPr>
        <w:t>School</w:t>
      </w:r>
      <w:r>
        <w:rPr>
          <w:w w:val="98"/>
        </w:rPr>
        <w:t> </w:t>
      </w:r>
      <w:r>
        <w:rPr>
          <w:w w:val="95"/>
        </w:rPr>
        <w:t>in </w:t>
      </w:r>
      <w:r>
        <w:rPr>
          <w:spacing w:val="1"/>
          <w:w w:val="88"/>
        </w:rPr>
        <w:t>2015</w:t>
      </w:r>
      <w:r>
        <w:rPr>
          <w:w w:val="88"/>
        </w:rPr>
        <w:t> </w:t>
      </w:r>
      <w:r>
        <w:rPr>
          <w:spacing w:val="-1"/>
          <w:w w:val="101"/>
        </w:rPr>
        <w:t>to</w:t>
      </w:r>
      <w:r>
        <w:rPr>
          <w:w w:val="101"/>
        </w:rPr>
        <w:t> </w:t>
      </w:r>
      <w:r>
        <w:rPr>
          <w:w w:val="99"/>
        </w:rPr>
        <w:t>develop </w:t>
      </w:r>
      <w:r>
        <w:rPr>
          <w:spacing w:val="1"/>
          <w:w w:val="97"/>
        </w:rPr>
        <w:t>and</w:t>
      </w:r>
      <w:r>
        <w:rPr>
          <w:w w:val="97"/>
        </w:rPr>
        <w:t> </w:t>
      </w:r>
      <w:r>
        <w:rPr/>
        <w:t>build a race car for competing in a national </w:t>
      </w:r>
      <w:r>
        <w:rPr>
          <w:spacing w:val="1"/>
          <w:w w:val="97"/>
        </w:rPr>
        <w:t>racing</w:t>
      </w:r>
      <w:r>
        <w:rPr>
          <w:w w:val="97"/>
        </w:rPr>
        <w:t> </w:t>
      </w:r>
      <w:r>
        <w:rPr>
          <w:w w:val="99"/>
        </w:rPr>
        <w:t>competition </w:t>
      </w:r>
      <w:r>
        <w:rPr>
          <w:w w:val="98"/>
        </w:rPr>
        <w:t>at </w:t>
      </w:r>
      <w:r>
        <w:rPr>
          <w:w w:val="97"/>
        </w:rPr>
        <w:t>the </w:t>
      </w:r>
      <w:r>
        <w:rPr>
          <w:spacing w:val="1"/>
          <w:w w:val="97"/>
        </w:rPr>
        <w:t>end</w:t>
      </w:r>
      <w:r>
        <w:rPr>
          <w:w w:val="97"/>
        </w:rPr>
        <w:t> </w:t>
      </w:r>
      <w:r>
        <w:rPr>
          <w:w w:val="99"/>
        </w:rPr>
        <w:t>of </w:t>
      </w:r>
      <w:r>
        <w:rPr>
          <w:spacing w:val="2"/>
          <w:w w:val="85"/>
        </w:rPr>
        <w:t>2016.</w:t>
      </w:r>
      <w:r>
        <w:rPr>
          <w:w w:val="85"/>
        </w:rPr>
        <w:t> </w:t>
      </w:r>
      <w:r>
        <w:rPr>
          <w:w w:val="83"/>
        </w:rPr>
        <w:t>It </w:t>
      </w:r>
      <w:r>
        <w:rPr>
          <w:w w:val="95"/>
        </w:rPr>
        <w:t>is </w:t>
      </w:r>
      <w:r>
        <w:rPr>
          <w:spacing w:val="2"/>
        </w:rPr>
        <w:t>embedded</w:t>
      </w:r>
      <w:r>
        <w:rPr>
          <w:spacing w:val="-16"/>
        </w:rPr>
        <w:t> </w:t>
      </w:r>
      <w:r>
        <w:rPr/>
        <w:t>into</w:t>
      </w:r>
      <w:r>
        <w:rPr>
          <w:spacing w:val="-16"/>
        </w:rPr>
        <w:t> </w:t>
      </w:r>
      <w:r>
        <w:rPr/>
        <w:t>curricula</w:t>
      </w:r>
      <w:r>
        <w:rPr>
          <w:spacing w:val="-16"/>
        </w:rPr>
        <w:t> </w:t>
      </w:r>
      <w:r>
        <w:rPr/>
        <w:t>as</w:t>
      </w:r>
      <w:r>
        <w:rPr>
          <w:spacing w:val="-16"/>
        </w:rPr>
        <w:t> </w:t>
      </w:r>
      <w:r>
        <w:rPr/>
        <w:t>a</w:t>
      </w:r>
      <w:r>
        <w:rPr>
          <w:spacing w:val="-16"/>
        </w:rPr>
        <w:t> </w:t>
      </w:r>
      <w:r>
        <w:rPr/>
        <w:t>capstone</w:t>
      </w:r>
      <w:r>
        <w:rPr>
          <w:spacing w:val="-16"/>
        </w:rPr>
        <w:t> </w:t>
      </w:r>
      <w:r>
        <w:rPr/>
        <w:t>project for both undergraduate and postgraduate engineering programs. The project </w:t>
      </w:r>
      <w:r>
        <w:rPr>
          <w:spacing w:val="2"/>
        </w:rPr>
        <w:t>has </w:t>
      </w:r>
      <w:r>
        <w:rPr/>
        <w:t>attracted about 50 students (including more than</w:t>
      </w:r>
      <w:r>
        <w:rPr>
          <w:spacing w:val="-22"/>
        </w:rPr>
        <w:t> </w:t>
      </w:r>
      <w:r>
        <w:rPr/>
        <w:t>30</w:t>
      </w:r>
      <w:r>
        <w:rPr>
          <w:spacing w:val="-22"/>
        </w:rPr>
        <w:t> </w:t>
      </w:r>
      <w:r>
        <w:rPr/>
        <w:t>mechanical</w:t>
      </w:r>
      <w:r>
        <w:rPr>
          <w:spacing w:val="-22"/>
        </w:rPr>
        <w:t> </w:t>
      </w:r>
      <w:r>
        <w:rPr/>
        <w:t>engineering</w:t>
      </w:r>
      <w:r>
        <w:rPr>
          <w:spacing w:val="-22"/>
        </w:rPr>
        <w:t> </w:t>
      </w:r>
      <w:r>
        <w:rPr/>
        <w:t>students).</w:t>
      </w:r>
    </w:p>
    <w:p>
      <w:pPr>
        <w:pStyle w:val="BodyText"/>
        <w:rPr>
          <w:sz w:val="14"/>
        </w:rPr>
      </w:pPr>
    </w:p>
    <w:p>
      <w:pPr>
        <w:pStyle w:val="BodyText"/>
        <w:spacing w:line="249" w:lineRule="auto"/>
        <w:ind w:left="107" w:right="165"/>
      </w:pPr>
      <w:r>
        <w:rPr/>
        <w:t>This</w:t>
      </w:r>
      <w:r>
        <w:rPr>
          <w:spacing w:val="-17"/>
        </w:rPr>
        <w:t> </w:t>
      </w:r>
      <w:r>
        <w:rPr/>
        <w:t>and</w:t>
      </w:r>
      <w:r>
        <w:rPr>
          <w:spacing w:val="-17"/>
        </w:rPr>
        <w:t> </w:t>
      </w:r>
      <w:r>
        <w:rPr/>
        <w:t>similar</w:t>
      </w:r>
      <w:r>
        <w:rPr>
          <w:spacing w:val="-17"/>
        </w:rPr>
        <w:t> </w:t>
      </w:r>
      <w:r>
        <w:rPr/>
        <w:t>projects</w:t>
      </w:r>
      <w:r>
        <w:rPr>
          <w:spacing w:val="-17"/>
        </w:rPr>
        <w:t> </w:t>
      </w:r>
      <w:r>
        <w:rPr/>
        <w:t>are</w:t>
      </w:r>
      <w:r>
        <w:rPr>
          <w:spacing w:val="-17"/>
        </w:rPr>
        <w:t> </w:t>
      </w:r>
      <w:r>
        <w:rPr/>
        <w:t>examples</w:t>
      </w:r>
      <w:r>
        <w:rPr>
          <w:spacing w:val="-17"/>
        </w:rPr>
        <w:t> </w:t>
      </w:r>
      <w:r>
        <w:rPr/>
        <w:t>of</w:t>
      </w:r>
      <w:r>
        <w:rPr>
          <w:spacing w:val="-17"/>
        </w:rPr>
        <w:t> </w:t>
      </w:r>
      <w:r>
        <w:rPr/>
        <w:t>the problem-based practical learning scenarios that define the SCEM transdisciplinary learning experience. Evidence of the quality of SCEM programs could be seen at the </w:t>
      </w:r>
      <w:r>
        <w:rPr>
          <w:w w:val="97"/>
        </w:rPr>
        <w:t>University’s </w:t>
      </w:r>
      <w:r>
        <w:rPr>
          <w:spacing w:val="1"/>
          <w:w w:val="90"/>
        </w:rPr>
        <w:t>2016</w:t>
      </w:r>
      <w:r>
        <w:rPr>
          <w:w w:val="90"/>
        </w:rPr>
        <w:t> </w:t>
      </w:r>
      <w:r>
        <w:rPr>
          <w:w w:val="98"/>
        </w:rPr>
        <w:t>Widevision </w:t>
      </w:r>
      <w:r>
        <w:rPr>
          <w:w w:val="97"/>
        </w:rPr>
        <w:t>exhibition </w:t>
      </w:r>
      <w:r>
        <w:rPr>
          <w:w w:val="99"/>
        </w:rPr>
        <w:t>of </w:t>
      </w:r>
      <w:r>
        <w:rPr/>
        <w:t>student</w:t>
      </w:r>
      <w:r>
        <w:rPr>
          <w:spacing w:val="-18"/>
        </w:rPr>
        <w:t> </w:t>
      </w:r>
      <w:r>
        <w:rPr/>
        <w:t>work</w:t>
      </w:r>
      <w:r>
        <w:rPr>
          <w:spacing w:val="-18"/>
        </w:rPr>
        <w:t> </w:t>
      </w:r>
      <w:r>
        <w:rPr/>
        <w:t>in</w:t>
      </w:r>
      <w:r>
        <w:rPr>
          <w:spacing w:val="-18"/>
        </w:rPr>
        <w:t> </w:t>
      </w:r>
      <w:r>
        <w:rPr/>
        <w:t>industrial</w:t>
      </w:r>
      <w:r>
        <w:rPr>
          <w:spacing w:val="-18"/>
        </w:rPr>
        <w:t> </w:t>
      </w:r>
      <w:r>
        <w:rPr/>
        <w:t>design,</w:t>
      </w:r>
      <w:r>
        <w:rPr>
          <w:spacing w:val="-18"/>
        </w:rPr>
        <w:t> </w:t>
      </w:r>
      <w:r>
        <w:rPr/>
        <w:t>engineering and ICT. This year’s exhibition was held on the</w:t>
      </w:r>
      <w:r>
        <w:rPr>
          <w:spacing w:val="-23"/>
        </w:rPr>
        <w:t> </w:t>
      </w:r>
      <w:r>
        <w:rPr/>
        <w:t>Parramatta</w:t>
      </w:r>
      <w:r>
        <w:rPr>
          <w:spacing w:val="-23"/>
        </w:rPr>
        <w:t> </w:t>
      </w:r>
      <w:r>
        <w:rPr>
          <w:spacing w:val="2"/>
        </w:rPr>
        <w:t>campus.</w:t>
      </w:r>
      <w:r>
        <w:rPr>
          <w:spacing w:val="-23"/>
        </w:rPr>
        <w:t> </w:t>
      </w:r>
      <w:r>
        <w:rPr/>
        <w:t>It</w:t>
      </w:r>
      <w:r>
        <w:rPr>
          <w:spacing w:val="-23"/>
        </w:rPr>
        <w:t> </w:t>
      </w:r>
      <w:r>
        <w:rPr/>
        <w:t>showed</w:t>
      </w:r>
      <w:r>
        <w:rPr>
          <w:spacing w:val="-23"/>
        </w:rPr>
        <w:t> </w:t>
      </w:r>
      <w:r>
        <w:rPr/>
        <w:t>a</w:t>
      </w:r>
      <w:r>
        <w:rPr>
          <w:spacing w:val="-23"/>
        </w:rPr>
        <w:t> </w:t>
      </w:r>
      <w:r>
        <w:rPr/>
        <w:t>new</w:t>
      </w:r>
    </w:p>
    <w:p>
      <w:pPr>
        <w:pStyle w:val="BodyText"/>
        <w:spacing w:line="249" w:lineRule="auto"/>
        <w:ind w:left="107"/>
      </w:pPr>
      <w:r>
        <w:rPr/>
        <w:t>level</w:t>
      </w:r>
      <w:r>
        <w:rPr>
          <w:spacing w:val="-18"/>
        </w:rPr>
        <w:t> </w:t>
      </w:r>
      <w:r>
        <w:rPr/>
        <w:t>of</w:t>
      </w:r>
      <w:r>
        <w:rPr>
          <w:spacing w:val="-18"/>
        </w:rPr>
        <w:t> </w:t>
      </w:r>
      <w:r>
        <w:rPr/>
        <w:t>inventive</w:t>
      </w:r>
      <w:r>
        <w:rPr>
          <w:spacing w:val="-18"/>
        </w:rPr>
        <w:t> </w:t>
      </w:r>
      <w:r>
        <w:rPr/>
        <w:t>thinking,</w:t>
      </w:r>
      <w:r>
        <w:rPr>
          <w:spacing w:val="-18"/>
        </w:rPr>
        <w:t> </w:t>
      </w:r>
      <w:r>
        <w:rPr/>
        <w:t>talent</w:t>
      </w:r>
      <w:r>
        <w:rPr>
          <w:spacing w:val="-18"/>
        </w:rPr>
        <w:t> </w:t>
      </w:r>
      <w:r>
        <w:rPr/>
        <w:t>and</w:t>
      </w:r>
      <w:r>
        <w:rPr>
          <w:spacing w:val="-18"/>
        </w:rPr>
        <w:t> </w:t>
      </w:r>
      <w:r>
        <w:rPr/>
        <w:t>practical development</w:t>
      </w:r>
      <w:r>
        <w:rPr>
          <w:spacing w:val="-19"/>
        </w:rPr>
        <w:t> </w:t>
      </w:r>
      <w:r>
        <w:rPr/>
        <w:t>in</w:t>
      </w:r>
      <w:r>
        <w:rPr>
          <w:spacing w:val="-19"/>
        </w:rPr>
        <w:t> </w:t>
      </w:r>
      <w:r>
        <w:rPr/>
        <w:t>the</w:t>
      </w:r>
      <w:r>
        <w:rPr>
          <w:spacing w:val="-19"/>
        </w:rPr>
        <w:t> </w:t>
      </w:r>
      <w:r>
        <w:rPr/>
        <w:t>University’s</w:t>
      </w:r>
      <w:r>
        <w:rPr>
          <w:spacing w:val="-19"/>
        </w:rPr>
        <w:t> </w:t>
      </w:r>
      <w:r>
        <w:rPr/>
        <w:t>students.</w:t>
      </w:r>
    </w:p>
    <w:p>
      <w:pPr>
        <w:pStyle w:val="BodyText"/>
        <w:spacing w:line="249" w:lineRule="auto"/>
        <w:ind w:left="107" w:right="145"/>
      </w:pPr>
      <w:r>
        <w:rPr/>
        <w:t>The exhibition was well attended by external partners looking for innovative high-tech products with marketing potential.</w:t>
      </w:r>
    </w:p>
    <w:p>
      <w:pPr>
        <w:pStyle w:val="BodyText"/>
        <w:rPr>
          <w:sz w:val="14"/>
        </w:rPr>
      </w:pPr>
    </w:p>
    <w:p>
      <w:pPr>
        <w:pStyle w:val="BodyText"/>
        <w:spacing w:line="249" w:lineRule="auto"/>
        <w:ind w:left="107" w:right="57"/>
      </w:pPr>
      <w:r>
        <w:rPr/>
        <w:t>SCEM staff and students continued to be recognised for their leadership roles in the digital disruption of education. Senior lecturer Dr Anton Bogdanovych was named the South East Asia Regional Computer Confederation’s </w:t>
      </w:r>
      <w:r>
        <w:rPr>
          <w:w w:val="86"/>
        </w:rPr>
        <w:t>ICT </w:t>
      </w:r>
      <w:r>
        <w:rPr>
          <w:w w:val="99"/>
        </w:rPr>
        <w:t>Educator </w:t>
      </w:r>
      <w:r>
        <w:rPr>
          <w:w w:val="99"/>
        </w:rPr>
        <w:t>of </w:t>
      </w:r>
      <w:r>
        <w:rPr>
          <w:w w:val="97"/>
        </w:rPr>
        <w:t>the </w:t>
      </w:r>
      <w:r>
        <w:rPr>
          <w:w w:val="97"/>
        </w:rPr>
        <w:t>Year </w:t>
      </w:r>
      <w:r>
        <w:rPr>
          <w:w w:val="98"/>
        </w:rPr>
        <w:t>at </w:t>
      </w:r>
      <w:r>
        <w:rPr>
          <w:w w:val="97"/>
        </w:rPr>
        <w:t>the </w:t>
      </w:r>
      <w:r>
        <w:rPr>
          <w:w w:val="90"/>
        </w:rPr>
        <w:t>2016 </w:t>
      </w:r>
      <w:r>
        <w:rPr>
          <w:w w:val="97"/>
        </w:rPr>
        <w:t>Digital </w:t>
      </w:r>
      <w:r>
        <w:rPr/>
        <w:t>Disruptor Awards hosted by the Australian Computer Society (ACS). The awards, which were held during at the Reimagination Thought Leaders’ Summit in Sydney, also saw Associate Professor Gu Fang receive a Gold Disruptor award in the ICT Educator of the Year category and SCEM student Cameron Attard receive a Gold Disruptor award in the ICT Student of the Year category.</w:t>
      </w:r>
    </w:p>
    <w:p>
      <w:pPr>
        <w:spacing w:after="0" w:line="249" w:lineRule="auto"/>
        <w:sectPr>
          <w:type w:val="continuous"/>
          <w:pgSz w:w="11910" w:h="16840"/>
          <w:pgMar w:top="1580" w:bottom="280" w:left="800" w:right="800"/>
          <w:cols w:num="3" w:equalWidth="0">
            <w:col w:w="3308" w:space="131"/>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7"/>
        <w:rPr>
          <w:sz w:val="20"/>
        </w:rPr>
      </w:pPr>
    </w:p>
    <w:p>
      <w:pPr>
        <w:pStyle w:val="Heading7"/>
        <w:spacing w:before="1"/>
        <w:ind w:right="0"/>
      </w:pPr>
      <w:r>
        <w:rPr>
          <w:w w:val="95"/>
        </w:rPr>
        <w:t>RESEARCH QUALITY AND INNOVATION</w:t>
      </w:r>
    </w:p>
    <w:p>
      <w:pPr>
        <w:pStyle w:val="BodyText"/>
        <w:spacing w:line="249" w:lineRule="auto" w:before="58"/>
        <w:ind w:left="107" w:right="-2"/>
      </w:pPr>
      <w:r>
        <w:rPr/>
        <w:t>SCEM continued its dynamic approach to entwining technology research into the fabric of the four major research themes of the University.</w:t>
      </w:r>
    </w:p>
    <w:p>
      <w:pPr>
        <w:pStyle w:val="BodyText"/>
        <w:rPr>
          <w:sz w:val="14"/>
        </w:rPr>
      </w:pPr>
    </w:p>
    <w:p>
      <w:pPr>
        <w:pStyle w:val="BodyText"/>
        <w:spacing w:line="249" w:lineRule="auto"/>
        <w:ind w:left="107" w:right="-4"/>
      </w:pPr>
      <w:r>
        <w:rPr/>
        <w:t>SCEM offers great research opportunities in the broad field of </w:t>
      </w:r>
      <w:r>
        <w:rPr>
          <w:spacing w:val="2"/>
        </w:rPr>
        <w:t>AI. </w:t>
      </w:r>
      <w:r>
        <w:rPr/>
        <w:t>With AI technologies now firmly </w:t>
      </w:r>
      <w:r>
        <w:rPr>
          <w:spacing w:val="2"/>
        </w:rPr>
        <w:t>embedded </w:t>
      </w:r>
      <w:r>
        <w:rPr/>
        <w:t>in daily life, they are central to the transformational developments we</w:t>
      </w:r>
      <w:r>
        <w:rPr>
          <w:spacing w:val="-22"/>
        </w:rPr>
        <w:t> </w:t>
      </w:r>
      <w:r>
        <w:rPr/>
        <w:t>are</w:t>
      </w:r>
      <w:r>
        <w:rPr>
          <w:spacing w:val="-22"/>
        </w:rPr>
        <w:t> </w:t>
      </w:r>
      <w:r>
        <w:rPr/>
        <w:t>witnessing</w:t>
      </w:r>
      <w:r>
        <w:rPr>
          <w:spacing w:val="-22"/>
        </w:rPr>
        <w:t> </w:t>
      </w:r>
      <w:r>
        <w:rPr/>
        <w:t>today.</w:t>
      </w:r>
      <w:r>
        <w:rPr>
          <w:spacing w:val="-22"/>
        </w:rPr>
        <w:t> </w:t>
      </w:r>
      <w:r>
        <w:rPr/>
        <w:t>‘Artificial</w:t>
      </w:r>
      <w:r>
        <w:rPr>
          <w:spacing w:val="-22"/>
        </w:rPr>
        <w:t> </w:t>
      </w:r>
      <w:r>
        <w:rPr/>
        <w:t>Intelligence and Life in 2030’ (Stanford University, </w:t>
      </w:r>
      <w:r>
        <w:rPr>
          <w:spacing w:val="1"/>
          <w:w w:val="98"/>
        </w:rPr>
        <w:t>September</w:t>
      </w:r>
      <w:r>
        <w:rPr>
          <w:w w:val="98"/>
        </w:rPr>
        <w:t> </w:t>
      </w:r>
      <w:r>
        <w:rPr>
          <w:spacing w:val="1"/>
          <w:w w:val="87"/>
        </w:rPr>
        <w:t>2016),</w:t>
      </w:r>
      <w:r>
        <w:rPr>
          <w:w w:val="87"/>
        </w:rPr>
        <w:t> </w:t>
      </w:r>
      <w:r>
        <w:rPr>
          <w:w w:val="94"/>
        </w:rPr>
        <w:t>a </w:t>
      </w:r>
      <w:r>
        <w:rPr>
          <w:spacing w:val="1"/>
          <w:w w:val="98"/>
        </w:rPr>
        <w:t>report</w:t>
      </w:r>
      <w:r>
        <w:rPr>
          <w:w w:val="98"/>
        </w:rPr>
        <w:t> </w:t>
      </w:r>
      <w:r>
        <w:rPr>
          <w:spacing w:val="1"/>
          <w:w w:val="98"/>
        </w:rPr>
        <w:t>from</w:t>
      </w:r>
      <w:r>
        <w:rPr>
          <w:w w:val="98"/>
        </w:rPr>
        <w:t> </w:t>
      </w:r>
      <w:r>
        <w:rPr>
          <w:w w:val="97"/>
        </w:rPr>
        <w:t>the </w:t>
      </w:r>
      <w:r>
        <w:rPr>
          <w:spacing w:val="1"/>
          <w:w w:val="97"/>
        </w:rPr>
        <w:t>One</w:t>
      </w:r>
      <w:r>
        <w:rPr>
          <w:w w:val="97"/>
        </w:rPr>
        <w:t> </w:t>
      </w:r>
      <w:r>
        <w:rPr/>
        <w:t>Hundred Year Study on Artificial Intelligence by international </w:t>
      </w:r>
      <w:r>
        <w:rPr>
          <w:spacing w:val="2"/>
        </w:rPr>
        <w:t>experts, </w:t>
      </w:r>
      <w:r>
        <w:rPr/>
        <w:t>emphasises that “these developments will spur disruptions in how</w:t>
      </w:r>
      <w:r>
        <w:rPr>
          <w:spacing w:val="-15"/>
        </w:rPr>
        <w:t> </w:t>
      </w:r>
      <w:r>
        <w:rPr/>
        <w:t>human</w:t>
      </w:r>
      <w:r>
        <w:rPr>
          <w:spacing w:val="-15"/>
        </w:rPr>
        <w:t> </w:t>
      </w:r>
      <w:r>
        <w:rPr/>
        <w:t>labor</w:t>
      </w:r>
      <w:r>
        <w:rPr>
          <w:spacing w:val="-15"/>
        </w:rPr>
        <w:t> </w:t>
      </w:r>
      <w:r>
        <w:rPr/>
        <w:t>is</w:t>
      </w:r>
      <w:r>
        <w:rPr>
          <w:spacing w:val="-15"/>
        </w:rPr>
        <w:t> </w:t>
      </w:r>
      <w:r>
        <w:rPr/>
        <w:t>augmented</w:t>
      </w:r>
      <w:r>
        <w:rPr>
          <w:spacing w:val="-15"/>
        </w:rPr>
        <w:t> </w:t>
      </w:r>
      <w:r>
        <w:rPr/>
        <w:t>or</w:t>
      </w:r>
      <w:r>
        <w:rPr>
          <w:spacing w:val="-15"/>
        </w:rPr>
        <w:t> </w:t>
      </w:r>
      <w:r>
        <w:rPr/>
        <w:t>replaced</w:t>
      </w:r>
      <w:r>
        <w:rPr>
          <w:spacing w:val="-15"/>
        </w:rPr>
        <w:t> </w:t>
      </w:r>
      <w:r>
        <w:rPr/>
        <w:t>by </w:t>
      </w:r>
      <w:r>
        <w:rPr>
          <w:spacing w:val="2"/>
        </w:rPr>
        <w:t>AI, </w:t>
      </w:r>
      <w:r>
        <w:rPr/>
        <w:t>creating new challenges for the economy </w:t>
      </w:r>
      <w:r>
        <w:rPr>
          <w:spacing w:val="1"/>
          <w:w w:val="97"/>
        </w:rPr>
        <w:t>and</w:t>
      </w:r>
      <w:r>
        <w:rPr>
          <w:w w:val="97"/>
        </w:rPr>
        <w:t> </w:t>
      </w:r>
      <w:r>
        <w:rPr>
          <w:spacing w:val="1"/>
          <w:w w:val="99"/>
        </w:rPr>
        <w:t>society</w:t>
      </w:r>
      <w:r>
        <w:rPr>
          <w:w w:val="99"/>
        </w:rPr>
        <w:t> </w:t>
      </w:r>
      <w:r>
        <w:rPr>
          <w:w w:val="97"/>
        </w:rPr>
        <w:t>more </w:t>
      </w:r>
      <w:r>
        <w:rPr>
          <w:spacing w:val="-1"/>
          <w:w w:val="94"/>
        </w:rPr>
        <w:t>broadly.”</w:t>
      </w:r>
      <w:r>
        <w:rPr>
          <w:w w:val="94"/>
        </w:rPr>
        <w:t> </w:t>
      </w:r>
      <w:r>
        <w:rPr>
          <w:spacing w:val="1"/>
          <w:w w:val="80"/>
        </w:rPr>
        <w:t>In</w:t>
      </w:r>
      <w:r>
        <w:rPr>
          <w:w w:val="80"/>
        </w:rPr>
        <w:t> </w:t>
      </w:r>
      <w:r>
        <w:rPr>
          <w:spacing w:val="2"/>
          <w:w w:val="85"/>
        </w:rPr>
        <w:t>2016,</w:t>
      </w:r>
      <w:r>
        <w:rPr>
          <w:w w:val="85"/>
        </w:rPr>
        <w:t> </w:t>
      </w:r>
      <w:r>
        <w:rPr>
          <w:w w:val="97"/>
        </w:rPr>
        <w:t>the </w:t>
      </w:r>
      <w:r>
        <w:rPr/>
        <w:t>excellence</w:t>
      </w:r>
      <w:r>
        <w:rPr>
          <w:spacing w:val="-20"/>
        </w:rPr>
        <w:t> </w:t>
      </w:r>
      <w:r>
        <w:rPr/>
        <w:t>of</w:t>
      </w:r>
      <w:r>
        <w:rPr>
          <w:spacing w:val="-20"/>
        </w:rPr>
        <w:t> </w:t>
      </w:r>
      <w:r>
        <w:rPr/>
        <w:t>Western</w:t>
      </w:r>
      <w:r>
        <w:rPr>
          <w:spacing w:val="-20"/>
        </w:rPr>
        <w:t> </w:t>
      </w:r>
      <w:r>
        <w:rPr/>
        <w:t>Sydney</w:t>
      </w:r>
      <w:r>
        <w:rPr>
          <w:spacing w:val="-20"/>
        </w:rPr>
        <w:t> </w:t>
      </w:r>
      <w:r>
        <w:rPr/>
        <w:t>University’s</w:t>
      </w:r>
    </w:p>
    <w:p>
      <w:pPr>
        <w:pStyle w:val="BodyText"/>
        <w:spacing w:line="249" w:lineRule="auto"/>
        <w:ind w:left="107" w:right="31"/>
      </w:pPr>
      <w:r>
        <w:rPr/>
        <w:t>AI researchers continued to be recognised nationally</w:t>
      </w:r>
      <w:r>
        <w:rPr>
          <w:spacing w:val="-22"/>
        </w:rPr>
        <w:t> </w:t>
      </w:r>
      <w:r>
        <w:rPr/>
        <w:t>and</w:t>
      </w:r>
      <w:r>
        <w:rPr>
          <w:spacing w:val="-22"/>
        </w:rPr>
        <w:t> </w:t>
      </w:r>
      <w:r>
        <w:rPr/>
        <w:t>internationally,</w:t>
      </w:r>
      <w:r>
        <w:rPr>
          <w:spacing w:val="-22"/>
        </w:rPr>
        <w:t> </w:t>
      </w:r>
      <w:r>
        <w:rPr/>
        <w:t>as</w:t>
      </w:r>
      <w:r>
        <w:rPr>
          <w:spacing w:val="-22"/>
        </w:rPr>
        <w:t> </w:t>
      </w:r>
      <w:r>
        <w:rPr/>
        <w:t>shown</w:t>
      </w:r>
      <w:r>
        <w:rPr>
          <w:spacing w:val="-22"/>
        </w:rPr>
        <w:t> </w:t>
      </w:r>
      <w:r>
        <w:rPr/>
        <w:t>by</w:t>
      </w:r>
      <w:r>
        <w:rPr>
          <w:spacing w:val="-22"/>
        </w:rPr>
        <w:t> </w:t>
      </w:r>
      <w:r>
        <w:rPr/>
        <w:t>the following</w:t>
      </w:r>
      <w:r>
        <w:rPr>
          <w:spacing w:val="-21"/>
        </w:rPr>
        <w:t> </w:t>
      </w:r>
      <w:r>
        <w:rPr/>
        <w:t>sample</w:t>
      </w:r>
      <w:r>
        <w:rPr>
          <w:spacing w:val="-21"/>
        </w:rPr>
        <w:t> </w:t>
      </w:r>
      <w:r>
        <w:rPr/>
        <w:t>of</w:t>
      </w:r>
      <w:r>
        <w:rPr>
          <w:spacing w:val="-21"/>
        </w:rPr>
        <w:t> </w:t>
      </w:r>
      <w:r>
        <w:rPr/>
        <w:t>conference</w:t>
      </w:r>
      <w:r>
        <w:rPr>
          <w:spacing w:val="-21"/>
        </w:rPr>
        <w:t> </w:t>
      </w:r>
      <w:r>
        <w:rPr/>
        <w:t>awards.</w:t>
      </w:r>
    </w:p>
    <w:p>
      <w:pPr>
        <w:pStyle w:val="BodyText"/>
        <w:spacing w:line="247" w:lineRule="auto" w:before="55"/>
        <w:ind w:left="305" w:right="52" w:hanging="199"/>
      </w:pPr>
      <w:r>
        <w:rPr>
          <w:rFonts w:ascii="Century Gothic" w:hAnsi="Century Gothic"/>
          <w:b/>
          <w:w w:val="115"/>
        </w:rPr>
        <w:t>≥ </w:t>
      </w:r>
      <w:r>
        <w:rPr/>
        <w:t>Dr Dave de Jonge and Associate Professor Dongmo Zhang won the </w:t>
      </w:r>
      <w:r>
        <w:rPr>
          <w:spacing w:val="2"/>
        </w:rPr>
        <w:t>Best </w:t>
      </w:r>
      <w:r>
        <w:rPr/>
        <w:t>Paper Award at the 29th Australasian Joint Conference on Artificial Intelligence for ‘Lifted</w:t>
      </w:r>
      <w:r>
        <w:rPr>
          <w:spacing w:val="-12"/>
        </w:rPr>
        <w:t> </w:t>
      </w:r>
      <w:r>
        <w:rPr/>
        <w:t>Backward</w:t>
      </w:r>
      <w:r>
        <w:rPr>
          <w:spacing w:val="-12"/>
        </w:rPr>
        <w:t> </w:t>
      </w:r>
      <w:r>
        <w:rPr/>
        <w:t>Search</w:t>
      </w:r>
      <w:r>
        <w:rPr>
          <w:spacing w:val="-12"/>
        </w:rPr>
        <w:t> </w:t>
      </w:r>
      <w:r>
        <w:rPr/>
        <w:t>for</w:t>
      </w:r>
      <w:r>
        <w:rPr>
          <w:spacing w:val="-12"/>
        </w:rPr>
        <w:t> </w:t>
      </w:r>
      <w:r>
        <w:rPr/>
        <w:t>General</w:t>
      </w:r>
      <w:r>
        <w:rPr>
          <w:spacing w:val="-12"/>
        </w:rPr>
        <w:t> </w:t>
      </w:r>
      <w:r>
        <w:rPr/>
        <w:t>Game Playing’.</w:t>
      </w:r>
    </w:p>
    <w:p>
      <w:pPr>
        <w:pStyle w:val="BodyText"/>
        <w:spacing w:line="247" w:lineRule="auto" w:before="57"/>
        <w:ind w:left="305" w:right="23" w:hanging="199"/>
      </w:pPr>
      <w:r>
        <w:rPr>
          <w:rFonts w:ascii="Century Gothic" w:hAnsi="Century Gothic"/>
          <w:b/>
          <w:w w:val="115"/>
        </w:rPr>
        <w:t>≥ </w:t>
      </w:r>
      <w:r>
        <w:rPr/>
        <w:t>Associate Professor Oliver Obst, an expert in</w:t>
      </w:r>
      <w:r>
        <w:rPr>
          <w:spacing w:val="-18"/>
        </w:rPr>
        <w:t> </w:t>
      </w:r>
      <w:r>
        <w:rPr/>
        <w:t>machine</w:t>
      </w:r>
      <w:r>
        <w:rPr>
          <w:spacing w:val="-18"/>
        </w:rPr>
        <w:t> </w:t>
      </w:r>
      <w:r>
        <w:rPr/>
        <w:t>learning,</w:t>
      </w:r>
      <w:r>
        <w:rPr>
          <w:spacing w:val="-18"/>
        </w:rPr>
        <w:t> </w:t>
      </w:r>
      <w:r>
        <w:rPr/>
        <w:t>was</w:t>
      </w:r>
      <w:r>
        <w:rPr>
          <w:spacing w:val="-18"/>
        </w:rPr>
        <w:t> </w:t>
      </w:r>
      <w:r>
        <w:rPr>
          <w:spacing w:val="2"/>
        </w:rPr>
        <w:t>part</w:t>
      </w:r>
      <w:r>
        <w:rPr>
          <w:spacing w:val="-18"/>
        </w:rPr>
        <w:t> </w:t>
      </w:r>
      <w:r>
        <w:rPr/>
        <w:t>of</w:t>
      </w:r>
      <w:r>
        <w:rPr>
          <w:spacing w:val="-18"/>
        </w:rPr>
        <w:t> </w:t>
      </w:r>
      <w:r>
        <w:rPr/>
        <w:t>the</w:t>
      </w:r>
      <w:r>
        <w:rPr>
          <w:spacing w:val="-18"/>
        </w:rPr>
        <w:t> </w:t>
      </w:r>
      <w:r>
        <w:rPr/>
        <w:t>Gliders team </w:t>
      </w:r>
      <w:r>
        <w:rPr>
          <w:spacing w:val="-5"/>
        </w:rPr>
        <w:t>(a </w:t>
      </w:r>
      <w:r>
        <w:rPr/>
        <w:t>collaborative enterprise between the</w:t>
      </w:r>
      <w:r>
        <w:rPr>
          <w:spacing w:val="-24"/>
        </w:rPr>
        <w:t> </w:t>
      </w:r>
      <w:r>
        <w:rPr/>
        <w:t>University</w:t>
      </w:r>
      <w:r>
        <w:rPr>
          <w:spacing w:val="-24"/>
        </w:rPr>
        <w:t> </w:t>
      </w:r>
      <w:r>
        <w:rPr/>
        <w:t>of</w:t>
      </w:r>
      <w:r>
        <w:rPr>
          <w:spacing w:val="-24"/>
        </w:rPr>
        <w:t> </w:t>
      </w:r>
      <w:r>
        <w:rPr/>
        <w:t>Sydney,</w:t>
      </w:r>
      <w:r>
        <w:rPr>
          <w:spacing w:val="-24"/>
        </w:rPr>
        <w:t> </w:t>
      </w:r>
      <w:r>
        <w:rPr/>
        <w:t>the</w:t>
      </w:r>
      <w:r>
        <w:rPr>
          <w:spacing w:val="-24"/>
        </w:rPr>
        <w:t> </w:t>
      </w:r>
      <w:r>
        <w:rPr>
          <w:spacing w:val="2"/>
        </w:rPr>
        <w:t>CSIRO</w:t>
      </w:r>
    </w:p>
    <w:p>
      <w:pPr>
        <w:pStyle w:val="BodyText"/>
        <w:spacing w:line="249" w:lineRule="auto" w:before="1"/>
        <w:ind w:left="305"/>
      </w:pPr>
      <w:r>
        <w:rPr/>
        <w:t>and Western Sydney University) that became world champions in the RoboCup Soccer Simulation League. It was the</w:t>
      </w:r>
    </w:p>
    <w:p>
      <w:pPr>
        <w:pStyle w:val="BodyText"/>
        <w:spacing w:line="249" w:lineRule="auto"/>
        <w:ind w:left="305" w:right="38"/>
      </w:pPr>
      <w:r>
        <w:rPr/>
        <w:t>only Australian team to win a title at the </w:t>
      </w:r>
      <w:r>
        <w:rPr>
          <w:w w:val="90"/>
        </w:rPr>
        <w:t>2016 </w:t>
      </w:r>
      <w:r>
        <w:rPr>
          <w:w w:val="100"/>
        </w:rPr>
        <w:t>RoboCup </w:t>
      </w:r>
      <w:r>
        <w:rPr>
          <w:w w:val="98"/>
        </w:rPr>
        <w:t>scientific </w:t>
      </w:r>
      <w:r>
        <w:rPr>
          <w:w w:val="99"/>
        </w:rPr>
        <w:t>competition </w:t>
      </w:r>
      <w:r>
        <w:rPr>
          <w:w w:val="97"/>
        </w:rPr>
        <w:t>and </w:t>
      </w:r>
      <w:r>
        <w:rPr/>
        <w:t>conference in Leipzig, Germany. RoboCup is the leading and largest competition for intelligent robots, and one of the world’s most important technology events in research and training.</w:t>
      </w:r>
    </w:p>
    <w:p>
      <w:pPr>
        <w:pStyle w:val="BodyText"/>
        <w:spacing w:line="247" w:lineRule="auto" w:before="55"/>
        <w:ind w:left="305" w:right="146" w:hanging="199"/>
      </w:pPr>
      <w:r>
        <w:rPr>
          <w:rFonts w:ascii="Century Gothic" w:hAnsi="Century Gothic"/>
          <w:b/>
          <w:w w:val="115"/>
        </w:rPr>
        <w:t>≥ </w:t>
      </w:r>
      <w:r>
        <w:rPr/>
        <w:t>Dr Anton Bogdanovych and Dr Tomas </w:t>
      </w:r>
      <w:r>
        <w:rPr>
          <w:w w:val="96"/>
        </w:rPr>
        <w:t>Trescak </w:t>
      </w:r>
      <w:r>
        <w:rPr>
          <w:w w:val="99"/>
        </w:rPr>
        <w:t>won </w:t>
      </w:r>
      <w:r>
        <w:rPr>
          <w:w w:val="97"/>
        </w:rPr>
        <w:t>the </w:t>
      </w:r>
      <w:r>
        <w:rPr>
          <w:spacing w:val="1"/>
          <w:w w:val="90"/>
        </w:rPr>
        <w:t>2016</w:t>
      </w:r>
      <w:r>
        <w:rPr>
          <w:w w:val="90"/>
        </w:rPr>
        <w:t> </w:t>
      </w:r>
      <w:r>
        <w:rPr>
          <w:spacing w:val="2"/>
          <w:w w:val="107"/>
        </w:rPr>
        <w:t>GALA</w:t>
      </w:r>
      <w:r>
        <w:rPr>
          <w:w w:val="107"/>
        </w:rPr>
        <w:t> </w:t>
      </w:r>
      <w:r>
        <w:rPr>
          <w:w w:val="97"/>
        </w:rPr>
        <w:t>(Gathering </w:t>
      </w:r>
      <w:r>
        <w:rPr/>
        <w:t>of Animated Lifelike Agents) </w:t>
      </w:r>
      <w:r>
        <w:rPr>
          <w:spacing w:val="2"/>
        </w:rPr>
        <w:t>Best </w:t>
      </w:r>
      <w:r>
        <w:rPr/>
        <w:t>Video Award,</w:t>
      </w:r>
      <w:r>
        <w:rPr>
          <w:spacing w:val="-16"/>
        </w:rPr>
        <w:t> </w:t>
      </w:r>
      <w:r>
        <w:rPr/>
        <w:t>presented</w:t>
      </w:r>
      <w:r>
        <w:rPr>
          <w:spacing w:val="-16"/>
        </w:rPr>
        <w:t> </w:t>
      </w:r>
      <w:r>
        <w:rPr/>
        <w:t>at</w:t>
      </w:r>
      <w:r>
        <w:rPr>
          <w:spacing w:val="-16"/>
        </w:rPr>
        <w:t> </w:t>
      </w:r>
      <w:r>
        <w:rPr/>
        <w:t>the</w:t>
      </w:r>
      <w:r>
        <w:rPr>
          <w:spacing w:val="-16"/>
        </w:rPr>
        <w:t> </w:t>
      </w:r>
      <w:r>
        <w:rPr/>
        <w:t>highly</w:t>
      </w:r>
      <w:r>
        <w:rPr>
          <w:spacing w:val="-16"/>
        </w:rPr>
        <w:t> </w:t>
      </w:r>
      <w:r>
        <w:rPr/>
        <w:t>regarded International Conference on Intelligent Virtual</w:t>
      </w:r>
      <w:r>
        <w:rPr>
          <w:spacing w:val="-16"/>
        </w:rPr>
        <w:t> </w:t>
      </w:r>
      <w:r>
        <w:rPr/>
        <w:t>Agents</w:t>
      </w:r>
      <w:r>
        <w:rPr>
          <w:spacing w:val="-16"/>
        </w:rPr>
        <w:t> </w:t>
      </w:r>
      <w:r>
        <w:rPr/>
        <w:t>in</w:t>
      </w:r>
      <w:r>
        <w:rPr>
          <w:spacing w:val="-16"/>
        </w:rPr>
        <w:t> </w:t>
      </w:r>
      <w:r>
        <w:rPr/>
        <w:t>Los</w:t>
      </w:r>
      <w:r>
        <w:rPr>
          <w:spacing w:val="-16"/>
        </w:rPr>
        <w:t> </w:t>
      </w:r>
      <w:r>
        <w:rPr>
          <w:spacing w:val="2"/>
        </w:rPr>
        <w:t>Angeles.</w:t>
      </w:r>
      <w:r>
        <w:rPr>
          <w:spacing w:val="-16"/>
        </w:rPr>
        <w:t> </w:t>
      </w:r>
      <w:r>
        <w:rPr/>
        <w:t>The</w:t>
      </w:r>
      <w:r>
        <w:rPr>
          <w:spacing w:val="-16"/>
        </w:rPr>
        <w:t> </w:t>
      </w:r>
      <w:r>
        <w:rPr/>
        <w:t>video, entitled</w:t>
      </w:r>
      <w:r>
        <w:rPr>
          <w:spacing w:val="-12"/>
        </w:rPr>
        <w:t> </w:t>
      </w:r>
      <w:r>
        <w:rPr/>
        <w:t>‘Ancient</w:t>
      </w:r>
      <w:r>
        <w:rPr>
          <w:spacing w:val="-12"/>
        </w:rPr>
        <w:t> </w:t>
      </w:r>
      <w:r>
        <w:rPr/>
        <w:t>Mesopotamia</w:t>
      </w:r>
      <w:r>
        <w:rPr>
          <w:spacing w:val="-12"/>
        </w:rPr>
        <w:t> </w:t>
      </w:r>
      <w:r>
        <w:rPr>
          <w:spacing w:val="2"/>
        </w:rPr>
        <w:t>5000</w:t>
      </w:r>
      <w:r>
        <w:rPr>
          <w:spacing w:val="-12"/>
        </w:rPr>
        <w:t> </w:t>
      </w:r>
      <w:r>
        <w:rPr>
          <w:spacing w:val="3"/>
        </w:rPr>
        <w:t>B.C. </w:t>
      </w:r>
      <w:r>
        <w:rPr/>
        <w:t>Populated</w:t>
      </w:r>
      <w:r>
        <w:rPr>
          <w:spacing w:val="-11"/>
        </w:rPr>
        <w:t> </w:t>
      </w:r>
      <w:r>
        <w:rPr/>
        <w:t>with</w:t>
      </w:r>
      <w:r>
        <w:rPr>
          <w:spacing w:val="-11"/>
        </w:rPr>
        <w:t> </w:t>
      </w:r>
      <w:r>
        <w:rPr/>
        <w:t>Physiology</w:t>
      </w:r>
      <w:r>
        <w:rPr>
          <w:spacing w:val="-11"/>
        </w:rPr>
        <w:t> </w:t>
      </w:r>
      <w:r>
        <w:rPr/>
        <w:t>Driven</w:t>
      </w:r>
      <w:r>
        <w:rPr>
          <w:spacing w:val="-11"/>
        </w:rPr>
        <w:t> </w:t>
      </w:r>
      <w:r>
        <w:rPr/>
        <w:t>Virtual Agents’, demonstrates state-of-the-art research</w:t>
      </w:r>
      <w:r>
        <w:rPr>
          <w:spacing w:val="-27"/>
        </w:rPr>
        <w:t> </w:t>
      </w:r>
      <w:r>
        <w:rPr/>
        <w:t>and</w:t>
      </w:r>
      <w:r>
        <w:rPr>
          <w:spacing w:val="-27"/>
        </w:rPr>
        <w:t> </w:t>
      </w:r>
      <w:r>
        <w:rPr/>
        <w:t>technology.</w:t>
      </w:r>
    </w:p>
    <w:p>
      <w:pPr>
        <w:pStyle w:val="BodyText"/>
        <w:spacing w:before="1"/>
        <w:rPr>
          <w:sz w:val="20"/>
        </w:rPr>
      </w:pPr>
      <w:r>
        <w:rPr/>
        <w:br w:type="column"/>
      </w:r>
      <w:r>
        <w:rPr>
          <w:sz w:val="20"/>
        </w:rPr>
      </w:r>
    </w:p>
    <w:p>
      <w:pPr>
        <w:pStyle w:val="BodyText"/>
        <w:spacing w:line="249" w:lineRule="auto"/>
        <w:ind w:left="107" w:right="-17"/>
      </w:pPr>
      <w:r>
        <w:rPr/>
        <w:t>SCEM researchers also continued to be recognised for the impact of their technology research and development. For example:</w:t>
      </w:r>
    </w:p>
    <w:p>
      <w:pPr>
        <w:pStyle w:val="BodyText"/>
        <w:spacing w:line="247" w:lineRule="auto" w:before="55"/>
        <w:ind w:left="305" w:right="-7" w:hanging="199"/>
      </w:pPr>
      <w:r>
        <w:rPr>
          <w:rFonts w:ascii="Century Gothic" w:hAnsi="Century Gothic"/>
          <w:b/>
          <w:w w:val="115"/>
        </w:rPr>
        <w:t>≥ </w:t>
      </w:r>
      <w:r>
        <w:rPr/>
        <w:t>Professor Wei Xing Zheng was listed in the Thomson</w:t>
      </w:r>
      <w:r>
        <w:rPr>
          <w:spacing w:val="-18"/>
        </w:rPr>
        <w:t> </w:t>
      </w:r>
      <w:r>
        <w:rPr/>
        <w:t>Reuters</w:t>
      </w:r>
      <w:r>
        <w:rPr>
          <w:spacing w:val="-18"/>
        </w:rPr>
        <w:t> </w:t>
      </w:r>
      <w:r>
        <w:rPr/>
        <w:t>Highly</w:t>
      </w:r>
      <w:r>
        <w:rPr>
          <w:spacing w:val="-18"/>
        </w:rPr>
        <w:t> </w:t>
      </w:r>
      <w:r>
        <w:rPr/>
        <w:t>Cited</w:t>
      </w:r>
      <w:r>
        <w:rPr>
          <w:spacing w:val="-18"/>
        </w:rPr>
        <w:t> </w:t>
      </w:r>
      <w:r>
        <w:rPr/>
        <w:t>Researchers </w:t>
      </w:r>
      <w:r>
        <w:rPr>
          <w:spacing w:val="1"/>
          <w:w w:val="90"/>
        </w:rPr>
        <w:t>2016</w:t>
      </w:r>
      <w:r>
        <w:rPr>
          <w:spacing w:val="-5"/>
          <w:w w:val="90"/>
        </w:rPr>
        <w:t> </w:t>
      </w:r>
      <w:r>
        <w:rPr>
          <w:spacing w:val="1"/>
          <w:w w:val="91"/>
        </w:rPr>
        <w:t>list,</w:t>
      </w:r>
      <w:r>
        <w:rPr>
          <w:spacing w:val="-5"/>
          <w:w w:val="91"/>
        </w:rPr>
        <w:t> </w:t>
      </w:r>
      <w:r>
        <w:rPr>
          <w:w w:val="98"/>
        </w:rPr>
        <w:t>for</w:t>
      </w:r>
      <w:r>
        <w:rPr>
          <w:spacing w:val="-9"/>
          <w:w w:val="98"/>
        </w:rPr>
        <w:t> </w:t>
      </w:r>
      <w:r>
        <w:rPr>
          <w:w w:val="94"/>
        </w:rPr>
        <w:t>a</w:t>
      </w:r>
      <w:r>
        <w:rPr>
          <w:spacing w:val="-7"/>
          <w:w w:val="94"/>
        </w:rPr>
        <w:t> </w:t>
      </w:r>
      <w:r>
        <w:rPr>
          <w:spacing w:val="1"/>
          <w:w w:val="98"/>
        </w:rPr>
        <w:t>second</w:t>
      </w:r>
      <w:r>
        <w:rPr>
          <w:spacing w:val="-9"/>
          <w:w w:val="98"/>
        </w:rPr>
        <w:t> </w:t>
      </w:r>
      <w:r>
        <w:rPr>
          <w:spacing w:val="1"/>
          <w:w w:val="98"/>
        </w:rPr>
        <w:t>consecutive</w:t>
      </w:r>
      <w:r>
        <w:rPr>
          <w:spacing w:val="-9"/>
          <w:w w:val="98"/>
        </w:rPr>
        <w:t> </w:t>
      </w:r>
      <w:r>
        <w:rPr>
          <w:spacing w:val="-1"/>
          <w:w w:val="91"/>
        </w:rPr>
        <w:t>year.</w:t>
      </w:r>
    </w:p>
    <w:p>
      <w:pPr>
        <w:pStyle w:val="BodyText"/>
        <w:spacing w:line="247" w:lineRule="auto" w:before="57"/>
        <w:ind w:left="305" w:right="174" w:hanging="199"/>
      </w:pPr>
      <w:r>
        <w:rPr>
          <w:rFonts w:ascii="Century Gothic" w:hAnsi="Century Gothic"/>
          <w:b/>
          <w:w w:val="115"/>
        </w:rPr>
        <w:t>≥ </w:t>
      </w:r>
      <w:r>
        <w:rPr/>
        <w:t>Professor Athula Ginige received an ACS </w:t>
      </w:r>
      <w:r>
        <w:rPr>
          <w:w w:val="99"/>
        </w:rPr>
        <w:t>Gold </w:t>
      </w:r>
      <w:r>
        <w:rPr>
          <w:w w:val="97"/>
        </w:rPr>
        <w:t>Disruptor </w:t>
      </w:r>
      <w:r>
        <w:rPr>
          <w:w w:val="90"/>
        </w:rPr>
        <w:t>2016 </w:t>
      </w:r>
      <w:r>
        <w:rPr>
          <w:w w:val="101"/>
        </w:rPr>
        <w:t>Award </w:t>
      </w:r>
      <w:r>
        <w:rPr>
          <w:w w:val="95"/>
        </w:rPr>
        <w:t>in </w:t>
      </w:r>
      <w:r>
        <w:rPr>
          <w:w w:val="97"/>
        </w:rPr>
        <w:t>the </w:t>
      </w:r>
      <w:r>
        <w:rPr>
          <w:w w:val="86"/>
        </w:rPr>
        <w:t>ICT </w:t>
      </w:r>
      <w:r>
        <w:rPr/>
        <w:t>Researcher of the Year category at the </w:t>
      </w:r>
      <w:r>
        <w:rPr>
          <w:w w:val="90"/>
        </w:rPr>
        <w:t>2016 </w:t>
      </w:r>
      <w:r>
        <w:rPr>
          <w:w w:val="97"/>
        </w:rPr>
        <w:t>Reimagination </w:t>
      </w:r>
      <w:r>
        <w:rPr>
          <w:w w:val="97"/>
        </w:rPr>
        <w:t>Thought </w:t>
      </w:r>
      <w:r>
        <w:rPr>
          <w:w w:val="97"/>
        </w:rPr>
        <w:t>Leaders’ </w:t>
      </w:r>
      <w:r>
        <w:rPr/>
        <w:t>Summit.</w:t>
      </w:r>
    </w:p>
    <w:p>
      <w:pPr>
        <w:pStyle w:val="BodyText"/>
        <w:spacing w:line="247" w:lineRule="auto" w:before="57"/>
        <w:ind w:left="305" w:right="4" w:hanging="199"/>
      </w:pPr>
      <w:r>
        <w:rPr>
          <w:rFonts w:ascii="Century Gothic" w:hAnsi="Century Gothic"/>
          <w:b/>
          <w:w w:val="115"/>
        </w:rPr>
        <w:t>≥ </w:t>
      </w:r>
      <w:r>
        <w:rPr/>
        <w:t>A joint team of engineering and industrial design academics – including Dr Upul Gunawardana,</w:t>
      </w:r>
      <w:r>
        <w:rPr>
          <w:spacing w:val="-24"/>
        </w:rPr>
        <w:t> </w:t>
      </w:r>
      <w:r>
        <w:rPr/>
        <w:t>Dr</w:t>
      </w:r>
      <w:r>
        <w:rPr>
          <w:spacing w:val="-24"/>
        </w:rPr>
        <w:t> </w:t>
      </w:r>
      <w:r>
        <w:rPr/>
        <w:t>Chris</w:t>
      </w:r>
      <w:r>
        <w:rPr>
          <w:spacing w:val="-24"/>
        </w:rPr>
        <w:t> </w:t>
      </w:r>
      <w:r>
        <w:rPr/>
        <w:t>Le</w:t>
      </w:r>
      <w:r>
        <w:rPr>
          <w:spacing w:val="-24"/>
        </w:rPr>
        <w:t> </w:t>
      </w:r>
      <w:r>
        <w:rPr/>
        <w:t>Brese,</w:t>
      </w:r>
      <w:r>
        <w:rPr>
          <w:spacing w:val="-24"/>
        </w:rPr>
        <w:t> </w:t>
      </w:r>
      <w:r>
        <w:rPr/>
        <w:t>Dr</w:t>
      </w:r>
      <w:r>
        <w:rPr>
          <w:spacing w:val="-24"/>
        </w:rPr>
        <w:t> </w:t>
      </w:r>
      <w:r>
        <w:rPr/>
        <w:t>Ranjith Liyanapathirana, Jean Payette and Karen Yevenes – received the National Energy </w:t>
      </w:r>
      <w:r>
        <w:rPr>
          <w:spacing w:val="1"/>
          <w:w w:val="98"/>
        </w:rPr>
        <w:t>Globe</w:t>
      </w:r>
      <w:r>
        <w:rPr>
          <w:w w:val="98"/>
        </w:rPr>
        <w:t> </w:t>
      </w:r>
      <w:r>
        <w:rPr>
          <w:spacing w:val="-1"/>
          <w:w w:val="101"/>
        </w:rPr>
        <w:t>Award</w:t>
      </w:r>
      <w:r>
        <w:rPr>
          <w:w w:val="101"/>
        </w:rPr>
        <w:t> </w:t>
      </w:r>
      <w:r>
        <w:rPr>
          <w:spacing w:val="1"/>
          <w:w w:val="98"/>
        </w:rPr>
        <w:t>Australia</w:t>
      </w:r>
      <w:r>
        <w:rPr>
          <w:w w:val="98"/>
        </w:rPr>
        <w:t> </w:t>
      </w:r>
      <w:r>
        <w:rPr>
          <w:spacing w:val="1"/>
          <w:w w:val="90"/>
        </w:rPr>
        <w:t>2016</w:t>
      </w:r>
      <w:r>
        <w:rPr>
          <w:w w:val="90"/>
        </w:rPr>
        <w:t> </w:t>
      </w:r>
      <w:r>
        <w:rPr>
          <w:w w:val="98"/>
        </w:rPr>
        <w:t>for </w:t>
      </w:r>
      <w:r>
        <w:rPr>
          <w:spacing w:val="1"/>
          <w:w w:val="97"/>
        </w:rPr>
        <w:t>its</w:t>
      </w:r>
      <w:r>
        <w:rPr>
          <w:w w:val="97"/>
        </w:rPr>
        <w:t> </w:t>
      </w:r>
      <w:r>
        <w:rPr>
          <w:w w:val="98"/>
        </w:rPr>
        <w:t>Energy </w:t>
      </w:r>
      <w:r>
        <w:rPr/>
        <w:t>Smart</w:t>
      </w:r>
      <w:r>
        <w:rPr>
          <w:spacing w:val="-15"/>
        </w:rPr>
        <w:t> </w:t>
      </w:r>
      <w:r>
        <w:rPr/>
        <w:t>Lighting</w:t>
      </w:r>
      <w:r>
        <w:rPr>
          <w:spacing w:val="-15"/>
        </w:rPr>
        <w:t> </w:t>
      </w:r>
      <w:r>
        <w:rPr/>
        <w:t>application.</w:t>
      </w:r>
      <w:r>
        <w:rPr>
          <w:spacing w:val="-15"/>
        </w:rPr>
        <w:t> </w:t>
      </w:r>
      <w:r>
        <w:rPr/>
        <w:t>The</w:t>
      </w:r>
      <w:r>
        <w:rPr>
          <w:spacing w:val="-15"/>
        </w:rPr>
        <w:t> </w:t>
      </w:r>
      <w:r>
        <w:rPr/>
        <w:t>application aids the compliance management of energy-efficient</w:t>
      </w:r>
      <w:r>
        <w:rPr>
          <w:spacing w:val="-15"/>
        </w:rPr>
        <w:t> </w:t>
      </w:r>
      <w:r>
        <w:rPr/>
        <w:t>lighting</w:t>
      </w:r>
      <w:r>
        <w:rPr>
          <w:spacing w:val="-15"/>
        </w:rPr>
        <w:t> </w:t>
      </w:r>
      <w:r>
        <w:rPr/>
        <w:t>upgrades</w:t>
      </w:r>
      <w:r>
        <w:rPr>
          <w:spacing w:val="-15"/>
        </w:rPr>
        <w:t> </w:t>
      </w:r>
      <w:r>
        <w:rPr/>
        <w:t>and</w:t>
      </w:r>
      <w:r>
        <w:rPr>
          <w:spacing w:val="-15"/>
        </w:rPr>
        <w:t> </w:t>
      </w:r>
      <w:r>
        <w:rPr/>
        <w:t>was developed in collaboration with Demand Manager </w:t>
      </w:r>
      <w:r>
        <w:rPr>
          <w:spacing w:val="3"/>
        </w:rPr>
        <w:t>Pty</w:t>
      </w:r>
      <w:r>
        <w:rPr>
          <w:spacing w:val="-33"/>
        </w:rPr>
        <w:t> </w:t>
      </w:r>
      <w:r>
        <w:rPr/>
        <w:t>Ltd.</w:t>
      </w:r>
    </w:p>
    <w:p>
      <w:pPr>
        <w:pStyle w:val="BodyText"/>
        <w:spacing w:line="247" w:lineRule="auto" w:before="57"/>
        <w:ind w:left="305" w:right="8" w:hanging="199"/>
      </w:pPr>
      <w:r>
        <w:rPr>
          <w:rFonts w:ascii="Century Gothic" w:hAnsi="Century Gothic"/>
          <w:b/>
          <w:w w:val="115"/>
        </w:rPr>
        <w:t>≥ </w:t>
      </w:r>
      <w:r>
        <w:rPr/>
        <w:t>Data visualisation expert Dr Quang Vinh Nguyen</w:t>
      </w:r>
      <w:r>
        <w:rPr>
          <w:spacing w:val="-16"/>
        </w:rPr>
        <w:t> </w:t>
      </w:r>
      <w:r>
        <w:rPr/>
        <w:t>is</w:t>
      </w:r>
      <w:r>
        <w:rPr>
          <w:spacing w:val="-16"/>
        </w:rPr>
        <w:t> </w:t>
      </w:r>
      <w:r>
        <w:rPr>
          <w:spacing w:val="2"/>
        </w:rPr>
        <w:t>part</w:t>
      </w:r>
      <w:r>
        <w:rPr>
          <w:spacing w:val="-16"/>
        </w:rPr>
        <w:t> </w:t>
      </w:r>
      <w:r>
        <w:rPr/>
        <w:t>of</w:t>
      </w:r>
      <w:r>
        <w:rPr>
          <w:spacing w:val="-16"/>
        </w:rPr>
        <w:t> </w:t>
      </w:r>
      <w:r>
        <w:rPr/>
        <w:t>a</w:t>
      </w:r>
      <w:r>
        <w:rPr>
          <w:spacing w:val="-16"/>
        </w:rPr>
        <w:t> </w:t>
      </w:r>
      <w:r>
        <w:rPr/>
        <w:t>collaborative</w:t>
      </w:r>
      <w:r>
        <w:rPr>
          <w:spacing w:val="-16"/>
        </w:rPr>
        <w:t> </w:t>
      </w:r>
      <w:r>
        <w:rPr/>
        <w:t>enterprise between the Sydney Children’s Hospital Network,</w:t>
      </w:r>
      <w:r>
        <w:rPr>
          <w:spacing w:val="-17"/>
        </w:rPr>
        <w:t> </w:t>
      </w:r>
      <w:r>
        <w:rPr/>
        <w:t>University</w:t>
      </w:r>
      <w:r>
        <w:rPr>
          <w:spacing w:val="-17"/>
        </w:rPr>
        <w:t> </w:t>
      </w:r>
      <w:r>
        <w:rPr/>
        <w:t>of</w:t>
      </w:r>
      <w:r>
        <w:rPr>
          <w:spacing w:val="-17"/>
        </w:rPr>
        <w:t> </w:t>
      </w:r>
      <w:r>
        <w:rPr/>
        <w:t>Technology</w:t>
      </w:r>
      <w:r>
        <w:rPr>
          <w:spacing w:val="-17"/>
        </w:rPr>
        <w:t> </w:t>
      </w:r>
      <w:r>
        <w:rPr/>
        <w:t>Sydney and Western Sydney University that was awarded the Big Data, Big </w:t>
      </w:r>
      <w:r>
        <w:rPr>
          <w:spacing w:val="2"/>
        </w:rPr>
        <w:t>Impact </w:t>
      </w:r>
      <w:r>
        <w:rPr/>
        <w:t>Grant for Outstanding Cancer Research at the Premier’s Awards, hosted by the Cancer Institute</w:t>
      </w:r>
      <w:r>
        <w:rPr>
          <w:spacing w:val="-21"/>
        </w:rPr>
        <w:t> </w:t>
      </w:r>
      <w:r>
        <w:rPr/>
        <w:t>NSW.</w:t>
      </w:r>
      <w:r>
        <w:rPr>
          <w:spacing w:val="-21"/>
        </w:rPr>
        <w:t> </w:t>
      </w:r>
      <w:r>
        <w:rPr/>
        <w:t>The</w:t>
      </w:r>
      <w:r>
        <w:rPr>
          <w:spacing w:val="-21"/>
        </w:rPr>
        <w:t> </w:t>
      </w:r>
      <w:r>
        <w:rPr/>
        <w:t>project</w:t>
      </w:r>
      <w:r>
        <w:rPr>
          <w:spacing w:val="-21"/>
        </w:rPr>
        <w:t> </w:t>
      </w:r>
      <w:r>
        <w:rPr/>
        <w:t>received</w:t>
      </w:r>
      <w:r>
        <w:rPr>
          <w:spacing w:val="-21"/>
        </w:rPr>
        <w:t> </w:t>
      </w:r>
      <w:r>
        <w:rPr/>
        <w:t>further support from</w:t>
      </w:r>
      <w:r>
        <w:rPr>
          <w:spacing w:val="-29"/>
        </w:rPr>
        <w:t> </w:t>
      </w:r>
      <w:r>
        <w:rPr/>
        <w:t>Oracle.</w:t>
      </w:r>
    </w:p>
    <w:p>
      <w:pPr>
        <w:pStyle w:val="BodyText"/>
        <w:spacing w:line="247" w:lineRule="auto" w:before="57"/>
        <w:ind w:left="305" w:right="141" w:hanging="199"/>
      </w:pPr>
      <w:r>
        <w:rPr>
          <w:rFonts w:ascii="Century Gothic" w:hAnsi="Century Gothic"/>
          <w:b/>
          <w:w w:val="115"/>
        </w:rPr>
        <w:t>≥ </w:t>
      </w:r>
      <w:r>
        <w:rPr/>
        <w:t>Professor Andrew Francis was appointed a Fellow of the Australian Mathematical Society. He also has been awarded an </w:t>
      </w:r>
      <w:r>
        <w:rPr>
          <w:w w:val="96"/>
        </w:rPr>
        <w:t>Erskine </w:t>
      </w:r>
      <w:r>
        <w:rPr>
          <w:w w:val="98"/>
        </w:rPr>
        <w:t>Fellowship </w:t>
      </w:r>
      <w:r>
        <w:rPr>
          <w:w w:val="98"/>
        </w:rPr>
        <w:t>for </w:t>
      </w:r>
      <w:r>
        <w:rPr>
          <w:w w:val="90"/>
        </w:rPr>
        <w:t>2016 </w:t>
      </w:r>
      <w:r>
        <w:rPr>
          <w:w w:val="98"/>
        </w:rPr>
        <w:t>from </w:t>
      </w:r>
      <w:r>
        <w:rPr>
          <w:w w:val="97"/>
        </w:rPr>
        <w:t>the </w:t>
      </w:r>
      <w:r>
        <w:rPr/>
        <w:t>University of Canterbury, New Zealand.</w:t>
      </w:r>
    </w:p>
    <w:p>
      <w:pPr>
        <w:pStyle w:val="BodyText"/>
        <w:spacing w:before="2"/>
        <w:rPr>
          <w:sz w:val="14"/>
        </w:rPr>
      </w:pPr>
    </w:p>
    <w:p>
      <w:pPr>
        <w:pStyle w:val="BodyText"/>
        <w:spacing w:line="249" w:lineRule="auto"/>
        <w:ind w:left="107" w:right="280"/>
      </w:pPr>
      <w:r>
        <w:rPr/>
        <w:t>These and other awards illustrate the culture</w:t>
      </w:r>
      <w:r>
        <w:rPr>
          <w:spacing w:val="-16"/>
        </w:rPr>
        <w:t> </w:t>
      </w:r>
      <w:r>
        <w:rPr/>
        <w:t>of</w:t>
      </w:r>
      <w:r>
        <w:rPr>
          <w:spacing w:val="-16"/>
        </w:rPr>
        <w:t> </w:t>
      </w:r>
      <w:r>
        <w:rPr/>
        <w:t>commitment</w:t>
      </w:r>
      <w:r>
        <w:rPr>
          <w:spacing w:val="-16"/>
        </w:rPr>
        <w:t> </w:t>
      </w:r>
      <w:r>
        <w:rPr/>
        <w:t>to</w:t>
      </w:r>
      <w:r>
        <w:rPr>
          <w:spacing w:val="-16"/>
        </w:rPr>
        <w:t> </w:t>
      </w:r>
      <w:r>
        <w:rPr/>
        <w:t>research</w:t>
      </w:r>
      <w:r>
        <w:rPr>
          <w:spacing w:val="-16"/>
        </w:rPr>
        <w:t> </w:t>
      </w:r>
      <w:r>
        <w:rPr/>
        <w:t>quality and innovation that is encouraged by SCEM staff members, who champion research-led student learning. This culture helped the University’s Unlimited Robotics</w:t>
      </w:r>
      <w:r>
        <w:rPr>
          <w:spacing w:val="-11"/>
        </w:rPr>
        <w:t> </w:t>
      </w:r>
      <w:r>
        <w:rPr/>
        <w:t>team,</w:t>
      </w:r>
      <w:r>
        <w:rPr>
          <w:spacing w:val="-11"/>
        </w:rPr>
        <w:t> </w:t>
      </w:r>
      <w:r>
        <w:rPr/>
        <w:t>led</w:t>
      </w:r>
      <w:r>
        <w:rPr>
          <w:spacing w:val="-11"/>
        </w:rPr>
        <w:t> </w:t>
      </w:r>
      <w:r>
        <w:rPr/>
        <w:t>by</w:t>
      </w:r>
      <w:r>
        <w:rPr>
          <w:spacing w:val="-11"/>
        </w:rPr>
        <w:t> </w:t>
      </w:r>
      <w:r>
        <w:rPr/>
        <w:t>Associate</w:t>
      </w:r>
      <w:r>
        <w:rPr>
          <w:spacing w:val="-11"/>
        </w:rPr>
        <w:t> </w:t>
      </w:r>
      <w:r>
        <w:rPr/>
        <w:t>Professor Gu Fang, win the </w:t>
      </w:r>
      <w:r>
        <w:rPr>
          <w:spacing w:val="2"/>
        </w:rPr>
        <w:t>Best </w:t>
      </w:r>
      <w:r>
        <w:rPr/>
        <w:t>Robot Design </w:t>
      </w:r>
      <w:r>
        <w:rPr>
          <w:spacing w:val="-1"/>
          <w:w w:val="101"/>
        </w:rPr>
        <w:t>Award</w:t>
      </w:r>
      <w:r>
        <w:rPr>
          <w:w w:val="101"/>
        </w:rPr>
        <w:t> </w:t>
      </w:r>
      <w:r>
        <w:rPr>
          <w:w w:val="98"/>
        </w:rPr>
        <w:t>at </w:t>
      </w:r>
      <w:r>
        <w:rPr>
          <w:w w:val="97"/>
        </w:rPr>
        <w:t>the </w:t>
      </w:r>
      <w:r>
        <w:rPr>
          <w:spacing w:val="1"/>
          <w:w w:val="90"/>
        </w:rPr>
        <w:t>2016</w:t>
      </w:r>
      <w:r>
        <w:rPr>
          <w:w w:val="90"/>
        </w:rPr>
        <w:t> </w:t>
      </w:r>
      <w:r>
        <w:rPr>
          <w:spacing w:val="1"/>
          <w:w w:val="97"/>
        </w:rPr>
        <w:t>National</w:t>
      </w:r>
      <w:r>
        <w:rPr>
          <w:w w:val="97"/>
        </w:rPr>
        <w:t> </w:t>
      </w:r>
      <w:r>
        <w:rPr>
          <w:spacing w:val="1"/>
          <w:w w:val="94"/>
        </w:rPr>
        <w:t>Instruments</w:t>
      </w:r>
      <w:r>
        <w:rPr>
          <w:w w:val="94"/>
        </w:rPr>
        <w:t> </w:t>
      </w:r>
      <w:r>
        <w:rPr/>
        <w:t>Autonomous Robotics Competition. They came first out of 24 participating teams from</w:t>
      </w:r>
      <w:r>
        <w:rPr>
          <w:spacing w:val="-17"/>
        </w:rPr>
        <w:t> </w:t>
      </w:r>
      <w:r>
        <w:rPr/>
        <w:t>Australia</w:t>
      </w:r>
      <w:r>
        <w:rPr>
          <w:spacing w:val="-17"/>
        </w:rPr>
        <w:t> </w:t>
      </w:r>
      <w:r>
        <w:rPr/>
        <w:t>and</w:t>
      </w:r>
      <w:r>
        <w:rPr>
          <w:spacing w:val="-17"/>
        </w:rPr>
        <w:t> </w:t>
      </w:r>
      <w:r>
        <w:rPr/>
        <w:t>New</w:t>
      </w:r>
      <w:r>
        <w:rPr>
          <w:spacing w:val="-17"/>
        </w:rPr>
        <w:t> </w:t>
      </w:r>
      <w:r>
        <w:rPr/>
        <w:t>Zealand.</w:t>
      </w:r>
    </w:p>
    <w:p>
      <w:pPr>
        <w:pStyle w:val="BodyText"/>
        <w:rPr>
          <w:sz w:val="14"/>
        </w:rPr>
      </w:pPr>
    </w:p>
    <w:p>
      <w:pPr>
        <w:pStyle w:val="BodyText"/>
        <w:spacing w:line="249" w:lineRule="auto"/>
        <w:ind w:left="107" w:right="141"/>
      </w:pPr>
      <w:r>
        <w:rPr/>
        <w:t>To cross-pollinate the University’s research strengths in intelligent infrastructure</w:t>
      </w:r>
    </w:p>
    <w:p>
      <w:pPr>
        <w:pStyle w:val="BodyText"/>
        <w:rPr>
          <w:sz w:val="20"/>
        </w:rPr>
      </w:pPr>
      <w:r>
        <w:rPr/>
        <w:br w:type="column"/>
      </w:r>
      <w:r>
        <w:rPr>
          <w:sz w:val="20"/>
        </w:rPr>
      </w:r>
    </w:p>
    <w:p>
      <w:pPr>
        <w:pStyle w:val="BodyText"/>
        <w:spacing w:line="249" w:lineRule="auto" w:before="1"/>
        <w:ind w:left="107" w:right="404"/>
      </w:pPr>
      <w:r>
        <w:rPr/>
        <w:t>engineering, artificial intelligence and data science, and further enhance the student learning experience, the Centre for</w:t>
      </w:r>
      <w:r>
        <w:rPr>
          <w:spacing w:val="-27"/>
        </w:rPr>
        <w:t> </w:t>
      </w:r>
      <w:r>
        <w:rPr/>
        <w:t>Infrastructure</w:t>
      </w:r>
      <w:r>
        <w:rPr>
          <w:spacing w:val="-27"/>
        </w:rPr>
        <w:t> </w:t>
      </w:r>
      <w:r>
        <w:rPr/>
        <w:t>Engineering</w:t>
      </w:r>
      <w:r>
        <w:rPr>
          <w:spacing w:val="-27"/>
        </w:rPr>
        <w:t> </w:t>
      </w:r>
      <w:r>
        <w:rPr/>
        <w:t>(CIE)</w:t>
      </w:r>
      <w:r>
        <w:rPr>
          <w:spacing w:val="-27"/>
        </w:rPr>
        <w:t> </w:t>
      </w:r>
      <w:r>
        <w:rPr/>
        <w:t>joined</w:t>
      </w:r>
    </w:p>
    <w:p>
      <w:pPr>
        <w:pStyle w:val="BodyText"/>
        <w:spacing w:line="249" w:lineRule="auto"/>
        <w:ind w:left="107" w:right="177"/>
      </w:pPr>
      <w:r>
        <w:rPr>
          <w:spacing w:val="1"/>
          <w:w w:val="99"/>
        </w:rPr>
        <w:t>SCEM</w:t>
      </w:r>
      <w:r>
        <w:rPr>
          <w:w w:val="99"/>
        </w:rPr>
        <w:t> </w:t>
      </w:r>
      <w:r>
        <w:rPr>
          <w:spacing w:val="1"/>
          <w:w w:val="98"/>
        </w:rPr>
        <w:t>from</w:t>
      </w:r>
      <w:r>
        <w:rPr>
          <w:w w:val="98"/>
        </w:rPr>
        <w:t> </w:t>
      </w:r>
      <w:r>
        <w:rPr>
          <w:spacing w:val="1"/>
          <w:w w:val="100"/>
        </w:rPr>
        <w:t>July</w:t>
      </w:r>
      <w:r>
        <w:rPr>
          <w:w w:val="100"/>
        </w:rPr>
        <w:t> </w:t>
      </w:r>
      <w:r>
        <w:rPr>
          <w:spacing w:val="2"/>
          <w:w w:val="85"/>
        </w:rPr>
        <w:t>2016.</w:t>
      </w:r>
      <w:r>
        <w:rPr>
          <w:w w:val="85"/>
        </w:rPr>
        <w:t> </w:t>
      </w:r>
      <w:r>
        <w:rPr>
          <w:spacing w:val="1"/>
          <w:w w:val="89"/>
        </w:rPr>
        <w:t>CIE</w:t>
      </w:r>
      <w:r>
        <w:rPr>
          <w:w w:val="89"/>
        </w:rPr>
        <w:t> </w:t>
      </w:r>
      <w:r>
        <w:rPr>
          <w:w w:val="98"/>
        </w:rPr>
        <w:t>strategic </w:t>
      </w:r>
      <w:r>
        <w:rPr>
          <w:spacing w:val="1"/>
          <w:w w:val="96"/>
        </w:rPr>
        <w:t>research</w:t>
      </w:r>
      <w:r>
        <w:rPr>
          <w:w w:val="96"/>
        </w:rPr>
        <w:t> </w:t>
      </w:r>
      <w:r>
        <w:rPr/>
        <w:t>objectives focus on excellence in three main research themes under the infrastructure engineering</w:t>
      </w:r>
      <w:r>
        <w:rPr>
          <w:spacing w:val="-26"/>
        </w:rPr>
        <w:t> </w:t>
      </w:r>
      <w:r>
        <w:rPr/>
        <w:t>banner:</w:t>
      </w:r>
      <w:r>
        <w:rPr>
          <w:spacing w:val="-26"/>
        </w:rPr>
        <w:t> </w:t>
      </w:r>
      <w:r>
        <w:rPr/>
        <w:t>structures,</w:t>
      </w:r>
      <w:r>
        <w:rPr>
          <w:spacing w:val="-26"/>
        </w:rPr>
        <w:t> </w:t>
      </w:r>
      <w:r>
        <w:rPr/>
        <w:t>materials</w:t>
      </w:r>
      <w:r>
        <w:rPr>
          <w:spacing w:val="-26"/>
        </w:rPr>
        <w:t> </w:t>
      </w:r>
      <w:r>
        <w:rPr/>
        <w:t>and sustainability. Success is measured by the strength</w:t>
      </w:r>
      <w:r>
        <w:rPr>
          <w:spacing w:val="-16"/>
        </w:rPr>
        <w:t> </w:t>
      </w:r>
      <w:r>
        <w:rPr/>
        <w:t>of</w:t>
      </w:r>
      <w:r>
        <w:rPr>
          <w:spacing w:val="-16"/>
        </w:rPr>
        <w:t> </w:t>
      </w:r>
      <w:r>
        <w:rPr/>
        <w:t>its</w:t>
      </w:r>
      <w:r>
        <w:rPr>
          <w:spacing w:val="-16"/>
        </w:rPr>
        <w:t> </w:t>
      </w:r>
      <w:r>
        <w:rPr/>
        <w:t>higher</w:t>
      </w:r>
      <w:r>
        <w:rPr>
          <w:spacing w:val="-16"/>
        </w:rPr>
        <w:t> </w:t>
      </w:r>
      <w:r>
        <w:rPr/>
        <w:t>degree</w:t>
      </w:r>
      <w:r>
        <w:rPr>
          <w:spacing w:val="-16"/>
        </w:rPr>
        <w:t> </w:t>
      </w:r>
      <w:r>
        <w:rPr/>
        <w:t>research</w:t>
      </w:r>
      <w:r>
        <w:rPr>
          <w:spacing w:val="-16"/>
        </w:rPr>
        <w:t> </w:t>
      </w:r>
      <w:r>
        <w:rPr/>
        <w:t>(HDR) program, research income in categories 1, 2 and 3, and the ability to achieve significant consulting</w:t>
      </w:r>
      <w:r>
        <w:rPr>
          <w:spacing w:val="-17"/>
        </w:rPr>
        <w:t> </w:t>
      </w:r>
      <w:r>
        <w:rPr/>
        <w:t>and</w:t>
      </w:r>
      <w:r>
        <w:rPr>
          <w:spacing w:val="-17"/>
        </w:rPr>
        <w:t> </w:t>
      </w:r>
      <w:r>
        <w:rPr/>
        <w:t>commercial</w:t>
      </w:r>
      <w:r>
        <w:rPr>
          <w:spacing w:val="-17"/>
        </w:rPr>
        <w:t> </w:t>
      </w:r>
      <w:r>
        <w:rPr/>
        <w:t>opportunities.</w:t>
      </w:r>
    </w:p>
    <w:p>
      <w:pPr>
        <w:pStyle w:val="BodyText"/>
        <w:spacing w:line="249" w:lineRule="auto"/>
        <w:ind w:left="107" w:right="115"/>
      </w:pPr>
      <w:r>
        <w:rPr/>
        <w:t>The</w:t>
      </w:r>
      <w:r>
        <w:rPr>
          <w:spacing w:val="-17"/>
        </w:rPr>
        <w:t> </w:t>
      </w:r>
      <w:r>
        <w:rPr>
          <w:spacing w:val="2"/>
        </w:rPr>
        <w:t>48</w:t>
      </w:r>
      <w:r>
        <w:rPr>
          <w:spacing w:val="-17"/>
        </w:rPr>
        <w:t> </w:t>
      </w:r>
      <w:r>
        <w:rPr/>
        <w:t>research</w:t>
      </w:r>
      <w:r>
        <w:rPr>
          <w:spacing w:val="-17"/>
        </w:rPr>
        <w:t> </w:t>
      </w:r>
      <w:r>
        <w:rPr/>
        <w:t>students</w:t>
      </w:r>
      <w:r>
        <w:rPr>
          <w:spacing w:val="-17"/>
        </w:rPr>
        <w:t> </w:t>
      </w:r>
      <w:r>
        <w:rPr/>
        <w:t>at</w:t>
      </w:r>
      <w:r>
        <w:rPr>
          <w:spacing w:val="-17"/>
        </w:rPr>
        <w:t> </w:t>
      </w:r>
      <w:r>
        <w:rPr/>
        <w:t>CIE</w:t>
      </w:r>
      <w:r>
        <w:rPr>
          <w:spacing w:val="-17"/>
        </w:rPr>
        <w:t> </w:t>
      </w:r>
      <w:r>
        <w:rPr/>
        <w:t>are</w:t>
      </w:r>
      <w:r>
        <w:rPr>
          <w:spacing w:val="-17"/>
        </w:rPr>
        <w:t> </w:t>
      </w:r>
      <w:r>
        <w:rPr/>
        <w:t>engaged in a variety of research programs across the three main themes. CIE is a member of the Australian</w:t>
      </w:r>
      <w:r>
        <w:rPr>
          <w:spacing w:val="-19"/>
        </w:rPr>
        <w:t> </w:t>
      </w:r>
      <w:r>
        <w:rPr/>
        <w:t>Research</w:t>
      </w:r>
      <w:r>
        <w:rPr>
          <w:spacing w:val="-19"/>
        </w:rPr>
        <w:t> </w:t>
      </w:r>
      <w:r>
        <w:rPr/>
        <w:t>Council’s</w:t>
      </w:r>
      <w:r>
        <w:rPr>
          <w:spacing w:val="-19"/>
        </w:rPr>
        <w:t> </w:t>
      </w:r>
      <w:r>
        <w:rPr/>
        <w:t>(ARC’s)</w:t>
      </w:r>
      <w:r>
        <w:rPr>
          <w:spacing w:val="-19"/>
        </w:rPr>
        <w:t> </w:t>
      </w:r>
      <w:r>
        <w:rPr/>
        <w:t>Industry Transformation Research Hub: Nanoscience </w:t>
      </w:r>
      <w:r>
        <w:rPr>
          <w:spacing w:val="2"/>
        </w:rPr>
        <w:t>Based </w:t>
      </w:r>
      <w:r>
        <w:rPr/>
        <w:t>Construction Materials Manufacturing (NANOCOMM). The hub has attracted </w:t>
      </w:r>
      <w:r>
        <w:rPr>
          <w:spacing w:val="1"/>
          <w:w w:val="97"/>
        </w:rPr>
        <w:t>students</w:t>
      </w:r>
      <w:r>
        <w:rPr>
          <w:w w:val="97"/>
        </w:rPr>
        <w:t> </w:t>
      </w:r>
      <w:r>
        <w:rPr>
          <w:spacing w:val="1"/>
          <w:w w:val="98"/>
        </w:rPr>
        <w:t>from</w:t>
      </w:r>
      <w:r>
        <w:rPr>
          <w:w w:val="98"/>
        </w:rPr>
        <w:t> </w:t>
      </w:r>
      <w:r>
        <w:rPr>
          <w:w w:val="97"/>
        </w:rPr>
        <w:t>more </w:t>
      </w:r>
      <w:r>
        <w:rPr>
          <w:spacing w:val="1"/>
          <w:w w:val="97"/>
        </w:rPr>
        <w:t>than</w:t>
      </w:r>
      <w:r>
        <w:rPr>
          <w:w w:val="97"/>
        </w:rPr>
        <w:t> </w:t>
      </w:r>
      <w:r>
        <w:rPr>
          <w:spacing w:val="2"/>
          <w:w w:val="82"/>
        </w:rPr>
        <w:t>10</w:t>
      </w:r>
      <w:r>
        <w:rPr>
          <w:w w:val="82"/>
        </w:rPr>
        <w:t> </w:t>
      </w:r>
      <w:r>
        <w:rPr>
          <w:w w:val="96"/>
        </w:rPr>
        <w:t>universities </w:t>
      </w:r>
      <w:r>
        <w:rPr>
          <w:spacing w:val="1"/>
          <w:w w:val="97"/>
        </w:rPr>
        <w:t>and</w:t>
      </w:r>
      <w:r>
        <w:rPr>
          <w:w w:val="97"/>
        </w:rPr>
        <w:t> </w:t>
      </w:r>
      <w:r>
        <w:rPr/>
        <w:t>institutions, who will develop transformative technologies that will be in high demand for infrastructure projects. Their work will be </w:t>
      </w:r>
      <w:r>
        <w:rPr>
          <w:spacing w:val="1"/>
          <w:w w:val="98"/>
        </w:rPr>
        <w:t>aided</w:t>
      </w:r>
      <w:r>
        <w:rPr>
          <w:w w:val="98"/>
        </w:rPr>
        <w:t> </w:t>
      </w:r>
      <w:r>
        <w:rPr>
          <w:spacing w:val="-1"/>
          <w:w w:val="102"/>
        </w:rPr>
        <w:t>by</w:t>
      </w:r>
      <w:r>
        <w:rPr>
          <w:w w:val="102"/>
        </w:rPr>
        <w:t> </w:t>
      </w:r>
      <w:r>
        <w:rPr>
          <w:spacing w:val="2"/>
          <w:w w:val="88"/>
        </w:rPr>
        <w:t>$10</w:t>
      </w:r>
      <w:r>
        <w:rPr>
          <w:w w:val="88"/>
        </w:rPr>
        <w:t> </w:t>
      </w:r>
      <w:r>
        <w:rPr>
          <w:w w:val="96"/>
        </w:rPr>
        <w:t>million </w:t>
      </w:r>
      <w:r>
        <w:rPr>
          <w:w w:val="95"/>
        </w:rPr>
        <w:t>in </w:t>
      </w:r>
      <w:r>
        <w:rPr>
          <w:spacing w:val="1"/>
          <w:w w:val="97"/>
        </w:rPr>
        <w:t>funding</w:t>
      </w:r>
      <w:r>
        <w:rPr>
          <w:w w:val="97"/>
        </w:rPr>
        <w:t> </w:t>
      </w:r>
      <w:r>
        <w:rPr>
          <w:spacing w:val="1"/>
          <w:w w:val="98"/>
        </w:rPr>
        <w:t>from</w:t>
      </w:r>
      <w:r>
        <w:rPr>
          <w:w w:val="98"/>
        </w:rPr>
        <w:t> </w:t>
      </w:r>
      <w:r>
        <w:rPr>
          <w:w w:val="97"/>
        </w:rPr>
        <w:t>the </w:t>
      </w:r>
      <w:r>
        <w:rPr>
          <w:spacing w:val="1"/>
          <w:w w:val="104"/>
        </w:rPr>
        <w:t>ARC</w:t>
      </w:r>
      <w:r>
        <w:rPr>
          <w:w w:val="104"/>
        </w:rPr>
        <w:t> </w:t>
      </w:r>
      <w:r>
        <w:rPr/>
        <w:t>and industry over the next five years. It is envisaged that CIE will help to development research capacity in the area of urban transformation</w:t>
      </w:r>
      <w:r>
        <w:rPr>
          <w:spacing w:val="-17"/>
        </w:rPr>
        <w:t> </w:t>
      </w:r>
      <w:r>
        <w:rPr/>
        <w:t>as</w:t>
      </w:r>
      <w:r>
        <w:rPr>
          <w:spacing w:val="-17"/>
        </w:rPr>
        <w:t> </w:t>
      </w:r>
      <w:r>
        <w:rPr/>
        <w:t>it</w:t>
      </w:r>
      <w:r>
        <w:rPr>
          <w:spacing w:val="-17"/>
        </w:rPr>
        <w:t> </w:t>
      </w:r>
      <w:r>
        <w:rPr/>
        <w:t>relates</w:t>
      </w:r>
      <w:r>
        <w:rPr>
          <w:spacing w:val="-17"/>
        </w:rPr>
        <w:t> </w:t>
      </w:r>
      <w:r>
        <w:rPr/>
        <w:t>to</w:t>
      </w:r>
      <w:r>
        <w:rPr>
          <w:spacing w:val="-17"/>
        </w:rPr>
        <w:t> </w:t>
      </w:r>
      <w:r>
        <w:rPr/>
        <w:t>the</w:t>
      </w:r>
      <w:r>
        <w:rPr>
          <w:spacing w:val="-17"/>
        </w:rPr>
        <w:t> </w:t>
      </w:r>
      <w:r>
        <w:rPr/>
        <w:t>University’s new</w:t>
      </w:r>
      <w:r>
        <w:rPr>
          <w:spacing w:val="-25"/>
        </w:rPr>
        <w:t> </w:t>
      </w:r>
      <w:r>
        <w:rPr/>
        <w:t>architecture</w:t>
      </w:r>
      <w:r>
        <w:rPr>
          <w:spacing w:val="-25"/>
        </w:rPr>
        <w:t> </w:t>
      </w:r>
      <w:r>
        <w:rPr/>
        <w:t>programs.</w:t>
      </w:r>
    </w:p>
    <w:p>
      <w:pPr>
        <w:pStyle w:val="BodyText"/>
        <w:rPr>
          <w:sz w:val="14"/>
        </w:rPr>
      </w:pPr>
    </w:p>
    <w:p>
      <w:pPr>
        <w:pStyle w:val="BodyText"/>
        <w:spacing w:line="249" w:lineRule="auto"/>
        <w:ind w:left="107" w:right="449"/>
      </w:pPr>
      <w:r>
        <w:rPr/>
        <w:t>The Centre for Research in Mathematics (CRM) experienced another strong year of producing high-quality research. The CRM</w:t>
      </w:r>
      <w:r>
        <w:rPr>
          <w:spacing w:val="-16"/>
        </w:rPr>
        <w:t> </w:t>
      </w:r>
      <w:r>
        <w:rPr/>
        <w:t>had</w:t>
      </w:r>
      <w:r>
        <w:rPr>
          <w:spacing w:val="-16"/>
        </w:rPr>
        <w:t> </w:t>
      </w:r>
      <w:r>
        <w:rPr/>
        <w:t>a</w:t>
      </w:r>
      <w:r>
        <w:rPr>
          <w:spacing w:val="-16"/>
        </w:rPr>
        <w:t> </w:t>
      </w:r>
      <w:r>
        <w:rPr/>
        <w:t>steady</w:t>
      </w:r>
      <w:r>
        <w:rPr>
          <w:spacing w:val="-16"/>
        </w:rPr>
        <w:t> </w:t>
      </w:r>
      <w:r>
        <w:rPr/>
        <w:t>stream</w:t>
      </w:r>
      <w:r>
        <w:rPr>
          <w:spacing w:val="-16"/>
        </w:rPr>
        <w:t> </w:t>
      </w:r>
      <w:r>
        <w:rPr/>
        <w:t>of</w:t>
      </w:r>
      <w:r>
        <w:rPr>
          <w:spacing w:val="-16"/>
        </w:rPr>
        <w:t> </w:t>
      </w:r>
      <w:r>
        <w:rPr/>
        <w:t>international visitors and hosted three conferences. It </w:t>
      </w:r>
      <w:r>
        <w:rPr>
          <w:w w:val="98"/>
        </w:rPr>
        <w:t>grew </w:t>
      </w:r>
      <w:r>
        <w:rPr>
          <w:spacing w:val="1"/>
          <w:w w:val="97"/>
        </w:rPr>
        <w:t>significantly</w:t>
      </w:r>
      <w:r>
        <w:rPr>
          <w:w w:val="97"/>
        </w:rPr>
        <w:t> </w:t>
      </w:r>
      <w:r>
        <w:rPr>
          <w:w w:val="95"/>
        </w:rPr>
        <w:t>in </w:t>
      </w:r>
      <w:r>
        <w:rPr>
          <w:spacing w:val="1"/>
          <w:w w:val="96"/>
        </w:rPr>
        <w:t>early</w:t>
      </w:r>
      <w:r>
        <w:rPr>
          <w:w w:val="96"/>
        </w:rPr>
        <w:t> </w:t>
      </w:r>
      <w:r>
        <w:rPr>
          <w:spacing w:val="1"/>
          <w:w w:val="90"/>
        </w:rPr>
        <w:t>2016</w:t>
      </w:r>
      <w:r>
        <w:rPr>
          <w:w w:val="90"/>
        </w:rPr>
        <w:t> </w:t>
      </w:r>
      <w:r>
        <w:rPr>
          <w:w w:val="98"/>
        </w:rPr>
        <w:t>with </w:t>
      </w:r>
      <w:r>
        <w:rPr>
          <w:w w:val="97"/>
        </w:rPr>
        <w:t>the </w:t>
      </w:r>
      <w:r>
        <w:rPr/>
        <w:t>recruitment</w:t>
      </w:r>
      <w:r>
        <w:rPr>
          <w:spacing w:val="-17"/>
        </w:rPr>
        <w:t> </w:t>
      </w:r>
      <w:r>
        <w:rPr/>
        <w:t>of</w:t>
      </w:r>
      <w:r>
        <w:rPr>
          <w:spacing w:val="-17"/>
        </w:rPr>
        <w:t> </w:t>
      </w:r>
      <w:r>
        <w:rPr/>
        <w:t>a</w:t>
      </w:r>
      <w:r>
        <w:rPr>
          <w:spacing w:val="-17"/>
        </w:rPr>
        <w:t> </w:t>
      </w:r>
      <w:r>
        <w:rPr/>
        <w:t>statistical</w:t>
      </w:r>
      <w:r>
        <w:rPr>
          <w:spacing w:val="-17"/>
        </w:rPr>
        <w:t> </w:t>
      </w:r>
      <w:r>
        <w:rPr/>
        <w:t>consultant</w:t>
      </w:r>
      <w:r>
        <w:rPr>
          <w:spacing w:val="-17"/>
        </w:rPr>
        <w:t> </w:t>
      </w:r>
      <w:r>
        <w:rPr/>
        <w:t>and</w:t>
      </w:r>
    </w:p>
    <w:p>
      <w:pPr>
        <w:pStyle w:val="BodyText"/>
        <w:spacing w:line="249" w:lineRule="auto"/>
        <w:ind w:left="107" w:right="158"/>
      </w:pPr>
      <w:r>
        <w:rPr/>
        <w:t>two</w:t>
      </w:r>
      <w:r>
        <w:rPr>
          <w:spacing w:val="-16"/>
        </w:rPr>
        <w:t> </w:t>
      </w:r>
      <w:r>
        <w:rPr/>
        <w:t>new</w:t>
      </w:r>
      <w:r>
        <w:rPr>
          <w:spacing w:val="-16"/>
        </w:rPr>
        <w:t> </w:t>
      </w:r>
      <w:r>
        <w:rPr/>
        <w:t>data</w:t>
      </w:r>
      <w:r>
        <w:rPr>
          <w:spacing w:val="-16"/>
        </w:rPr>
        <w:t> </w:t>
      </w:r>
      <w:r>
        <w:rPr/>
        <w:t>science</w:t>
      </w:r>
      <w:r>
        <w:rPr>
          <w:spacing w:val="-16"/>
        </w:rPr>
        <w:t> </w:t>
      </w:r>
      <w:r>
        <w:rPr/>
        <w:t>staff</w:t>
      </w:r>
      <w:r>
        <w:rPr>
          <w:spacing w:val="-16"/>
        </w:rPr>
        <w:t> </w:t>
      </w:r>
      <w:r>
        <w:rPr/>
        <w:t>members,</w:t>
      </w:r>
      <w:r>
        <w:rPr>
          <w:spacing w:val="-16"/>
        </w:rPr>
        <w:t> </w:t>
      </w:r>
      <w:r>
        <w:rPr/>
        <w:t>as</w:t>
      </w:r>
      <w:r>
        <w:rPr>
          <w:spacing w:val="-16"/>
        </w:rPr>
        <w:t> </w:t>
      </w:r>
      <w:r>
        <w:rPr>
          <w:spacing w:val="2"/>
        </w:rPr>
        <w:t>part </w:t>
      </w:r>
      <w:r>
        <w:rPr/>
        <w:t>of its efforts to engage more with industry and</w:t>
      </w:r>
      <w:r>
        <w:rPr>
          <w:spacing w:val="-18"/>
        </w:rPr>
        <w:t> </w:t>
      </w:r>
      <w:r>
        <w:rPr/>
        <w:t>the</w:t>
      </w:r>
      <w:r>
        <w:rPr>
          <w:spacing w:val="-18"/>
        </w:rPr>
        <w:t> </w:t>
      </w:r>
      <w:r>
        <w:rPr/>
        <w:t>wider</w:t>
      </w:r>
      <w:r>
        <w:rPr>
          <w:spacing w:val="-18"/>
        </w:rPr>
        <w:t> </w:t>
      </w:r>
      <w:r>
        <w:rPr/>
        <w:t>community.</w:t>
      </w:r>
      <w:r>
        <w:rPr>
          <w:spacing w:val="-18"/>
        </w:rPr>
        <w:t> </w:t>
      </w:r>
      <w:r>
        <w:rPr/>
        <w:t>The</w:t>
      </w:r>
      <w:r>
        <w:rPr>
          <w:spacing w:val="-18"/>
        </w:rPr>
        <w:t> </w:t>
      </w:r>
      <w:r>
        <w:rPr/>
        <w:t>new</w:t>
      </w:r>
      <w:r>
        <w:rPr>
          <w:spacing w:val="-18"/>
        </w:rPr>
        <w:t> </w:t>
      </w:r>
      <w:r>
        <w:rPr/>
        <w:t>Statistical Consulting</w:t>
      </w:r>
      <w:r>
        <w:rPr>
          <w:spacing w:val="-14"/>
        </w:rPr>
        <w:t> </w:t>
      </w:r>
      <w:r>
        <w:rPr/>
        <w:t>Unit</w:t>
      </w:r>
      <w:r>
        <w:rPr>
          <w:spacing w:val="-14"/>
        </w:rPr>
        <w:t> </w:t>
      </w:r>
      <w:r>
        <w:rPr/>
        <w:t>led</w:t>
      </w:r>
      <w:r>
        <w:rPr>
          <w:spacing w:val="-14"/>
        </w:rPr>
        <w:t> </w:t>
      </w:r>
      <w:r>
        <w:rPr/>
        <w:t>by</w:t>
      </w:r>
      <w:r>
        <w:rPr>
          <w:spacing w:val="-14"/>
        </w:rPr>
        <w:t> </w:t>
      </w:r>
      <w:r>
        <w:rPr/>
        <w:t>Professor</w:t>
      </w:r>
      <w:r>
        <w:rPr>
          <w:spacing w:val="-14"/>
        </w:rPr>
        <w:t> </w:t>
      </w:r>
      <w:r>
        <w:rPr/>
        <w:t>Glenn</w:t>
      </w:r>
      <w:r>
        <w:rPr>
          <w:spacing w:val="-14"/>
        </w:rPr>
        <w:t> </w:t>
      </w:r>
      <w:r>
        <w:rPr/>
        <w:t>Stone has strong capacity to engage with external </w:t>
      </w:r>
      <w:r>
        <w:rPr>
          <w:spacing w:val="2"/>
        </w:rPr>
        <w:t>partners, </w:t>
      </w:r>
      <w:r>
        <w:rPr/>
        <w:t>while also delivering the School’s new</w:t>
      </w:r>
      <w:r>
        <w:rPr>
          <w:spacing w:val="-23"/>
        </w:rPr>
        <w:t> </w:t>
      </w:r>
      <w:r>
        <w:rPr/>
        <w:t>courses</w:t>
      </w:r>
      <w:r>
        <w:rPr>
          <w:spacing w:val="-23"/>
        </w:rPr>
        <w:t> </w:t>
      </w:r>
      <w:r>
        <w:rPr/>
        <w:t>in</w:t>
      </w:r>
      <w:r>
        <w:rPr>
          <w:spacing w:val="-23"/>
        </w:rPr>
        <w:t> </w:t>
      </w:r>
      <w:r>
        <w:rPr/>
        <w:t>data</w:t>
      </w:r>
      <w:r>
        <w:rPr>
          <w:spacing w:val="-23"/>
        </w:rPr>
        <w:t> </w:t>
      </w:r>
      <w:r>
        <w:rPr/>
        <w:t>science.</w:t>
      </w:r>
      <w:r>
        <w:rPr>
          <w:spacing w:val="-23"/>
        </w:rPr>
        <w:t> </w:t>
      </w:r>
      <w:r>
        <w:rPr/>
        <w:t>In</w:t>
      </w:r>
      <w:r>
        <w:rPr>
          <w:spacing w:val="-23"/>
        </w:rPr>
        <w:t> </w:t>
      </w:r>
      <w:r>
        <w:rPr/>
        <w:t>addition,</w:t>
      </w:r>
    </w:p>
    <w:p>
      <w:pPr>
        <w:pStyle w:val="BodyText"/>
        <w:spacing w:line="249" w:lineRule="auto"/>
        <w:ind w:left="107" w:right="212"/>
      </w:pPr>
      <w:r>
        <w:rPr/>
        <w:t>the School’s reputation for mathematical research</w:t>
      </w:r>
      <w:r>
        <w:rPr>
          <w:spacing w:val="-16"/>
        </w:rPr>
        <w:t> </w:t>
      </w:r>
      <w:r>
        <w:rPr/>
        <w:t>and</w:t>
      </w:r>
      <w:r>
        <w:rPr>
          <w:spacing w:val="-16"/>
        </w:rPr>
        <w:t> </w:t>
      </w:r>
      <w:r>
        <w:rPr/>
        <w:t>its</w:t>
      </w:r>
      <w:r>
        <w:rPr>
          <w:spacing w:val="-16"/>
        </w:rPr>
        <w:t> </w:t>
      </w:r>
      <w:r>
        <w:rPr/>
        <w:t>engagement</w:t>
      </w:r>
      <w:r>
        <w:rPr>
          <w:spacing w:val="-16"/>
        </w:rPr>
        <w:t> </w:t>
      </w:r>
      <w:r>
        <w:rPr/>
        <w:t>with</w:t>
      </w:r>
      <w:r>
        <w:rPr>
          <w:spacing w:val="-16"/>
        </w:rPr>
        <w:t> </w:t>
      </w:r>
      <w:r>
        <w:rPr/>
        <w:t>the</w:t>
      </w:r>
      <w:r>
        <w:rPr>
          <w:spacing w:val="-16"/>
        </w:rPr>
        <w:t> </w:t>
      </w:r>
      <w:r>
        <w:rPr/>
        <w:t>wider mathematical</w:t>
      </w:r>
      <w:r>
        <w:rPr>
          <w:spacing w:val="-18"/>
        </w:rPr>
        <w:t> </w:t>
      </w:r>
      <w:r>
        <w:rPr/>
        <w:t>community</w:t>
      </w:r>
      <w:r>
        <w:rPr>
          <w:spacing w:val="-18"/>
        </w:rPr>
        <w:t> </w:t>
      </w:r>
      <w:r>
        <w:rPr/>
        <w:t>continued</w:t>
      </w:r>
      <w:r>
        <w:rPr>
          <w:spacing w:val="-18"/>
        </w:rPr>
        <w:t> </w:t>
      </w:r>
      <w:r>
        <w:rPr/>
        <w:t>to</w:t>
      </w:r>
      <w:r>
        <w:rPr>
          <w:spacing w:val="-18"/>
        </w:rPr>
        <w:t> </w:t>
      </w:r>
      <w:r>
        <w:rPr/>
        <w:t>grow, with CRM researchers leading two sessions </w:t>
      </w:r>
      <w:r>
        <w:rPr>
          <w:w w:val="95"/>
        </w:rPr>
        <w:t>in</w:t>
      </w:r>
      <w:r>
        <w:rPr>
          <w:spacing w:val="-8"/>
          <w:w w:val="95"/>
        </w:rPr>
        <w:t> </w:t>
      </w:r>
      <w:r>
        <w:rPr>
          <w:w w:val="97"/>
        </w:rPr>
        <w:t>the</w:t>
      </w:r>
      <w:r>
        <w:rPr>
          <w:spacing w:val="-9"/>
          <w:w w:val="97"/>
        </w:rPr>
        <w:t> </w:t>
      </w:r>
      <w:r>
        <w:rPr>
          <w:spacing w:val="1"/>
          <w:w w:val="90"/>
        </w:rPr>
        <w:t>2016</w:t>
      </w:r>
      <w:r>
        <w:rPr>
          <w:spacing w:val="-5"/>
          <w:w w:val="90"/>
        </w:rPr>
        <w:t> </w:t>
      </w:r>
      <w:r>
        <w:rPr>
          <w:spacing w:val="1"/>
          <w:w w:val="95"/>
        </w:rPr>
        <w:t>annual</w:t>
      </w:r>
      <w:r>
        <w:rPr>
          <w:spacing w:val="-8"/>
          <w:w w:val="95"/>
        </w:rPr>
        <w:t> </w:t>
      </w:r>
      <w:r>
        <w:rPr>
          <w:spacing w:val="1"/>
          <w:w w:val="97"/>
        </w:rPr>
        <w:t>meetings</w:t>
      </w:r>
      <w:r>
        <w:rPr>
          <w:spacing w:val="-9"/>
          <w:w w:val="97"/>
        </w:rPr>
        <w:t> </w:t>
      </w:r>
      <w:r>
        <w:rPr>
          <w:w w:val="99"/>
        </w:rPr>
        <w:t>of</w:t>
      </w:r>
      <w:r>
        <w:rPr>
          <w:spacing w:val="-10"/>
          <w:w w:val="99"/>
        </w:rPr>
        <w:t> </w:t>
      </w:r>
      <w:r>
        <w:rPr>
          <w:w w:val="97"/>
        </w:rPr>
        <w:t>the</w:t>
      </w:r>
      <w:r>
        <w:rPr>
          <w:spacing w:val="-9"/>
          <w:w w:val="97"/>
        </w:rPr>
        <w:t> </w:t>
      </w:r>
      <w:r>
        <w:rPr>
          <w:spacing w:val="1"/>
          <w:w w:val="97"/>
        </w:rPr>
        <w:t>Australian</w:t>
      </w:r>
      <w:r>
        <w:rPr>
          <w:w w:val="97"/>
        </w:rPr>
        <w:t> </w:t>
      </w:r>
      <w:r>
        <w:rPr/>
        <w:t>Mathematical</w:t>
      </w:r>
      <w:r>
        <w:rPr>
          <w:spacing w:val="-20"/>
        </w:rPr>
        <w:t> </w:t>
      </w:r>
      <w:r>
        <w:rPr/>
        <w:t>Society.</w:t>
      </w:r>
      <w:r>
        <w:rPr>
          <w:spacing w:val="-20"/>
        </w:rPr>
        <w:t> </w:t>
      </w:r>
      <w:r>
        <w:rPr/>
        <w:t>The</w:t>
      </w:r>
      <w:r>
        <w:rPr>
          <w:spacing w:val="-20"/>
        </w:rPr>
        <w:t> </w:t>
      </w:r>
      <w:r>
        <w:rPr/>
        <w:t>CRM</w:t>
      </w:r>
      <w:r>
        <w:rPr>
          <w:spacing w:val="-20"/>
        </w:rPr>
        <w:t> </w:t>
      </w:r>
      <w:r>
        <w:rPr/>
        <w:t>has</w:t>
      </w:r>
      <w:r>
        <w:rPr>
          <w:spacing w:val="-20"/>
        </w:rPr>
        <w:t> </w:t>
      </w:r>
      <w:r>
        <w:rPr/>
        <w:t>also</w:t>
      </w:r>
    </w:p>
    <w:p>
      <w:pPr>
        <w:pStyle w:val="BodyText"/>
        <w:spacing w:line="249" w:lineRule="auto"/>
        <w:ind w:left="107"/>
      </w:pPr>
      <w:r>
        <w:rPr/>
        <w:t>hosted two Australian Mathematical Sciences Institute workshops in the last two years.</w:t>
      </w:r>
    </w:p>
    <w:p>
      <w:pPr>
        <w:spacing w:after="0" w:line="249" w:lineRule="auto"/>
        <w:sectPr>
          <w:type w:val="continuous"/>
          <w:pgSz w:w="11910" w:h="16840"/>
          <w:pgMar w:top="1580" w:bottom="280" w:left="800" w:right="800"/>
          <w:cols w:num="3" w:equalWidth="0">
            <w:col w:w="3316" w:space="123"/>
            <w:col w:w="3292" w:space="147"/>
            <w:col w:w="3432"/>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3"/>
      </w:pPr>
      <w:r>
        <w:rPr/>
        <w:t>SCEM continued its contribution to the development</w:t>
      </w:r>
      <w:r>
        <w:rPr>
          <w:spacing w:val="-18"/>
        </w:rPr>
        <w:t> </w:t>
      </w:r>
      <w:r>
        <w:rPr/>
        <w:t>of</w:t>
      </w:r>
      <w:r>
        <w:rPr>
          <w:spacing w:val="-18"/>
        </w:rPr>
        <w:t> </w:t>
      </w:r>
      <w:r>
        <w:rPr/>
        <w:t>the</w:t>
      </w:r>
      <w:r>
        <w:rPr>
          <w:spacing w:val="-18"/>
        </w:rPr>
        <w:t> </w:t>
      </w:r>
      <w:r>
        <w:rPr/>
        <w:t>University</w:t>
      </w:r>
      <w:r>
        <w:rPr>
          <w:spacing w:val="-18"/>
        </w:rPr>
        <w:t> </w:t>
      </w:r>
      <w:r>
        <w:rPr/>
        <w:t>research</w:t>
      </w:r>
      <w:r>
        <w:rPr>
          <w:spacing w:val="-18"/>
        </w:rPr>
        <w:t> </w:t>
      </w:r>
      <w:r>
        <w:rPr/>
        <w:t>brand, and</w:t>
      </w:r>
      <w:r>
        <w:rPr>
          <w:spacing w:val="-18"/>
        </w:rPr>
        <w:t> </w:t>
      </w:r>
      <w:r>
        <w:rPr/>
        <w:t>national</w:t>
      </w:r>
      <w:r>
        <w:rPr>
          <w:spacing w:val="-18"/>
        </w:rPr>
        <w:t> </w:t>
      </w:r>
      <w:r>
        <w:rPr/>
        <w:t>and</w:t>
      </w:r>
      <w:r>
        <w:rPr>
          <w:spacing w:val="-18"/>
        </w:rPr>
        <w:t> </w:t>
      </w:r>
      <w:r>
        <w:rPr/>
        <w:t>international</w:t>
      </w:r>
      <w:r>
        <w:rPr>
          <w:spacing w:val="-18"/>
        </w:rPr>
        <w:t> </w:t>
      </w:r>
      <w:r>
        <w:rPr/>
        <w:t>promotion</w:t>
      </w:r>
      <w:r>
        <w:rPr>
          <w:spacing w:val="-18"/>
        </w:rPr>
        <w:t> </w:t>
      </w:r>
      <w:r>
        <w:rPr/>
        <w:t>of</w:t>
      </w:r>
    </w:p>
    <w:p>
      <w:pPr>
        <w:pStyle w:val="BodyText"/>
        <w:spacing w:line="249" w:lineRule="auto"/>
        <w:ind w:left="107" w:right="-3"/>
      </w:pPr>
      <w:r>
        <w:rPr/>
        <w:t>its</w:t>
      </w:r>
      <w:r>
        <w:rPr>
          <w:spacing w:val="-17"/>
        </w:rPr>
        <w:t> </w:t>
      </w:r>
      <w:r>
        <w:rPr/>
        <w:t>research</w:t>
      </w:r>
      <w:r>
        <w:rPr>
          <w:spacing w:val="-17"/>
        </w:rPr>
        <w:t> </w:t>
      </w:r>
      <w:r>
        <w:rPr/>
        <w:t>environment</w:t>
      </w:r>
      <w:r>
        <w:rPr>
          <w:spacing w:val="-17"/>
        </w:rPr>
        <w:t> </w:t>
      </w:r>
      <w:r>
        <w:rPr/>
        <w:t>by</w:t>
      </w:r>
      <w:r>
        <w:rPr>
          <w:spacing w:val="-17"/>
        </w:rPr>
        <w:t> </w:t>
      </w:r>
      <w:r>
        <w:rPr/>
        <w:t>bringing</w:t>
      </w:r>
      <w:r>
        <w:rPr>
          <w:spacing w:val="-17"/>
        </w:rPr>
        <w:t> </w:t>
      </w:r>
      <w:r>
        <w:rPr/>
        <w:t>targeted </w:t>
      </w:r>
      <w:r>
        <w:rPr>
          <w:w w:val="97"/>
        </w:rPr>
        <w:t>events </w:t>
      </w:r>
      <w:r>
        <w:rPr>
          <w:spacing w:val="-1"/>
          <w:w w:val="101"/>
        </w:rPr>
        <w:t>to</w:t>
      </w:r>
      <w:r>
        <w:rPr>
          <w:w w:val="101"/>
        </w:rPr>
        <w:t> </w:t>
      </w:r>
      <w:r>
        <w:rPr>
          <w:w w:val="97"/>
        </w:rPr>
        <w:t>the </w:t>
      </w:r>
      <w:r>
        <w:rPr>
          <w:w w:val="97"/>
        </w:rPr>
        <w:t>University’s </w:t>
      </w:r>
      <w:r>
        <w:rPr>
          <w:spacing w:val="2"/>
          <w:w w:val="94"/>
        </w:rPr>
        <w:t>campuses.</w:t>
      </w:r>
      <w:r>
        <w:rPr>
          <w:w w:val="94"/>
        </w:rPr>
        <w:t> </w:t>
      </w:r>
      <w:r>
        <w:rPr>
          <w:spacing w:val="1"/>
          <w:w w:val="80"/>
        </w:rPr>
        <w:t>In</w:t>
      </w:r>
      <w:r>
        <w:rPr>
          <w:w w:val="80"/>
        </w:rPr>
        <w:t> </w:t>
      </w:r>
      <w:r>
        <w:rPr>
          <w:spacing w:val="2"/>
          <w:w w:val="85"/>
        </w:rPr>
        <w:t>2016,</w:t>
      </w:r>
      <w:r>
        <w:rPr>
          <w:w w:val="85"/>
        </w:rPr>
        <w:t> </w:t>
      </w:r>
      <w:r>
        <w:rPr/>
        <w:t>the School hosted the annual International Conference on Engineering Education and Research.</w:t>
      </w:r>
      <w:r>
        <w:rPr>
          <w:spacing w:val="-28"/>
        </w:rPr>
        <w:t> </w:t>
      </w:r>
      <w:r>
        <w:rPr/>
        <w:t>Additionally,</w:t>
      </w:r>
      <w:r>
        <w:rPr>
          <w:spacing w:val="-28"/>
        </w:rPr>
        <w:t> </w:t>
      </w:r>
      <w:r>
        <w:rPr/>
        <w:t>the</w:t>
      </w:r>
      <w:r>
        <w:rPr>
          <w:spacing w:val="-28"/>
        </w:rPr>
        <w:t> </w:t>
      </w:r>
      <w:r>
        <w:rPr/>
        <w:t>international</w:t>
      </w:r>
    </w:p>
    <w:p>
      <w:pPr>
        <w:pStyle w:val="BodyText"/>
        <w:spacing w:line="249" w:lineRule="auto"/>
        <w:ind w:left="107" w:right="157"/>
      </w:pPr>
      <w:r>
        <w:rPr/>
        <w:t>K-theory conference was co organised by Associate Professor Roozbeh Hazrat from the CRM and was funded primarily by the Australian Mathematical Sciences Institute, with further support from the Australian Mathematical Society, the University of</w:t>
      </w:r>
    </w:p>
    <w:p>
      <w:pPr>
        <w:pStyle w:val="BodyText"/>
        <w:spacing w:line="249" w:lineRule="auto"/>
        <w:ind w:left="107" w:right="40"/>
      </w:pPr>
      <w:r>
        <w:rPr/>
        <w:t>Melbourne,</w:t>
      </w:r>
      <w:r>
        <w:rPr>
          <w:spacing w:val="-20"/>
        </w:rPr>
        <w:t> </w:t>
      </w:r>
      <w:r>
        <w:rPr/>
        <w:t>The</w:t>
      </w:r>
      <w:r>
        <w:rPr>
          <w:spacing w:val="-20"/>
        </w:rPr>
        <w:t> </w:t>
      </w:r>
      <w:r>
        <w:rPr/>
        <w:t>Australian</w:t>
      </w:r>
      <w:r>
        <w:rPr>
          <w:spacing w:val="-20"/>
        </w:rPr>
        <w:t> </w:t>
      </w:r>
      <w:r>
        <w:rPr/>
        <w:t>National</w:t>
      </w:r>
      <w:r>
        <w:rPr>
          <w:spacing w:val="-20"/>
        </w:rPr>
        <w:t> </w:t>
      </w:r>
      <w:r>
        <w:rPr/>
        <w:t>University and</w:t>
      </w:r>
      <w:r>
        <w:rPr>
          <w:spacing w:val="-23"/>
        </w:rPr>
        <w:t> </w:t>
      </w:r>
      <w:r>
        <w:rPr/>
        <w:t>the</w:t>
      </w:r>
      <w:r>
        <w:rPr>
          <w:spacing w:val="-23"/>
        </w:rPr>
        <w:t> </w:t>
      </w:r>
      <w:r>
        <w:rPr>
          <w:spacing w:val="2"/>
        </w:rPr>
        <w:t>CRM.</w:t>
      </w:r>
    </w:p>
    <w:p>
      <w:pPr>
        <w:pStyle w:val="BodyText"/>
        <w:rPr>
          <w:sz w:val="14"/>
        </w:rPr>
      </w:pPr>
    </w:p>
    <w:p>
      <w:pPr>
        <w:pStyle w:val="BodyText"/>
        <w:spacing w:line="249" w:lineRule="auto"/>
        <w:ind w:left="107" w:right="84"/>
      </w:pPr>
      <w:r>
        <w:rPr>
          <w:spacing w:val="1"/>
          <w:w w:val="101"/>
        </w:rPr>
        <w:t>Among</w:t>
      </w:r>
      <w:r>
        <w:rPr>
          <w:w w:val="101"/>
        </w:rPr>
        <w:t> </w:t>
      </w:r>
      <w:r>
        <w:rPr>
          <w:w w:val="97"/>
        </w:rPr>
        <w:t>the </w:t>
      </w:r>
      <w:r>
        <w:rPr>
          <w:spacing w:val="1"/>
          <w:w w:val="96"/>
        </w:rPr>
        <w:t>research</w:t>
      </w:r>
      <w:r>
        <w:rPr>
          <w:w w:val="96"/>
        </w:rPr>
        <w:t> </w:t>
      </w:r>
      <w:r>
        <w:rPr>
          <w:spacing w:val="1"/>
          <w:w w:val="97"/>
        </w:rPr>
        <w:t>achievements</w:t>
      </w:r>
      <w:r>
        <w:rPr>
          <w:w w:val="97"/>
        </w:rPr>
        <w:t> </w:t>
      </w:r>
      <w:r>
        <w:rPr>
          <w:w w:val="95"/>
        </w:rPr>
        <w:t>in </w:t>
      </w:r>
      <w:r>
        <w:rPr>
          <w:spacing w:val="1"/>
          <w:w w:val="90"/>
        </w:rPr>
        <w:t>2016</w:t>
      </w:r>
      <w:r>
        <w:rPr>
          <w:w w:val="90"/>
        </w:rPr>
        <w:t> </w:t>
      </w:r>
      <w:r>
        <w:rPr/>
        <w:t>was the Smart Management of Disinfectant in Chloraminated Water Supplies project, which aims to develop real-time control technology to deliver microbiologically safe, cost-efficient drinking water to people in warmer climates, despite a warming climate and</w:t>
      </w:r>
      <w:r>
        <w:rPr>
          <w:spacing w:val="-20"/>
        </w:rPr>
        <w:t> </w:t>
      </w:r>
      <w:r>
        <w:rPr/>
        <w:t>increasing</w:t>
      </w:r>
      <w:r>
        <w:rPr>
          <w:spacing w:val="-20"/>
        </w:rPr>
        <w:t> </w:t>
      </w:r>
      <w:r>
        <w:rPr/>
        <w:t>population.</w:t>
      </w:r>
      <w:r>
        <w:rPr>
          <w:spacing w:val="-20"/>
        </w:rPr>
        <w:t> </w:t>
      </w:r>
      <w:r>
        <w:rPr/>
        <w:t>This</w:t>
      </w:r>
      <w:r>
        <w:rPr>
          <w:spacing w:val="-20"/>
        </w:rPr>
        <w:t> </w:t>
      </w:r>
      <w:r>
        <w:rPr/>
        <w:t>is</w:t>
      </w:r>
      <w:r>
        <w:rPr>
          <w:spacing w:val="-20"/>
        </w:rPr>
        <w:t> </w:t>
      </w:r>
      <w:r>
        <w:rPr/>
        <w:t>an</w:t>
      </w:r>
      <w:r>
        <w:rPr>
          <w:spacing w:val="-20"/>
        </w:rPr>
        <w:t> </w:t>
      </w:r>
      <w:r>
        <w:rPr/>
        <w:t>example of how a strong interdisciplinary team can address a big fundamental problem – in this case,</w:t>
      </w:r>
      <w:r>
        <w:rPr>
          <w:spacing w:val="-16"/>
        </w:rPr>
        <w:t> </w:t>
      </w:r>
      <w:r>
        <w:rPr/>
        <w:t>one</w:t>
      </w:r>
      <w:r>
        <w:rPr>
          <w:spacing w:val="-16"/>
        </w:rPr>
        <w:t> </w:t>
      </w:r>
      <w:r>
        <w:rPr/>
        <w:t>of</w:t>
      </w:r>
      <w:r>
        <w:rPr>
          <w:spacing w:val="-16"/>
        </w:rPr>
        <w:t> </w:t>
      </w:r>
      <w:r>
        <w:rPr/>
        <w:t>the</w:t>
      </w:r>
      <w:r>
        <w:rPr>
          <w:spacing w:val="-16"/>
        </w:rPr>
        <w:t> </w:t>
      </w:r>
      <w:r>
        <w:rPr/>
        <w:t>grand</w:t>
      </w:r>
      <w:r>
        <w:rPr>
          <w:spacing w:val="-16"/>
        </w:rPr>
        <w:t> </w:t>
      </w:r>
      <w:r>
        <w:rPr/>
        <w:t>challenges</w:t>
      </w:r>
      <w:r>
        <w:rPr>
          <w:spacing w:val="-16"/>
        </w:rPr>
        <w:t> </w:t>
      </w:r>
      <w:r>
        <w:rPr/>
        <w:t>recognised by the National Academy of Engineering: to ‘Provide access to clean water’. Professor Sathaa</w:t>
      </w:r>
      <w:r>
        <w:rPr>
          <w:spacing w:val="-26"/>
        </w:rPr>
        <w:t> </w:t>
      </w:r>
      <w:r>
        <w:rPr/>
        <w:t>Sathivasan’s</w:t>
      </w:r>
      <w:r>
        <w:rPr>
          <w:spacing w:val="-26"/>
        </w:rPr>
        <w:t> </w:t>
      </w:r>
      <w:r>
        <w:rPr/>
        <w:t>team,</w:t>
      </w:r>
      <w:r>
        <w:rPr>
          <w:spacing w:val="-26"/>
        </w:rPr>
        <w:t> </w:t>
      </w:r>
      <w:r>
        <w:rPr/>
        <w:t>which</w:t>
      </w:r>
      <w:r>
        <w:rPr>
          <w:spacing w:val="-26"/>
        </w:rPr>
        <w:t> </w:t>
      </w:r>
      <w:r>
        <w:rPr/>
        <w:t>includes</w:t>
      </w:r>
    </w:p>
    <w:p>
      <w:pPr>
        <w:pStyle w:val="BodyText"/>
        <w:spacing w:line="249" w:lineRule="auto"/>
        <w:ind w:left="107" w:right="24"/>
      </w:pPr>
      <w:r>
        <w:rPr/>
        <w:t>researchers</w:t>
      </w:r>
      <w:r>
        <w:rPr>
          <w:spacing w:val="-22"/>
        </w:rPr>
        <w:t> </w:t>
      </w:r>
      <w:r>
        <w:rPr/>
        <w:t>from</w:t>
      </w:r>
      <w:r>
        <w:rPr>
          <w:spacing w:val="-22"/>
        </w:rPr>
        <w:t> </w:t>
      </w:r>
      <w:r>
        <w:rPr/>
        <w:t>the</w:t>
      </w:r>
      <w:r>
        <w:rPr>
          <w:spacing w:val="-22"/>
        </w:rPr>
        <w:t> </w:t>
      </w:r>
      <w:r>
        <w:rPr/>
        <w:t>Hawkesbury</w:t>
      </w:r>
      <w:r>
        <w:rPr>
          <w:spacing w:val="-22"/>
        </w:rPr>
        <w:t> </w:t>
      </w:r>
      <w:r>
        <w:rPr/>
        <w:t>Institute</w:t>
      </w:r>
      <w:r>
        <w:rPr>
          <w:spacing w:val="-22"/>
        </w:rPr>
        <w:t> </w:t>
      </w:r>
      <w:r>
        <w:rPr/>
        <w:t>for the</w:t>
      </w:r>
      <w:r>
        <w:rPr>
          <w:spacing w:val="-16"/>
        </w:rPr>
        <w:t> </w:t>
      </w:r>
      <w:r>
        <w:rPr/>
        <w:t>Environment,</w:t>
      </w:r>
      <w:r>
        <w:rPr>
          <w:spacing w:val="-16"/>
        </w:rPr>
        <w:t> </w:t>
      </w:r>
      <w:r>
        <w:rPr/>
        <w:t>UNSW’s</w:t>
      </w:r>
      <w:r>
        <w:rPr>
          <w:spacing w:val="-16"/>
        </w:rPr>
        <w:t> </w:t>
      </w:r>
      <w:r>
        <w:rPr/>
        <w:t>School</w:t>
      </w:r>
      <w:r>
        <w:rPr>
          <w:spacing w:val="-16"/>
        </w:rPr>
        <w:t> </w:t>
      </w:r>
      <w:r>
        <w:rPr/>
        <w:t>of</w:t>
      </w:r>
      <w:r>
        <w:rPr>
          <w:spacing w:val="-16"/>
        </w:rPr>
        <w:t> </w:t>
      </w:r>
      <w:r>
        <w:rPr/>
        <w:t>Medicine, Swinburne University of Technology, Arizona State University, the </w:t>
      </w:r>
      <w:r>
        <w:rPr>
          <w:spacing w:val="2"/>
        </w:rPr>
        <w:t>CSIRO, </w:t>
      </w:r>
      <w:r>
        <w:rPr/>
        <w:t>Sydney Water Corporation, the Central SEQ Distributor- Retailer Authority, South East Queensland Water, Logan City Council and Unitywater, secured</w:t>
      </w:r>
      <w:r>
        <w:rPr>
          <w:spacing w:val="-12"/>
        </w:rPr>
        <w:t> </w:t>
      </w:r>
      <w:r>
        <w:rPr/>
        <w:t>funding</w:t>
      </w:r>
      <w:r>
        <w:rPr>
          <w:spacing w:val="-12"/>
        </w:rPr>
        <w:t> </w:t>
      </w:r>
      <w:r>
        <w:rPr/>
        <w:t>support</w:t>
      </w:r>
      <w:r>
        <w:rPr>
          <w:spacing w:val="-12"/>
        </w:rPr>
        <w:t> </w:t>
      </w:r>
      <w:r>
        <w:rPr/>
        <w:t>from</w:t>
      </w:r>
      <w:r>
        <w:rPr>
          <w:spacing w:val="-12"/>
        </w:rPr>
        <w:t> </w:t>
      </w:r>
      <w:r>
        <w:rPr/>
        <w:t>the</w:t>
      </w:r>
      <w:r>
        <w:rPr>
          <w:spacing w:val="-12"/>
        </w:rPr>
        <w:t> </w:t>
      </w:r>
      <w:r>
        <w:rPr>
          <w:spacing w:val="2"/>
        </w:rPr>
        <w:t>ARC.</w:t>
      </w:r>
    </w:p>
    <w:p>
      <w:pPr>
        <w:pStyle w:val="BodyText"/>
        <w:spacing w:before="3"/>
        <w:rPr>
          <w:sz w:val="19"/>
        </w:rPr>
      </w:pPr>
    </w:p>
    <w:p>
      <w:pPr>
        <w:pStyle w:val="Heading7"/>
        <w:ind w:right="-3"/>
      </w:pPr>
      <w:r>
        <w:rPr>
          <w:w w:val="95"/>
        </w:rPr>
        <w:t>ENGAGEMENT AND OUTREACH</w:t>
      </w:r>
    </w:p>
    <w:p>
      <w:pPr>
        <w:pStyle w:val="BodyText"/>
        <w:spacing w:line="249" w:lineRule="auto" w:before="58"/>
        <w:ind w:left="107" w:right="96"/>
      </w:pPr>
      <w:r>
        <w:rPr>
          <w:w w:val="80"/>
        </w:rPr>
        <w:t>In </w:t>
      </w:r>
      <w:r>
        <w:rPr>
          <w:w w:val="85"/>
        </w:rPr>
        <w:t>2016, </w:t>
      </w:r>
      <w:r>
        <w:rPr>
          <w:w w:val="97"/>
        </w:rPr>
        <w:t>the </w:t>
      </w:r>
      <w:r>
        <w:rPr>
          <w:w w:val="98"/>
        </w:rPr>
        <w:t>School </w:t>
      </w:r>
      <w:r>
        <w:rPr>
          <w:w w:val="98"/>
        </w:rPr>
        <w:t>continued </w:t>
      </w:r>
      <w:r>
        <w:rPr>
          <w:w w:val="101"/>
        </w:rPr>
        <w:t>to </w:t>
      </w:r>
      <w:r>
        <w:rPr>
          <w:w w:val="99"/>
        </w:rPr>
        <w:t>be </w:t>
      </w:r>
      <w:r>
        <w:rPr>
          <w:w w:val="94"/>
        </w:rPr>
        <w:t>a </w:t>
      </w:r>
      <w:r>
        <w:rPr>
          <w:w w:val="97"/>
        </w:rPr>
        <w:t>leading </w:t>
      </w:r>
      <w:r>
        <w:rPr/>
        <w:t>advocate for SCEM disciplines in Western Sydney through its engagement with industry, schools and the community. Its range of programs and events continued to expand, with more than double the number </w:t>
      </w:r>
      <w:r>
        <w:rPr>
          <w:w w:val="99"/>
        </w:rPr>
        <w:t>of </w:t>
      </w:r>
      <w:r>
        <w:rPr>
          <w:w w:val="98"/>
        </w:rPr>
        <w:t>activities </w:t>
      </w:r>
      <w:r>
        <w:rPr>
          <w:w w:val="95"/>
        </w:rPr>
        <w:t>in </w:t>
      </w:r>
      <w:r>
        <w:rPr>
          <w:w w:val="90"/>
        </w:rPr>
        <w:t>2016 </w:t>
      </w:r>
      <w:r>
        <w:rPr>
          <w:w w:val="99"/>
        </w:rPr>
        <w:t>compared </w:t>
      </w:r>
      <w:r>
        <w:rPr>
          <w:w w:val="101"/>
        </w:rPr>
        <w:t>to </w:t>
      </w:r>
      <w:r>
        <w:rPr>
          <w:w w:val="86"/>
        </w:rPr>
        <w:t>2014. </w:t>
      </w:r>
      <w:r>
        <w:rPr>
          <w:w w:val="94"/>
        </w:rPr>
        <w:t>The</w:t>
      </w:r>
    </w:p>
    <w:p>
      <w:pPr>
        <w:pStyle w:val="BodyText"/>
        <w:spacing w:line="249" w:lineRule="auto"/>
        <w:ind w:left="107" w:right="-3"/>
      </w:pPr>
      <w:r>
        <w:rPr/>
        <w:t>School’s</w:t>
      </w:r>
      <w:r>
        <w:rPr>
          <w:spacing w:val="-13"/>
        </w:rPr>
        <w:t> </w:t>
      </w:r>
      <w:r>
        <w:rPr/>
        <w:t>engagement</w:t>
      </w:r>
      <w:r>
        <w:rPr>
          <w:spacing w:val="-13"/>
        </w:rPr>
        <w:t> </w:t>
      </w:r>
      <w:r>
        <w:rPr/>
        <w:t>philosophy</w:t>
      </w:r>
      <w:r>
        <w:rPr>
          <w:spacing w:val="-13"/>
        </w:rPr>
        <w:t> </w:t>
      </w:r>
      <w:r>
        <w:rPr/>
        <w:t>is</w:t>
      </w:r>
      <w:r>
        <w:rPr>
          <w:spacing w:val="-13"/>
        </w:rPr>
        <w:t> </w:t>
      </w:r>
      <w:r>
        <w:rPr/>
        <w:t>to</w:t>
      </w:r>
      <w:r>
        <w:rPr>
          <w:spacing w:val="-13"/>
        </w:rPr>
        <w:t> </w:t>
      </w:r>
      <w:r>
        <w:rPr/>
        <w:t>provide opportunities for student-led</w:t>
      </w:r>
      <w:r>
        <w:rPr>
          <w:spacing w:val="-29"/>
        </w:rPr>
        <w:t> </w:t>
      </w:r>
      <w:r>
        <w:rPr/>
        <w:t>crossdisciplinary projects that integrate teaching, learning, research</w:t>
      </w:r>
      <w:r>
        <w:rPr>
          <w:spacing w:val="-28"/>
        </w:rPr>
        <w:t> </w:t>
      </w:r>
      <w:r>
        <w:rPr/>
        <w:t>and</w:t>
      </w:r>
      <w:r>
        <w:rPr>
          <w:spacing w:val="-28"/>
        </w:rPr>
        <w:t> </w:t>
      </w:r>
      <w:r>
        <w:rPr/>
        <w:t>engagement.</w:t>
      </w:r>
    </w:p>
    <w:p>
      <w:pPr>
        <w:pStyle w:val="BodyText"/>
        <w:spacing w:before="9"/>
      </w:pPr>
      <w:r>
        <w:rPr/>
        <w:br w:type="column"/>
      </w:r>
      <w:r>
        <w:rPr/>
      </w:r>
    </w:p>
    <w:p>
      <w:pPr>
        <w:pStyle w:val="BodyText"/>
        <w:spacing w:line="249" w:lineRule="auto" w:before="1"/>
        <w:ind w:left="107" w:right="157"/>
      </w:pPr>
      <w:r>
        <w:rPr/>
        <w:t>SCEM continued its strong engagement with primary, secondary and high school students,</w:t>
      </w:r>
      <w:r>
        <w:rPr>
          <w:spacing w:val="-18"/>
        </w:rPr>
        <w:t> </w:t>
      </w:r>
      <w:r>
        <w:rPr/>
        <w:t>as</w:t>
      </w:r>
      <w:r>
        <w:rPr>
          <w:spacing w:val="-18"/>
        </w:rPr>
        <w:t> </w:t>
      </w:r>
      <w:r>
        <w:rPr/>
        <w:t>well</w:t>
      </w:r>
      <w:r>
        <w:rPr>
          <w:spacing w:val="-18"/>
        </w:rPr>
        <w:t> </w:t>
      </w:r>
      <w:r>
        <w:rPr/>
        <w:t>as</w:t>
      </w:r>
      <w:r>
        <w:rPr>
          <w:spacing w:val="-18"/>
        </w:rPr>
        <w:t> </w:t>
      </w:r>
      <w:r>
        <w:rPr/>
        <w:t>university</w:t>
      </w:r>
      <w:r>
        <w:rPr>
          <w:spacing w:val="-18"/>
        </w:rPr>
        <w:t> </w:t>
      </w:r>
      <w:r>
        <w:rPr/>
        <w:t>scholars</w:t>
      </w:r>
      <w:r>
        <w:rPr>
          <w:spacing w:val="-18"/>
        </w:rPr>
        <w:t> </w:t>
      </w:r>
      <w:r>
        <w:rPr/>
        <w:t>and industry </w:t>
      </w:r>
      <w:r>
        <w:rPr>
          <w:spacing w:val="2"/>
        </w:rPr>
        <w:t>partners. </w:t>
      </w:r>
      <w:r>
        <w:rPr/>
        <w:t>It further </w:t>
      </w:r>
      <w:r>
        <w:rPr>
          <w:spacing w:val="2"/>
        </w:rPr>
        <w:t>embedded </w:t>
      </w:r>
      <w:r>
        <w:rPr/>
        <w:t>a broad</w:t>
      </w:r>
      <w:r>
        <w:rPr>
          <w:spacing w:val="-15"/>
        </w:rPr>
        <w:t> </w:t>
      </w:r>
      <w:r>
        <w:rPr/>
        <w:t>range</w:t>
      </w:r>
      <w:r>
        <w:rPr>
          <w:spacing w:val="-15"/>
        </w:rPr>
        <w:t> </w:t>
      </w:r>
      <w:r>
        <w:rPr/>
        <w:t>of</w:t>
      </w:r>
      <w:r>
        <w:rPr>
          <w:spacing w:val="-15"/>
        </w:rPr>
        <w:t> </w:t>
      </w:r>
      <w:r>
        <w:rPr/>
        <w:t>engagement</w:t>
      </w:r>
      <w:r>
        <w:rPr>
          <w:spacing w:val="-15"/>
        </w:rPr>
        <w:t> </w:t>
      </w:r>
      <w:r>
        <w:rPr/>
        <w:t>activities</w:t>
      </w:r>
      <w:r>
        <w:rPr>
          <w:spacing w:val="-15"/>
        </w:rPr>
        <w:t> </w:t>
      </w:r>
      <w:r>
        <w:rPr/>
        <w:t>in</w:t>
      </w:r>
      <w:r>
        <w:rPr>
          <w:spacing w:val="-15"/>
        </w:rPr>
        <w:t> </w:t>
      </w:r>
      <w:r>
        <w:rPr/>
        <w:t>the student</w:t>
      </w:r>
      <w:r>
        <w:rPr>
          <w:spacing w:val="-18"/>
        </w:rPr>
        <w:t> </w:t>
      </w:r>
      <w:r>
        <w:rPr/>
        <w:t>learning</w:t>
      </w:r>
      <w:r>
        <w:rPr>
          <w:spacing w:val="-18"/>
        </w:rPr>
        <w:t> </w:t>
      </w:r>
      <w:r>
        <w:rPr/>
        <w:t>experience</w:t>
      </w:r>
      <w:r>
        <w:rPr>
          <w:spacing w:val="-18"/>
        </w:rPr>
        <w:t> </w:t>
      </w:r>
      <w:r>
        <w:rPr/>
        <w:t>that</w:t>
      </w:r>
      <w:r>
        <w:rPr>
          <w:spacing w:val="-18"/>
        </w:rPr>
        <w:t> </w:t>
      </w:r>
      <w:r>
        <w:rPr/>
        <w:t>sees</w:t>
      </w:r>
      <w:r>
        <w:rPr>
          <w:spacing w:val="-18"/>
        </w:rPr>
        <w:t> </w:t>
      </w:r>
      <w:r>
        <w:rPr/>
        <w:t>the</w:t>
      </w:r>
    </w:p>
    <w:p>
      <w:pPr>
        <w:pStyle w:val="BodyText"/>
        <w:spacing w:line="249" w:lineRule="auto"/>
        <w:ind w:left="107" w:right="-4"/>
      </w:pPr>
      <w:r>
        <w:rPr/>
        <w:t>reciprocal</w:t>
      </w:r>
      <w:r>
        <w:rPr>
          <w:spacing w:val="-14"/>
        </w:rPr>
        <w:t> </w:t>
      </w:r>
      <w:r>
        <w:rPr/>
        <w:t>sharing</w:t>
      </w:r>
      <w:r>
        <w:rPr>
          <w:spacing w:val="-14"/>
        </w:rPr>
        <w:t> </w:t>
      </w:r>
      <w:r>
        <w:rPr/>
        <w:t>of</w:t>
      </w:r>
      <w:r>
        <w:rPr>
          <w:spacing w:val="-14"/>
        </w:rPr>
        <w:t> </w:t>
      </w:r>
      <w:r>
        <w:rPr/>
        <w:t>knowledge</w:t>
      </w:r>
      <w:r>
        <w:rPr>
          <w:spacing w:val="-14"/>
        </w:rPr>
        <w:t> </w:t>
      </w:r>
      <w:r>
        <w:rPr/>
        <w:t>and</w:t>
      </w:r>
      <w:r>
        <w:rPr>
          <w:spacing w:val="-14"/>
        </w:rPr>
        <w:t> </w:t>
      </w:r>
      <w:r>
        <w:rPr/>
        <w:t>expertise with</w:t>
      </w:r>
      <w:r>
        <w:rPr>
          <w:spacing w:val="-21"/>
        </w:rPr>
        <w:t> </w:t>
      </w:r>
      <w:r>
        <w:rPr/>
        <w:t>industry,</w:t>
      </w:r>
      <w:r>
        <w:rPr>
          <w:spacing w:val="-21"/>
        </w:rPr>
        <w:t> </w:t>
      </w:r>
      <w:r>
        <w:rPr/>
        <w:t>schools</w:t>
      </w:r>
      <w:r>
        <w:rPr>
          <w:spacing w:val="-21"/>
        </w:rPr>
        <w:t> </w:t>
      </w:r>
      <w:r>
        <w:rPr/>
        <w:t>and</w:t>
      </w:r>
      <w:r>
        <w:rPr>
          <w:spacing w:val="-21"/>
        </w:rPr>
        <w:t> </w:t>
      </w:r>
      <w:r>
        <w:rPr/>
        <w:t>the</w:t>
      </w:r>
      <w:r>
        <w:rPr>
          <w:spacing w:val="-21"/>
        </w:rPr>
        <w:t> </w:t>
      </w:r>
      <w:r>
        <w:rPr/>
        <w:t>community.</w:t>
      </w:r>
    </w:p>
    <w:p>
      <w:pPr>
        <w:pStyle w:val="BodyText"/>
        <w:spacing w:line="249" w:lineRule="auto"/>
        <w:ind w:left="107" w:right="1"/>
      </w:pPr>
      <w:r>
        <w:rPr/>
        <w:t>These</w:t>
      </w:r>
      <w:r>
        <w:rPr>
          <w:spacing w:val="-16"/>
        </w:rPr>
        <w:t> </w:t>
      </w:r>
      <w:r>
        <w:rPr/>
        <w:t>projects</w:t>
      </w:r>
      <w:r>
        <w:rPr>
          <w:spacing w:val="-16"/>
        </w:rPr>
        <w:t> </w:t>
      </w:r>
      <w:r>
        <w:rPr/>
        <w:t>were</w:t>
      </w:r>
      <w:r>
        <w:rPr>
          <w:spacing w:val="-16"/>
        </w:rPr>
        <w:t> </w:t>
      </w:r>
      <w:r>
        <w:rPr/>
        <w:t>made</w:t>
      </w:r>
      <w:r>
        <w:rPr>
          <w:spacing w:val="-16"/>
        </w:rPr>
        <w:t> </w:t>
      </w:r>
      <w:r>
        <w:rPr/>
        <w:t>possible</w:t>
      </w:r>
      <w:r>
        <w:rPr>
          <w:spacing w:val="-16"/>
        </w:rPr>
        <w:t> </w:t>
      </w:r>
      <w:r>
        <w:rPr/>
        <w:t>by</w:t>
      </w:r>
      <w:r>
        <w:rPr>
          <w:spacing w:val="-16"/>
        </w:rPr>
        <w:t> </w:t>
      </w:r>
      <w:r>
        <w:rPr/>
        <w:t>SCEM’s advanced facilities, which are also used to engage the</w:t>
      </w:r>
      <w:r>
        <w:rPr>
          <w:spacing w:val="-37"/>
        </w:rPr>
        <w:t> </w:t>
      </w:r>
      <w:r>
        <w:rPr/>
        <w:t>public.</w:t>
      </w:r>
    </w:p>
    <w:p>
      <w:pPr>
        <w:pStyle w:val="BodyText"/>
        <w:rPr>
          <w:sz w:val="14"/>
        </w:rPr>
      </w:pPr>
    </w:p>
    <w:p>
      <w:pPr>
        <w:pStyle w:val="BodyText"/>
        <w:spacing w:line="249" w:lineRule="auto"/>
        <w:ind w:left="107" w:right="118"/>
      </w:pPr>
      <w:r>
        <w:rPr/>
        <w:t>The MakerSpace open public workshop run by</w:t>
      </w:r>
      <w:r>
        <w:rPr>
          <w:spacing w:val="-10"/>
        </w:rPr>
        <w:t> </w:t>
      </w:r>
      <w:r>
        <w:rPr/>
        <w:t>SCEM</w:t>
      </w:r>
      <w:r>
        <w:rPr>
          <w:spacing w:val="-10"/>
        </w:rPr>
        <w:t> </w:t>
      </w:r>
      <w:r>
        <w:rPr/>
        <w:t>at</w:t>
      </w:r>
      <w:r>
        <w:rPr>
          <w:spacing w:val="-10"/>
        </w:rPr>
        <w:t> </w:t>
      </w:r>
      <w:r>
        <w:rPr/>
        <w:t>Kingswood</w:t>
      </w:r>
      <w:r>
        <w:rPr>
          <w:spacing w:val="-10"/>
        </w:rPr>
        <w:t> </w:t>
      </w:r>
      <w:r>
        <w:rPr/>
        <w:t>continued</w:t>
      </w:r>
      <w:r>
        <w:rPr>
          <w:spacing w:val="-10"/>
        </w:rPr>
        <w:t> </w:t>
      </w:r>
      <w:r>
        <w:rPr/>
        <w:t>to</w:t>
      </w:r>
      <w:r>
        <w:rPr>
          <w:spacing w:val="-10"/>
        </w:rPr>
        <w:t> </w:t>
      </w:r>
      <w:r>
        <w:rPr/>
        <w:t>expand and</w:t>
      </w:r>
      <w:r>
        <w:rPr>
          <w:spacing w:val="-20"/>
        </w:rPr>
        <w:t> </w:t>
      </w:r>
      <w:r>
        <w:rPr/>
        <w:t>acquire</w:t>
      </w:r>
      <w:r>
        <w:rPr>
          <w:spacing w:val="-20"/>
        </w:rPr>
        <w:t> </w:t>
      </w:r>
      <w:r>
        <w:rPr/>
        <w:t>the</w:t>
      </w:r>
      <w:r>
        <w:rPr>
          <w:spacing w:val="-20"/>
        </w:rPr>
        <w:t> </w:t>
      </w:r>
      <w:r>
        <w:rPr/>
        <w:t>latest</w:t>
      </w:r>
      <w:r>
        <w:rPr>
          <w:spacing w:val="-20"/>
        </w:rPr>
        <w:t> </w:t>
      </w:r>
      <w:r>
        <w:rPr/>
        <w:t>technologies.</w:t>
      </w:r>
      <w:r>
        <w:rPr>
          <w:spacing w:val="-20"/>
        </w:rPr>
        <w:t> </w:t>
      </w:r>
      <w:r>
        <w:rPr/>
        <w:t>Its</w:t>
      </w:r>
      <w:r>
        <w:rPr>
          <w:spacing w:val="-20"/>
        </w:rPr>
        <w:t> </w:t>
      </w:r>
      <w:r>
        <w:rPr/>
        <w:t>team conducts regular tours and educational workshops, and also provides industry representatives, international visitors, teachers and school groups with access to its equipment and expertise. This provides opportunities for rich interaction between Western Sydney communities and the University.</w:t>
      </w:r>
    </w:p>
    <w:p>
      <w:pPr>
        <w:pStyle w:val="BodyText"/>
        <w:rPr>
          <w:sz w:val="14"/>
        </w:rPr>
      </w:pPr>
    </w:p>
    <w:p>
      <w:pPr>
        <w:pStyle w:val="BodyText"/>
        <w:spacing w:line="249" w:lineRule="auto"/>
        <w:ind w:left="107" w:right="37"/>
      </w:pPr>
      <w:r>
        <w:rPr/>
        <w:t>The Penrith Observatory further integrated research-led learning experiences into its educational program. The acquisition of two new</w:t>
      </w:r>
      <w:r>
        <w:rPr>
          <w:spacing w:val="-16"/>
        </w:rPr>
        <w:t> </w:t>
      </w:r>
      <w:r>
        <w:rPr>
          <w:spacing w:val="2"/>
        </w:rPr>
        <w:t>portable</w:t>
      </w:r>
      <w:r>
        <w:rPr>
          <w:spacing w:val="-16"/>
        </w:rPr>
        <w:t> </w:t>
      </w:r>
      <w:r>
        <w:rPr/>
        <w:t>planetariums</w:t>
      </w:r>
      <w:r>
        <w:rPr>
          <w:spacing w:val="-16"/>
        </w:rPr>
        <w:t> </w:t>
      </w:r>
      <w:r>
        <w:rPr/>
        <w:t>in</w:t>
      </w:r>
      <w:r>
        <w:rPr>
          <w:spacing w:val="-16"/>
        </w:rPr>
        <w:t> </w:t>
      </w:r>
      <w:r>
        <w:rPr/>
        <w:t>the</w:t>
      </w:r>
      <w:r>
        <w:rPr>
          <w:spacing w:val="-16"/>
        </w:rPr>
        <w:t> </w:t>
      </w:r>
      <w:r>
        <w:rPr/>
        <w:t>first</w:t>
      </w:r>
      <w:r>
        <w:rPr>
          <w:spacing w:val="-16"/>
        </w:rPr>
        <w:t> </w:t>
      </w:r>
      <w:r>
        <w:rPr/>
        <w:t>half</w:t>
      </w:r>
      <w:r>
        <w:rPr>
          <w:spacing w:val="-16"/>
        </w:rPr>
        <w:t> </w:t>
      </w:r>
      <w:r>
        <w:rPr/>
        <w:t>of </w:t>
      </w:r>
      <w:r>
        <w:rPr>
          <w:spacing w:val="1"/>
          <w:w w:val="90"/>
        </w:rPr>
        <w:t>2016</w:t>
      </w:r>
      <w:r>
        <w:rPr>
          <w:w w:val="90"/>
        </w:rPr>
        <w:t> </w:t>
      </w:r>
      <w:r>
        <w:rPr>
          <w:w w:val="98"/>
        </w:rPr>
        <w:t>allowed </w:t>
      </w:r>
      <w:r>
        <w:rPr>
          <w:w w:val="97"/>
        </w:rPr>
        <w:t>the </w:t>
      </w:r>
      <w:r>
        <w:rPr>
          <w:spacing w:val="1"/>
          <w:w w:val="98"/>
        </w:rPr>
        <w:t>observatory</w:t>
      </w:r>
      <w:r>
        <w:rPr>
          <w:w w:val="98"/>
        </w:rPr>
        <w:t> </w:t>
      </w:r>
      <w:r>
        <w:rPr>
          <w:w w:val="97"/>
        </w:rPr>
        <w:t>team </w:t>
      </w:r>
      <w:r>
        <w:rPr>
          <w:spacing w:val="-1"/>
          <w:w w:val="101"/>
        </w:rPr>
        <w:t>to</w:t>
      </w:r>
      <w:r>
        <w:rPr>
          <w:w w:val="101"/>
        </w:rPr>
        <w:t> </w:t>
      </w:r>
      <w:r>
        <w:rPr>
          <w:w w:val="98"/>
        </w:rPr>
        <w:t>forge </w:t>
      </w:r>
      <w:r>
        <w:rPr/>
        <w:t>new</w:t>
      </w:r>
      <w:r>
        <w:rPr>
          <w:spacing w:val="-19"/>
        </w:rPr>
        <w:t> </w:t>
      </w:r>
      <w:r>
        <w:rPr/>
        <w:t>engagement</w:t>
      </w:r>
      <w:r>
        <w:rPr>
          <w:spacing w:val="-19"/>
        </w:rPr>
        <w:t> </w:t>
      </w:r>
      <w:r>
        <w:rPr/>
        <w:t>frontiers.</w:t>
      </w:r>
      <w:r>
        <w:rPr>
          <w:spacing w:val="-19"/>
        </w:rPr>
        <w:t> </w:t>
      </w:r>
      <w:r>
        <w:rPr/>
        <w:t>The</w:t>
      </w:r>
      <w:r>
        <w:rPr>
          <w:spacing w:val="-19"/>
        </w:rPr>
        <w:t> </w:t>
      </w:r>
      <w:r>
        <w:rPr/>
        <w:t>state-of-the- </w:t>
      </w:r>
      <w:r>
        <w:rPr>
          <w:spacing w:val="2"/>
        </w:rPr>
        <w:t>art</w:t>
      </w:r>
      <w:r>
        <w:rPr>
          <w:spacing w:val="-14"/>
        </w:rPr>
        <w:t> </w:t>
      </w:r>
      <w:r>
        <w:rPr/>
        <w:t>full-dome</w:t>
      </w:r>
      <w:r>
        <w:rPr>
          <w:spacing w:val="-14"/>
        </w:rPr>
        <w:t> </w:t>
      </w:r>
      <w:r>
        <w:rPr/>
        <w:t>planetarium</w:t>
      </w:r>
      <w:r>
        <w:rPr>
          <w:spacing w:val="-14"/>
        </w:rPr>
        <w:t> </w:t>
      </w:r>
      <w:r>
        <w:rPr/>
        <w:t>was</w:t>
      </w:r>
      <w:r>
        <w:rPr>
          <w:spacing w:val="-14"/>
        </w:rPr>
        <w:t> </w:t>
      </w:r>
      <w:r>
        <w:rPr/>
        <w:t>opened</w:t>
      </w:r>
      <w:r>
        <w:rPr>
          <w:spacing w:val="-14"/>
        </w:rPr>
        <w:t> </w:t>
      </w:r>
      <w:r>
        <w:rPr/>
        <w:t>during </w:t>
      </w:r>
      <w:r>
        <w:rPr>
          <w:w w:val="97"/>
        </w:rPr>
        <w:t>the</w:t>
      </w:r>
      <w:r>
        <w:rPr>
          <w:spacing w:val="-7"/>
          <w:w w:val="97"/>
        </w:rPr>
        <w:t> </w:t>
      </w:r>
      <w:r>
        <w:rPr>
          <w:w w:val="97"/>
        </w:rPr>
        <w:t>University’s</w:t>
      </w:r>
      <w:r>
        <w:rPr>
          <w:spacing w:val="-7"/>
          <w:w w:val="97"/>
        </w:rPr>
        <w:t> </w:t>
      </w:r>
      <w:r>
        <w:rPr>
          <w:spacing w:val="1"/>
          <w:w w:val="98"/>
        </w:rPr>
        <w:t>Open</w:t>
      </w:r>
      <w:r>
        <w:rPr>
          <w:spacing w:val="-7"/>
          <w:w w:val="98"/>
        </w:rPr>
        <w:t> </w:t>
      </w:r>
      <w:r>
        <w:rPr>
          <w:w w:val="98"/>
        </w:rPr>
        <w:t>Day</w:t>
      </w:r>
      <w:r>
        <w:rPr>
          <w:spacing w:val="-7"/>
          <w:w w:val="98"/>
        </w:rPr>
        <w:t> </w:t>
      </w:r>
      <w:r>
        <w:rPr>
          <w:w w:val="95"/>
        </w:rPr>
        <w:t>in</w:t>
      </w:r>
      <w:r>
        <w:rPr>
          <w:spacing w:val="-6"/>
          <w:w w:val="95"/>
        </w:rPr>
        <w:t> </w:t>
      </w:r>
      <w:r>
        <w:rPr>
          <w:spacing w:val="1"/>
          <w:w w:val="100"/>
        </w:rPr>
        <w:t>August</w:t>
      </w:r>
      <w:r>
        <w:rPr>
          <w:spacing w:val="-8"/>
          <w:w w:val="100"/>
        </w:rPr>
        <w:t> </w:t>
      </w:r>
      <w:r>
        <w:rPr>
          <w:spacing w:val="2"/>
          <w:w w:val="85"/>
        </w:rPr>
        <w:t>2016.</w:t>
      </w:r>
    </w:p>
    <w:p>
      <w:pPr>
        <w:pStyle w:val="BodyText"/>
        <w:spacing w:line="249" w:lineRule="auto"/>
        <w:ind w:left="107" w:right="206"/>
      </w:pPr>
      <w:r>
        <w:rPr/>
        <w:t>The observatory hosted 29 public events </w:t>
      </w:r>
      <w:r>
        <w:rPr>
          <w:w w:val="97"/>
        </w:rPr>
        <w:t>and </w:t>
      </w:r>
      <w:r>
        <w:rPr>
          <w:w w:val="98"/>
        </w:rPr>
        <w:t>received </w:t>
      </w:r>
      <w:r>
        <w:rPr>
          <w:w w:val="97"/>
        </w:rPr>
        <w:t>around </w:t>
      </w:r>
      <w:r>
        <w:rPr>
          <w:w w:val="97"/>
        </w:rPr>
        <w:t>5,900 </w:t>
      </w:r>
      <w:r>
        <w:rPr>
          <w:w w:val="97"/>
        </w:rPr>
        <w:t>visitors </w:t>
      </w:r>
      <w:r>
        <w:rPr>
          <w:w w:val="95"/>
        </w:rPr>
        <w:t>in </w:t>
      </w:r>
      <w:r>
        <w:rPr>
          <w:w w:val="85"/>
        </w:rPr>
        <w:t>2016. </w:t>
      </w:r>
      <w:r>
        <w:rPr/>
        <w:t>It organised and facilitated 80 school and vocational care group visits.</w:t>
      </w:r>
    </w:p>
    <w:p>
      <w:pPr>
        <w:pStyle w:val="BodyText"/>
        <w:rPr>
          <w:sz w:val="14"/>
        </w:rPr>
      </w:pPr>
    </w:p>
    <w:p>
      <w:pPr>
        <w:pStyle w:val="BodyText"/>
        <w:spacing w:line="249" w:lineRule="auto"/>
        <w:ind w:left="107" w:right="14"/>
      </w:pPr>
      <w:r>
        <w:rPr/>
        <w:t>As </w:t>
      </w:r>
      <w:r>
        <w:rPr>
          <w:spacing w:val="2"/>
        </w:rPr>
        <w:t>part </w:t>
      </w:r>
      <w:r>
        <w:rPr/>
        <w:t>of its entrepreneurial engagement, SCEM has participated extensively in major school programs, such as Scientists in Schools,</w:t>
      </w:r>
      <w:r>
        <w:rPr>
          <w:spacing w:val="-24"/>
        </w:rPr>
        <w:t> </w:t>
      </w:r>
      <w:r>
        <w:rPr/>
        <w:t>Digital</w:t>
      </w:r>
      <w:r>
        <w:rPr>
          <w:spacing w:val="-24"/>
        </w:rPr>
        <w:t> </w:t>
      </w:r>
      <w:r>
        <w:rPr/>
        <w:t>Careers,</w:t>
      </w:r>
      <w:r>
        <w:rPr>
          <w:spacing w:val="-24"/>
        </w:rPr>
        <w:t> </w:t>
      </w:r>
      <w:r>
        <w:rPr/>
        <w:t>Young</w:t>
      </w:r>
      <w:r>
        <w:rPr>
          <w:spacing w:val="-24"/>
        </w:rPr>
        <w:t> </w:t>
      </w:r>
      <w:r>
        <w:rPr>
          <w:spacing w:val="2"/>
        </w:rPr>
        <w:t>ICT</w:t>
      </w:r>
      <w:r>
        <w:rPr>
          <w:spacing w:val="-24"/>
        </w:rPr>
        <w:t> </w:t>
      </w:r>
      <w:r>
        <w:rPr/>
        <w:t>Explorers, </w:t>
      </w:r>
      <w:r>
        <w:rPr>
          <w:spacing w:val="3"/>
        </w:rPr>
        <w:t>F1 </w:t>
      </w:r>
      <w:r>
        <w:rPr/>
        <w:t>in Schools and the FIRST Robotics Competition. Linked to these is the School’s broad support of student-led entrepreneurial projects in the technology space, including the Solar </w:t>
      </w:r>
      <w:r>
        <w:rPr>
          <w:spacing w:val="2"/>
        </w:rPr>
        <w:t>Car </w:t>
      </w:r>
      <w:r>
        <w:rPr/>
        <w:t>project, the Unlimited Robotics </w:t>
      </w:r>
      <w:r>
        <w:rPr>
          <w:spacing w:val="1"/>
          <w:w w:val="98"/>
        </w:rPr>
        <w:t>Club</w:t>
      </w:r>
      <w:r>
        <w:rPr>
          <w:w w:val="98"/>
        </w:rPr>
        <w:t> </w:t>
      </w:r>
      <w:r>
        <w:rPr>
          <w:spacing w:val="1"/>
          <w:w w:val="97"/>
        </w:rPr>
        <w:t>and</w:t>
      </w:r>
      <w:r>
        <w:rPr>
          <w:w w:val="97"/>
        </w:rPr>
        <w:t> </w:t>
      </w:r>
      <w:r>
        <w:rPr>
          <w:w w:val="97"/>
        </w:rPr>
        <w:t>the </w:t>
      </w:r>
      <w:r>
        <w:rPr>
          <w:spacing w:val="1"/>
          <w:w w:val="98"/>
        </w:rPr>
        <w:t>Formula</w:t>
      </w:r>
      <w:r>
        <w:rPr>
          <w:w w:val="98"/>
        </w:rPr>
        <w:t> </w:t>
      </w:r>
      <w:r>
        <w:rPr>
          <w:w w:val="104"/>
        </w:rPr>
        <w:t>SAE-A </w:t>
      </w:r>
      <w:r>
        <w:rPr>
          <w:spacing w:val="1"/>
          <w:w w:val="93"/>
        </w:rPr>
        <w:t>Project.</w:t>
      </w:r>
      <w:r>
        <w:rPr>
          <w:w w:val="93"/>
        </w:rPr>
        <w:t> </w:t>
      </w:r>
      <w:r>
        <w:rPr>
          <w:spacing w:val="1"/>
          <w:w w:val="80"/>
        </w:rPr>
        <w:t>In</w:t>
      </w:r>
      <w:r>
        <w:rPr>
          <w:w w:val="80"/>
        </w:rPr>
        <w:t> </w:t>
      </w:r>
      <w:r>
        <w:rPr>
          <w:spacing w:val="2"/>
          <w:w w:val="85"/>
        </w:rPr>
        <w:t>2016,</w:t>
      </w:r>
      <w:r>
        <w:rPr>
          <w:w w:val="85"/>
        </w:rPr>
        <w:t> </w:t>
      </w:r>
      <w:r>
        <w:rPr/>
        <w:t>SCEM worked closely with the University’s small business incubator, Launch Pad, and also explored links with external incubators such as the GE Foundry – Generator, and Oran Park Smart Work Hub. The new Bachelor</w:t>
      </w:r>
      <w:r>
        <w:rPr>
          <w:spacing w:val="-18"/>
        </w:rPr>
        <w:t> </w:t>
      </w:r>
      <w:r>
        <w:rPr/>
        <w:t>of</w:t>
      </w:r>
      <w:r>
        <w:rPr>
          <w:spacing w:val="-18"/>
        </w:rPr>
        <w:t> </w:t>
      </w:r>
      <w:r>
        <w:rPr/>
        <w:t>Entrepreneurship</w:t>
      </w:r>
      <w:r>
        <w:rPr>
          <w:spacing w:val="-18"/>
        </w:rPr>
        <w:t> </w:t>
      </w:r>
      <w:r>
        <w:rPr/>
        <w:t>(Games</w:t>
      </w:r>
      <w:r>
        <w:rPr>
          <w:spacing w:val="-18"/>
        </w:rPr>
        <w:t> </w:t>
      </w:r>
      <w:r>
        <w:rPr/>
        <w:t>Design and Simulation) will use the opportunities created</w:t>
      </w:r>
      <w:r>
        <w:rPr>
          <w:spacing w:val="-18"/>
        </w:rPr>
        <w:t> </w:t>
      </w:r>
      <w:r>
        <w:rPr/>
        <w:t>by</w:t>
      </w:r>
      <w:r>
        <w:rPr>
          <w:spacing w:val="-18"/>
        </w:rPr>
        <w:t> </w:t>
      </w:r>
      <w:r>
        <w:rPr/>
        <w:t>the</w:t>
      </w:r>
      <w:r>
        <w:rPr>
          <w:spacing w:val="-18"/>
        </w:rPr>
        <w:t> </w:t>
      </w:r>
      <w:r>
        <w:rPr/>
        <w:t>incubator</w:t>
      </w:r>
      <w:r>
        <w:rPr>
          <w:spacing w:val="-18"/>
        </w:rPr>
        <w:t> </w:t>
      </w:r>
      <w:r>
        <w:rPr/>
        <w:t>space,</w:t>
      </w:r>
      <w:r>
        <w:rPr>
          <w:spacing w:val="-18"/>
        </w:rPr>
        <w:t> </w:t>
      </w:r>
      <w:r>
        <w:rPr/>
        <w:t>including</w:t>
      </w:r>
    </w:p>
    <w:p>
      <w:pPr>
        <w:pStyle w:val="BodyText"/>
        <w:spacing w:before="9"/>
      </w:pPr>
      <w:r>
        <w:rPr/>
        <w:br w:type="column"/>
      </w:r>
      <w:r>
        <w:rPr/>
      </w:r>
    </w:p>
    <w:p>
      <w:pPr>
        <w:pStyle w:val="BodyText"/>
        <w:spacing w:line="249" w:lineRule="auto" w:before="1"/>
        <w:ind w:left="107" w:right="-1"/>
      </w:pPr>
      <w:r>
        <w:rPr/>
        <w:t>broader reciprocal professional development opportunities between academic staff and industry.</w:t>
      </w:r>
    </w:p>
    <w:p>
      <w:pPr>
        <w:pStyle w:val="BodyText"/>
        <w:rPr>
          <w:sz w:val="14"/>
        </w:rPr>
      </w:pPr>
    </w:p>
    <w:p>
      <w:pPr>
        <w:pStyle w:val="BodyText"/>
        <w:spacing w:line="249" w:lineRule="auto"/>
        <w:ind w:left="107" w:right="198"/>
      </w:pPr>
      <w:r>
        <w:rPr/>
        <w:t>SCEM’s engagement with industry focuses on opportunities for students. For example, </w:t>
      </w:r>
      <w:r>
        <w:rPr>
          <w:w w:val="95"/>
        </w:rPr>
        <w:t>in </w:t>
      </w:r>
      <w:r>
        <w:rPr>
          <w:spacing w:val="2"/>
          <w:w w:val="85"/>
        </w:rPr>
        <w:t>2016,</w:t>
      </w:r>
      <w:r>
        <w:rPr>
          <w:w w:val="85"/>
        </w:rPr>
        <w:t> </w:t>
      </w:r>
      <w:r>
        <w:rPr>
          <w:w w:val="97"/>
        </w:rPr>
        <w:t>information </w:t>
      </w:r>
      <w:r>
        <w:rPr>
          <w:spacing w:val="1"/>
          <w:w w:val="97"/>
        </w:rPr>
        <w:t>systems</w:t>
      </w:r>
      <w:r>
        <w:rPr>
          <w:w w:val="97"/>
        </w:rPr>
        <w:t> </w:t>
      </w:r>
      <w:r>
        <w:rPr>
          <w:spacing w:val="1"/>
          <w:w w:val="97"/>
        </w:rPr>
        <w:t>students</w:t>
      </w:r>
      <w:r>
        <w:rPr>
          <w:w w:val="97"/>
        </w:rPr>
        <w:t> </w:t>
      </w:r>
      <w:r>
        <w:rPr>
          <w:w w:val="98"/>
        </w:rPr>
        <w:t>toured </w:t>
      </w:r>
      <w:r>
        <w:rPr/>
        <w:t>the</w:t>
      </w:r>
      <w:r>
        <w:rPr>
          <w:spacing w:val="-21"/>
        </w:rPr>
        <w:t> </w:t>
      </w:r>
      <w:r>
        <w:rPr/>
        <w:t>facilities</w:t>
      </w:r>
      <w:r>
        <w:rPr>
          <w:spacing w:val="-21"/>
        </w:rPr>
        <w:t> </w:t>
      </w:r>
      <w:r>
        <w:rPr/>
        <w:t>of</w:t>
      </w:r>
      <w:r>
        <w:rPr>
          <w:spacing w:val="-21"/>
        </w:rPr>
        <w:t> </w:t>
      </w:r>
      <w:r>
        <w:rPr/>
        <w:t>companies</w:t>
      </w:r>
      <w:r>
        <w:rPr>
          <w:spacing w:val="-21"/>
        </w:rPr>
        <w:t> </w:t>
      </w:r>
      <w:r>
        <w:rPr/>
        <w:t>such</w:t>
      </w:r>
      <w:r>
        <w:rPr>
          <w:spacing w:val="-21"/>
        </w:rPr>
        <w:t> </w:t>
      </w:r>
      <w:r>
        <w:rPr/>
        <w:t>as</w:t>
      </w:r>
      <w:r>
        <w:rPr>
          <w:spacing w:val="-21"/>
        </w:rPr>
        <w:t> </w:t>
      </w:r>
      <w:r>
        <w:rPr>
          <w:spacing w:val="3"/>
        </w:rPr>
        <w:t>IBM,</w:t>
      </w:r>
      <w:r>
        <w:rPr>
          <w:spacing w:val="-21"/>
        </w:rPr>
        <w:t> </w:t>
      </w:r>
      <w:r>
        <w:rPr>
          <w:spacing w:val="2"/>
        </w:rPr>
        <w:t>EMC, </w:t>
      </w:r>
      <w:r>
        <w:rPr/>
        <w:t>Sydney Water and WiseTech, where they were</w:t>
      </w:r>
      <w:r>
        <w:rPr>
          <w:spacing w:val="-17"/>
        </w:rPr>
        <w:t> </w:t>
      </w:r>
      <w:r>
        <w:rPr/>
        <w:t>able</w:t>
      </w:r>
      <w:r>
        <w:rPr>
          <w:spacing w:val="-17"/>
        </w:rPr>
        <w:t> </w:t>
      </w:r>
      <w:r>
        <w:rPr/>
        <w:t>to</w:t>
      </w:r>
      <w:r>
        <w:rPr>
          <w:spacing w:val="-17"/>
        </w:rPr>
        <w:t> </w:t>
      </w:r>
      <w:r>
        <w:rPr/>
        <w:t>network</w:t>
      </w:r>
      <w:r>
        <w:rPr>
          <w:spacing w:val="-17"/>
        </w:rPr>
        <w:t> </w:t>
      </w:r>
      <w:r>
        <w:rPr/>
        <w:t>with</w:t>
      </w:r>
      <w:r>
        <w:rPr>
          <w:spacing w:val="-17"/>
        </w:rPr>
        <w:t> </w:t>
      </w:r>
      <w:r>
        <w:rPr/>
        <w:t>staff</w:t>
      </w:r>
      <w:r>
        <w:rPr>
          <w:spacing w:val="-17"/>
        </w:rPr>
        <w:t> </w:t>
      </w:r>
      <w:r>
        <w:rPr/>
        <w:t>members.</w:t>
      </w:r>
    </w:p>
    <w:p>
      <w:pPr>
        <w:pStyle w:val="BodyText"/>
        <w:spacing w:line="249" w:lineRule="auto"/>
        <w:ind w:left="107" w:right="238"/>
      </w:pPr>
      <w:r>
        <w:rPr/>
        <w:t>These kinds of initiatives ensure students interact with field experts, and learn about different company cultures, internships and job opportunities.</w:t>
      </w:r>
    </w:p>
    <w:p>
      <w:pPr>
        <w:pStyle w:val="BodyText"/>
        <w:rPr>
          <w:sz w:val="14"/>
        </w:rPr>
      </w:pPr>
    </w:p>
    <w:p>
      <w:pPr>
        <w:pStyle w:val="BodyText"/>
        <w:spacing w:line="249" w:lineRule="auto"/>
        <w:ind w:left="107" w:right="554"/>
      </w:pPr>
      <w:r>
        <w:rPr>
          <w:w w:val="80"/>
        </w:rPr>
        <w:t>In </w:t>
      </w:r>
      <w:r>
        <w:rPr>
          <w:w w:val="85"/>
        </w:rPr>
        <w:t>2016, </w:t>
      </w:r>
      <w:r>
        <w:rPr>
          <w:w w:val="97"/>
        </w:rPr>
        <w:t>the </w:t>
      </w:r>
      <w:r>
        <w:rPr>
          <w:w w:val="98"/>
        </w:rPr>
        <w:t>School </w:t>
      </w:r>
      <w:r>
        <w:rPr>
          <w:w w:val="96"/>
        </w:rPr>
        <w:t>was </w:t>
      </w:r>
      <w:r>
        <w:rPr>
          <w:w w:val="97"/>
        </w:rPr>
        <w:t>heavily </w:t>
      </w:r>
      <w:r>
        <w:rPr>
          <w:w w:val="98"/>
        </w:rPr>
        <w:t>involved </w:t>
      </w:r>
      <w:r>
        <w:rPr/>
        <w:t>in many successful school engagement</w:t>
      </w:r>
    </w:p>
    <w:p>
      <w:pPr>
        <w:pStyle w:val="BodyText"/>
        <w:spacing w:line="249" w:lineRule="auto"/>
        <w:ind w:left="107" w:right="44"/>
      </w:pPr>
      <w:r>
        <w:rPr/>
        <w:t>programs, such as holiday and after-school robotics clubs, tours, workshops and school- based STEM programs. Some were funded via fees, which helped sustain the projects over</w:t>
      </w:r>
    </w:p>
    <w:p>
      <w:pPr>
        <w:pStyle w:val="BodyText"/>
        <w:spacing w:line="249" w:lineRule="auto"/>
        <w:ind w:left="107" w:right="146"/>
      </w:pPr>
      <w:r>
        <w:rPr/>
        <w:t>a longer period and allowed the acquisition of student champions to ensure high-quality activities. The MakerSpace remains highly attractive to school teachers, who bring their students on excursions to enrich their STEM learning experiences. SCEM works closely with the Schools Engagement Unit, Office of Widening Participation, Student Recruitment</w:t>
      </w:r>
    </w:p>
    <w:p>
      <w:pPr>
        <w:pStyle w:val="BodyText"/>
        <w:spacing w:line="249" w:lineRule="auto"/>
        <w:ind w:left="107" w:right="-1"/>
      </w:pPr>
      <w:r>
        <w:rPr/>
        <w:t>and other University units to enrich University events involving STEM disciplines. It also collaborates with the School of Education to provide opportunities for teaching students to gain valuable career experience by delivering workshops in STEM-related fields.</w:t>
      </w:r>
    </w:p>
    <w:p>
      <w:pPr>
        <w:pStyle w:val="BodyText"/>
        <w:rPr>
          <w:sz w:val="14"/>
        </w:rPr>
      </w:pPr>
    </w:p>
    <w:p>
      <w:pPr>
        <w:pStyle w:val="BodyText"/>
        <w:spacing w:line="249" w:lineRule="auto"/>
        <w:ind w:left="107" w:right="216"/>
      </w:pPr>
      <w:r>
        <w:rPr/>
        <w:t>SCEM continues to focus on international research partnerships, including HDR programs and broader longer-term relationships. The School has made efforts to increase the mobility of staff members and students to support the University’s strategic priority partnerships. For example, </w:t>
      </w:r>
      <w:r>
        <w:rPr>
          <w:w w:val="95"/>
        </w:rPr>
        <w:t>in </w:t>
      </w:r>
      <w:r>
        <w:rPr>
          <w:w w:val="85"/>
        </w:rPr>
        <w:t>2016, </w:t>
      </w:r>
      <w:r>
        <w:rPr>
          <w:w w:val="99"/>
        </w:rPr>
        <w:t>SCEM </w:t>
      </w:r>
      <w:r>
        <w:rPr>
          <w:w w:val="98"/>
        </w:rPr>
        <w:t>academics </w:t>
      </w:r>
      <w:r>
        <w:rPr>
          <w:w w:val="99"/>
        </w:rPr>
        <w:t>conducted </w:t>
      </w:r>
      <w:r>
        <w:rPr>
          <w:w w:val="98"/>
        </w:rPr>
        <w:t>guest</w:t>
      </w:r>
    </w:p>
    <w:p>
      <w:pPr>
        <w:pStyle w:val="BodyText"/>
        <w:spacing w:line="249" w:lineRule="auto"/>
        <w:ind w:left="107" w:right="81"/>
      </w:pPr>
      <w:r>
        <w:rPr/>
        <w:t>lectures</w:t>
      </w:r>
      <w:r>
        <w:rPr>
          <w:spacing w:val="-24"/>
        </w:rPr>
        <w:t> </w:t>
      </w:r>
      <w:r>
        <w:rPr/>
        <w:t>at</w:t>
      </w:r>
      <w:r>
        <w:rPr>
          <w:spacing w:val="-24"/>
        </w:rPr>
        <w:t> </w:t>
      </w:r>
      <w:r>
        <w:rPr/>
        <w:t>Panjab</w:t>
      </w:r>
      <w:r>
        <w:rPr>
          <w:spacing w:val="-24"/>
        </w:rPr>
        <w:t> </w:t>
      </w:r>
      <w:r>
        <w:rPr/>
        <w:t>University,</w:t>
      </w:r>
      <w:r>
        <w:rPr>
          <w:spacing w:val="-24"/>
        </w:rPr>
        <w:t> </w:t>
      </w:r>
      <w:r>
        <w:rPr/>
        <w:t>Punjab</w:t>
      </w:r>
      <w:r>
        <w:rPr>
          <w:spacing w:val="-24"/>
        </w:rPr>
        <w:t> </w:t>
      </w:r>
      <w:r>
        <w:rPr/>
        <w:t>Technical University, SRM University and Hindustan University, all in India. Information systems students undertook a study tour to India to help develop the relationship with Panjab University. They networked with local students, engaged in collaborative activities and visited high-profile organisations in the field</w:t>
      </w:r>
      <w:r>
        <w:rPr>
          <w:spacing w:val="-15"/>
        </w:rPr>
        <w:t> </w:t>
      </w:r>
      <w:r>
        <w:rPr/>
        <w:t>to</w:t>
      </w:r>
      <w:r>
        <w:rPr>
          <w:spacing w:val="-15"/>
        </w:rPr>
        <w:t> </w:t>
      </w:r>
      <w:r>
        <w:rPr/>
        <w:t>meet</w:t>
      </w:r>
      <w:r>
        <w:rPr>
          <w:spacing w:val="-15"/>
        </w:rPr>
        <w:t> </w:t>
      </w:r>
      <w:r>
        <w:rPr/>
        <w:t>the</w:t>
      </w:r>
      <w:r>
        <w:rPr>
          <w:spacing w:val="-15"/>
        </w:rPr>
        <w:t> </w:t>
      </w:r>
      <w:r>
        <w:rPr/>
        <w:t>managing</w:t>
      </w:r>
      <w:r>
        <w:rPr>
          <w:spacing w:val="-15"/>
        </w:rPr>
        <w:t> </w:t>
      </w:r>
      <w:r>
        <w:rPr/>
        <w:t>directors,</w:t>
      </w:r>
      <w:r>
        <w:rPr>
          <w:spacing w:val="-15"/>
        </w:rPr>
        <w:t> </w:t>
      </w:r>
      <w:r>
        <w:rPr/>
        <w:t>network with</w:t>
      </w:r>
      <w:r>
        <w:rPr>
          <w:spacing w:val="-16"/>
        </w:rPr>
        <w:t> </w:t>
      </w:r>
      <w:r>
        <w:rPr/>
        <w:t>staff</w:t>
      </w:r>
      <w:r>
        <w:rPr>
          <w:spacing w:val="-16"/>
        </w:rPr>
        <w:t> </w:t>
      </w:r>
      <w:r>
        <w:rPr/>
        <w:t>and</w:t>
      </w:r>
      <w:r>
        <w:rPr>
          <w:spacing w:val="-16"/>
        </w:rPr>
        <w:t> </w:t>
      </w:r>
      <w:r>
        <w:rPr/>
        <w:t>learn</w:t>
      </w:r>
      <w:r>
        <w:rPr>
          <w:spacing w:val="-16"/>
        </w:rPr>
        <w:t> </w:t>
      </w:r>
      <w:r>
        <w:rPr/>
        <w:t>about</w:t>
      </w:r>
      <w:r>
        <w:rPr>
          <w:spacing w:val="-16"/>
        </w:rPr>
        <w:t> </w:t>
      </w:r>
      <w:r>
        <w:rPr/>
        <w:t>job</w:t>
      </w:r>
      <w:r>
        <w:rPr>
          <w:spacing w:val="-16"/>
        </w:rPr>
        <w:t> </w:t>
      </w:r>
      <w:r>
        <w:rPr/>
        <w:t>opportunities.</w:t>
      </w:r>
    </w:p>
    <w:p>
      <w:pPr>
        <w:spacing w:after="0" w:line="249" w:lineRule="auto"/>
        <w:sectPr>
          <w:type w:val="continuous"/>
          <w:pgSz w:w="11910" w:h="16840"/>
          <w:pgMar w:top="1580" w:bottom="280" w:left="800" w:right="800"/>
          <w:cols w:num="3" w:equalWidth="0">
            <w:col w:w="3311" w:space="128"/>
            <w:col w:w="3295" w:space="145"/>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30"/>
      </w:pPr>
      <w:r>
        <w:rPr/>
        <w:t>The School focused on increasing its engagement with Chinese institutions. It implemented joint programs under existing relationships</w:t>
      </w:r>
      <w:r>
        <w:rPr>
          <w:spacing w:val="-22"/>
        </w:rPr>
        <w:t> </w:t>
      </w:r>
      <w:r>
        <w:rPr/>
        <w:t>with</w:t>
      </w:r>
      <w:r>
        <w:rPr>
          <w:spacing w:val="-22"/>
        </w:rPr>
        <w:t> </w:t>
      </w:r>
      <w:r>
        <w:rPr/>
        <w:t>China’s</w:t>
      </w:r>
      <w:r>
        <w:rPr>
          <w:spacing w:val="-22"/>
        </w:rPr>
        <w:t> </w:t>
      </w:r>
      <w:r>
        <w:rPr/>
        <w:t>Shanghai</w:t>
      </w:r>
      <w:r>
        <w:rPr>
          <w:spacing w:val="-22"/>
        </w:rPr>
        <w:t> </w:t>
      </w:r>
      <w:r>
        <w:rPr/>
        <w:t>University of Engineering Science, Huzhou University and Hebei University of Technology, and initiated new partnerships, such as with Shaoyang University. The School is also exploring potential partnerships with such institutions as Wuyi University in China, and India’s Amity University, SRM University and </w:t>
      </w:r>
      <w:r>
        <w:rPr>
          <w:w w:val="95"/>
        </w:rPr>
        <w:t>Hindustan</w:t>
      </w:r>
      <w:r>
        <w:rPr>
          <w:spacing w:val="34"/>
          <w:w w:val="95"/>
        </w:rPr>
        <w:t> </w:t>
      </w:r>
      <w:r>
        <w:rPr>
          <w:w w:val="95"/>
        </w:rPr>
        <w:t>University.</w:t>
      </w:r>
    </w:p>
    <w:p>
      <w:pPr>
        <w:pStyle w:val="BodyText"/>
        <w:rPr>
          <w:sz w:val="14"/>
        </w:rPr>
      </w:pPr>
    </w:p>
    <w:p>
      <w:pPr>
        <w:pStyle w:val="BodyText"/>
        <w:spacing w:line="249" w:lineRule="auto"/>
        <w:ind w:left="107" w:right="11"/>
      </w:pPr>
      <w:r>
        <w:rPr/>
        <w:t>In research, the School prioritised the development of relationships with Amity University, Taipei Tech in Taiwan and the University of Science and Technology of China.</w:t>
      </w:r>
      <w:r>
        <w:rPr>
          <w:spacing w:val="-22"/>
        </w:rPr>
        <w:t> </w:t>
      </w:r>
      <w:r>
        <w:rPr/>
        <w:t>It</w:t>
      </w:r>
      <w:r>
        <w:rPr>
          <w:spacing w:val="-22"/>
        </w:rPr>
        <w:t> </w:t>
      </w:r>
      <w:r>
        <w:rPr/>
        <w:t>also</w:t>
      </w:r>
      <w:r>
        <w:rPr>
          <w:spacing w:val="-22"/>
        </w:rPr>
        <w:t> </w:t>
      </w:r>
      <w:r>
        <w:rPr/>
        <w:t>made</w:t>
      </w:r>
      <w:r>
        <w:rPr>
          <w:spacing w:val="-22"/>
        </w:rPr>
        <w:t> </w:t>
      </w:r>
      <w:r>
        <w:rPr/>
        <w:t>an</w:t>
      </w:r>
      <w:r>
        <w:rPr>
          <w:spacing w:val="-22"/>
        </w:rPr>
        <w:t> </w:t>
      </w:r>
      <w:r>
        <w:rPr/>
        <w:t>agreement</w:t>
      </w:r>
      <w:r>
        <w:rPr>
          <w:spacing w:val="-22"/>
        </w:rPr>
        <w:t> </w:t>
      </w:r>
      <w:r>
        <w:rPr/>
        <w:t>with</w:t>
      </w:r>
      <w:r>
        <w:rPr>
          <w:spacing w:val="-22"/>
        </w:rPr>
        <w:t> </w:t>
      </w:r>
      <w:r>
        <w:rPr/>
        <w:t>Spain’s Autonomous</w:t>
      </w:r>
      <w:r>
        <w:rPr>
          <w:spacing w:val="-13"/>
        </w:rPr>
        <w:t> </w:t>
      </w:r>
      <w:r>
        <w:rPr/>
        <w:t>University</w:t>
      </w:r>
      <w:r>
        <w:rPr>
          <w:spacing w:val="-13"/>
        </w:rPr>
        <w:t> </w:t>
      </w:r>
      <w:r>
        <w:rPr/>
        <w:t>of</w:t>
      </w:r>
      <w:r>
        <w:rPr>
          <w:spacing w:val="-13"/>
        </w:rPr>
        <w:t> </w:t>
      </w:r>
      <w:r>
        <w:rPr/>
        <w:t>Barcelona</w:t>
      </w:r>
      <w:r>
        <w:rPr>
          <w:spacing w:val="-13"/>
        </w:rPr>
        <w:t> </w:t>
      </w:r>
      <w:r>
        <w:rPr/>
        <w:t>to</w:t>
      </w:r>
      <w:r>
        <w:rPr>
          <w:spacing w:val="-13"/>
        </w:rPr>
        <w:t> </w:t>
      </w:r>
      <w:r>
        <w:rPr/>
        <w:t>jointly run a double PhD program in Computer Science.</w:t>
      </w:r>
    </w:p>
    <w:p>
      <w:pPr>
        <w:pStyle w:val="BodyText"/>
        <w:rPr>
          <w:sz w:val="14"/>
        </w:rPr>
      </w:pPr>
    </w:p>
    <w:p>
      <w:pPr>
        <w:pStyle w:val="BodyText"/>
        <w:spacing w:line="249" w:lineRule="auto"/>
        <w:ind w:left="107" w:right="225"/>
      </w:pPr>
      <w:r>
        <w:rPr/>
        <w:t>SCEM is looking forward to a creative and </w:t>
      </w:r>
      <w:r>
        <w:rPr>
          <w:w w:val="97"/>
        </w:rPr>
        <w:t>prosperous </w:t>
      </w:r>
      <w:r>
        <w:rPr>
          <w:w w:val="87"/>
        </w:rPr>
        <w:t>2017 </w:t>
      </w:r>
      <w:r>
        <w:rPr>
          <w:w w:val="95"/>
        </w:rPr>
        <w:t>in </w:t>
      </w:r>
      <w:r>
        <w:rPr>
          <w:w w:val="95"/>
        </w:rPr>
        <w:t>all </w:t>
      </w:r>
      <w:r>
        <w:rPr>
          <w:w w:val="97"/>
        </w:rPr>
        <w:t>its </w:t>
      </w:r>
      <w:r>
        <w:rPr>
          <w:w w:val="94"/>
        </w:rPr>
        <w:t>endeavours.</w:t>
      </w:r>
    </w:p>
    <w:p>
      <w:pPr>
        <w:pStyle w:val="BodyText"/>
      </w:pPr>
    </w:p>
    <w:p>
      <w:pPr>
        <w:pStyle w:val="Heading5"/>
        <w:spacing w:before="136"/>
        <w:ind w:right="30"/>
      </w:pPr>
      <w:bookmarkStart w:name="_TOC_250039" w:id="15"/>
      <w:bookmarkEnd w:id="15"/>
      <w:r>
        <w:rPr>
          <w:w w:val="95"/>
        </w:rPr>
        <w:t>SCHOOL OF EDUCATION</w:t>
      </w:r>
    </w:p>
    <w:p>
      <w:pPr>
        <w:pStyle w:val="BodyText"/>
        <w:spacing w:line="249" w:lineRule="auto" w:before="95"/>
        <w:ind w:left="107" w:right="-5"/>
      </w:pPr>
      <w:r>
        <w:rPr/>
        <w:t>The School of Education is committed to a contemporary, interdisciplinary, creative, innovative</w:t>
      </w:r>
      <w:r>
        <w:rPr>
          <w:spacing w:val="-14"/>
        </w:rPr>
        <w:t> </w:t>
      </w:r>
      <w:r>
        <w:rPr/>
        <w:t>and</w:t>
      </w:r>
      <w:r>
        <w:rPr>
          <w:spacing w:val="-14"/>
        </w:rPr>
        <w:t> </w:t>
      </w:r>
      <w:r>
        <w:rPr/>
        <w:t>community-oriented</w:t>
      </w:r>
      <w:r>
        <w:rPr>
          <w:spacing w:val="-14"/>
        </w:rPr>
        <w:t> </w:t>
      </w:r>
      <w:r>
        <w:rPr/>
        <w:t>academic focus. The School’s teaching and research programs</w:t>
      </w:r>
      <w:r>
        <w:rPr>
          <w:spacing w:val="-19"/>
        </w:rPr>
        <w:t> </w:t>
      </w:r>
      <w:r>
        <w:rPr/>
        <w:t>aim</w:t>
      </w:r>
      <w:r>
        <w:rPr>
          <w:spacing w:val="-19"/>
        </w:rPr>
        <w:t> </w:t>
      </w:r>
      <w:r>
        <w:rPr/>
        <w:t>to</w:t>
      </w:r>
      <w:r>
        <w:rPr>
          <w:spacing w:val="-19"/>
        </w:rPr>
        <w:t> </w:t>
      </w:r>
      <w:r>
        <w:rPr/>
        <w:t>ensure</w:t>
      </w:r>
      <w:r>
        <w:rPr>
          <w:spacing w:val="-19"/>
        </w:rPr>
        <w:t> </w:t>
      </w:r>
      <w:r>
        <w:rPr/>
        <w:t>that</w:t>
      </w:r>
      <w:r>
        <w:rPr>
          <w:spacing w:val="-19"/>
        </w:rPr>
        <w:t> </w:t>
      </w:r>
      <w:r>
        <w:rPr/>
        <w:t>graduates</w:t>
      </w:r>
    </w:p>
    <w:p>
      <w:pPr>
        <w:pStyle w:val="BodyText"/>
        <w:spacing w:line="249" w:lineRule="auto"/>
        <w:ind w:left="107" w:right="226"/>
      </w:pPr>
      <w:r>
        <w:rPr/>
        <w:t>are highly skilled educators who grow to be effective and sought-after professional</w:t>
      </w:r>
    </w:p>
    <w:p>
      <w:pPr>
        <w:pStyle w:val="BodyText"/>
        <w:spacing w:line="249" w:lineRule="auto"/>
        <w:ind w:left="107" w:right="63"/>
        <w:jc w:val="both"/>
      </w:pPr>
      <w:r>
        <w:rPr/>
        <w:t>leaders,</w:t>
      </w:r>
      <w:r>
        <w:rPr>
          <w:spacing w:val="-15"/>
        </w:rPr>
        <w:t> </w:t>
      </w:r>
      <w:r>
        <w:rPr/>
        <w:t>with</w:t>
      </w:r>
      <w:r>
        <w:rPr>
          <w:spacing w:val="-15"/>
        </w:rPr>
        <w:t> </w:t>
      </w:r>
      <w:r>
        <w:rPr/>
        <w:t>the</w:t>
      </w:r>
      <w:r>
        <w:rPr>
          <w:spacing w:val="-15"/>
        </w:rPr>
        <w:t> </w:t>
      </w:r>
      <w:r>
        <w:rPr/>
        <w:t>capacity</w:t>
      </w:r>
      <w:r>
        <w:rPr>
          <w:spacing w:val="-15"/>
        </w:rPr>
        <w:t> </w:t>
      </w:r>
      <w:r>
        <w:rPr/>
        <w:t>to</w:t>
      </w:r>
      <w:r>
        <w:rPr>
          <w:spacing w:val="-15"/>
        </w:rPr>
        <w:t> </w:t>
      </w:r>
      <w:r>
        <w:rPr/>
        <w:t>lead</w:t>
      </w:r>
      <w:r>
        <w:rPr>
          <w:spacing w:val="-15"/>
        </w:rPr>
        <w:t> </w:t>
      </w:r>
      <w:r>
        <w:rPr/>
        <w:t>change</w:t>
      </w:r>
      <w:r>
        <w:rPr>
          <w:spacing w:val="-15"/>
        </w:rPr>
        <w:t> </w:t>
      </w:r>
      <w:r>
        <w:rPr/>
        <w:t>and support</w:t>
      </w:r>
      <w:r>
        <w:rPr>
          <w:spacing w:val="-12"/>
        </w:rPr>
        <w:t> </w:t>
      </w:r>
      <w:r>
        <w:rPr/>
        <w:t>the</w:t>
      </w:r>
      <w:r>
        <w:rPr>
          <w:spacing w:val="-12"/>
        </w:rPr>
        <w:t> </w:t>
      </w:r>
      <w:r>
        <w:rPr/>
        <w:t>best</w:t>
      </w:r>
      <w:r>
        <w:rPr>
          <w:spacing w:val="-12"/>
        </w:rPr>
        <w:t> </w:t>
      </w:r>
      <w:r>
        <w:rPr/>
        <w:t>outcomes</w:t>
      </w:r>
      <w:r>
        <w:rPr>
          <w:spacing w:val="-12"/>
        </w:rPr>
        <w:t> </w:t>
      </w:r>
      <w:r>
        <w:rPr/>
        <w:t>for</w:t>
      </w:r>
      <w:r>
        <w:rPr>
          <w:spacing w:val="-12"/>
        </w:rPr>
        <w:t> </w:t>
      </w:r>
      <w:r>
        <w:rPr/>
        <w:t>their</w:t>
      </w:r>
      <w:r>
        <w:rPr>
          <w:spacing w:val="-12"/>
        </w:rPr>
        <w:t> </w:t>
      </w:r>
      <w:r>
        <w:rPr/>
        <w:t>students and</w:t>
      </w:r>
      <w:r>
        <w:rPr>
          <w:spacing w:val="-32"/>
        </w:rPr>
        <w:t> </w:t>
      </w:r>
      <w:r>
        <w:rPr/>
        <w:t>communities.</w:t>
      </w:r>
    </w:p>
    <w:p>
      <w:pPr>
        <w:pStyle w:val="BodyText"/>
        <w:rPr>
          <w:sz w:val="14"/>
        </w:rPr>
      </w:pPr>
    </w:p>
    <w:p>
      <w:pPr>
        <w:pStyle w:val="BodyText"/>
        <w:spacing w:line="249" w:lineRule="auto"/>
        <w:ind w:left="107" w:right="259"/>
      </w:pPr>
      <w:r>
        <w:rPr>
          <w:w w:val="97"/>
        </w:rPr>
        <w:t>During </w:t>
      </w:r>
      <w:r>
        <w:rPr>
          <w:w w:val="85"/>
        </w:rPr>
        <w:t>2016, </w:t>
      </w:r>
      <w:r>
        <w:rPr>
          <w:w w:val="97"/>
        </w:rPr>
        <w:t>the </w:t>
      </w:r>
      <w:r>
        <w:rPr>
          <w:w w:val="98"/>
        </w:rPr>
        <w:t>School </w:t>
      </w:r>
      <w:r>
        <w:rPr>
          <w:w w:val="98"/>
        </w:rPr>
        <w:t>continued </w:t>
      </w:r>
      <w:r>
        <w:rPr>
          <w:w w:val="101"/>
        </w:rPr>
        <w:t>to </w:t>
      </w:r>
      <w:r>
        <w:rPr/>
        <w:t>implement its strategy to increase course diversity and improve its reputation as the provider of choice for the ongoing</w:t>
      </w:r>
    </w:p>
    <w:p>
      <w:pPr>
        <w:pStyle w:val="BodyText"/>
        <w:spacing w:line="249" w:lineRule="auto"/>
        <w:ind w:left="107" w:right="-5"/>
      </w:pPr>
      <w:r>
        <w:rPr/>
        <w:t>professional</w:t>
      </w:r>
      <w:r>
        <w:rPr>
          <w:spacing w:val="-18"/>
        </w:rPr>
        <w:t> </w:t>
      </w:r>
      <w:r>
        <w:rPr/>
        <w:t>learning</w:t>
      </w:r>
      <w:r>
        <w:rPr>
          <w:spacing w:val="-18"/>
        </w:rPr>
        <w:t> </w:t>
      </w:r>
      <w:r>
        <w:rPr/>
        <w:t>of</w:t>
      </w:r>
      <w:r>
        <w:rPr>
          <w:spacing w:val="-18"/>
        </w:rPr>
        <w:t> </w:t>
      </w:r>
      <w:r>
        <w:rPr/>
        <w:t>educators.</w:t>
      </w:r>
      <w:r>
        <w:rPr>
          <w:spacing w:val="-18"/>
        </w:rPr>
        <w:t> </w:t>
      </w:r>
      <w:r>
        <w:rPr/>
        <w:t>The</w:t>
      </w:r>
      <w:r>
        <w:rPr>
          <w:spacing w:val="-18"/>
        </w:rPr>
        <w:t> </w:t>
      </w:r>
      <w:r>
        <w:rPr/>
        <w:t>School continued to diversify its sources of research and consultancy income to develop a more sustainable</w:t>
      </w:r>
      <w:r>
        <w:rPr>
          <w:spacing w:val="-26"/>
        </w:rPr>
        <w:t> </w:t>
      </w:r>
      <w:r>
        <w:rPr/>
        <w:t>income</w:t>
      </w:r>
      <w:r>
        <w:rPr>
          <w:spacing w:val="-26"/>
        </w:rPr>
        <w:t> </w:t>
      </w:r>
      <w:r>
        <w:rPr/>
        <w:t>base.</w:t>
      </w:r>
    </w:p>
    <w:p>
      <w:pPr>
        <w:pStyle w:val="BodyText"/>
        <w:spacing w:before="3"/>
        <w:rPr>
          <w:sz w:val="19"/>
        </w:rPr>
      </w:pPr>
    </w:p>
    <w:p>
      <w:pPr>
        <w:pStyle w:val="Heading7"/>
        <w:ind w:right="30"/>
      </w:pPr>
      <w:r>
        <w:rPr>
          <w:w w:val="95"/>
        </w:rPr>
        <w:t>TEACHING AND LEARNING</w:t>
      </w:r>
    </w:p>
    <w:p>
      <w:pPr>
        <w:pStyle w:val="BodyText"/>
        <w:spacing w:line="249" w:lineRule="auto" w:before="58"/>
        <w:ind w:left="107" w:right="67"/>
      </w:pPr>
      <w:r>
        <w:rPr/>
        <w:t>At the undergraduate level, the School of Education offers an initial teacher education program for Aboriginal and Torres Strait Islander students preparing to work as primary school teachers. Professional accreditation for this course has been</w:t>
      </w:r>
    </w:p>
    <w:p>
      <w:pPr>
        <w:pStyle w:val="BodyText"/>
        <w:spacing w:before="1"/>
        <w:rPr>
          <w:sz w:val="20"/>
        </w:rPr>
      </w:pPr>
      <w:r>
        <w:rPr/>
        <w:br w:type="column"/>
      </w:r>
      <w:r>
        <w:rPr>
          <w:sz w:val="20"/>
        </w:rPr>
      </w:r>
    </w:p>
    <w:p>
      <w:pPr>
        <w:pStyle w:val="BodyText"/>
        <w:ind w:left="107" w:right="250"/>
      </w:pPr>
      <w:r>
        <w:rPr>
          <w:w w:val="95"/>
        </w:rPr>
        <w:t>e</w:t>
      </w:r>
      <w:r>
        <w:rPr>
          <w:spacing w:val="3"/>
          <w:w w:val="99"/>
        </w:rPr>
        <w:t>x</w:t>
      </w:r>
      <w:r>
        <w:rPr>
          <w:spacing w:val="-2"/>
          <w:w w:val="102"/>
        </w:rPr>
        <w:t>t</w:t>
      </w:r>
      <w:r>
        <w:rPr>
          <w:spacing w:val="2"/>
          <w:w w:val="95"/>
        </w:rPr>
        <w:t>e</w:t>
      </w:r>
      <w:r>
        <w:rPr>
          <w:spacing w:val="2"/>
          <w:w w:val="95"/>
        </w:rPr>
        <w:t>n</w:t>
      </w:r>
      <w:r>
        <w:rPr>
          <w:spacing w:val="2"/>
          <w:w w:val="102"/>
        </w:rPr>
        <w:t>d</w:t>
      </w:r>
      <w:r>
        <w:rPr>
          <w:spacing w:val="3"/>
          <w:w w:val="95"/>
        </w:rPr>
        <w:t>e</w:t>
      </w:r>
      <w:r>
        <w:rPr>
          <w:w w:val="102"/>
        </w:rPr>
        <w:t>d</w:t>
      </w:r>
      <w:r>
        <w:rPr>
          <w:spacing w:val="-12"/>
        </w:rPr>
        <w:t> </w:t>
      </w:r>
      <w:r>
        <w:rPr>
          <w:spacing w:val="1"/>
          <w:w w:val="95"/>
        </w:rPr>
        <w:t>u</w:t>
      </w:r>
      <w:r>
        <w:rPr>
          <w:w w:val="95"/>
        </w:rPr>
        <w:t>n</w:t>
      </w:r>
      <w:r>
        <w:rPr>
          <w:w w:val="102"/>
        </w:rPr>
        <w:t>t</w:t>
      </w:r>
      <w:r>
        <w:rPr>
          <w:w w:val="95"/>
        </w:rPr>
        <w:t>il</w:t>
      </w:r>
      <w:r>
        <w:rPr>
          <w:spacing w:val="-12"/>
        </w:rPr>
        <w:t> </w:t>
      </w:r>
      <w:r>
        <w:rPr>
          <w:spacing w:val="3"/>
          <w:w w:val="98"/>
        </w:rPr>
        <w:t>D</w:t>
      </w:r>
      <w:r>
        <w:rPr>
          <w:spacing w:val="3"/>
          <w:w w:val="95"/>
        </w:rPr>
        <w:t>e</w:t>
      </w:r>
      <w:r>
        <w:rPr>
          <w:w w:val="102"/>
        </w:rPr>
        <w:t>c</w:t>
      </w:r>
      <w:r>
        <w:rPr>
          <w:spacing w:val="2"/>
          <w:w w:val="95"/>
        </w:rPr>
        <w:t>e</w:t>
      </w:r>
      <w:r>
        <w:rPr>
          <w:spacing w:val="2"/>
          <w:w w:val="98"/>
        </w:rPr>
        <w:t>m</w:t>
      </w:r>
      <w:r>
        <w:rPr>
          <w:spacing w:val="2"/>
          <w:w w:val="102"/>
        </w:rPr>
        <w:t>b</w:t>
      </w:r>
      <w:r>
        <w:rPr>
          <w:spacing w:val="2"/>
          <w:w w:val="95"/>
        </w:rPr>
        <w:t>e</w:t>
      </w:r>
      <w:r>
        <w:rPr>
          <w:w w:val="95"/>
        </w:rPr>
        <w:t>r</w:t>
      </w:r>
      <w:r>
        <w:rPr>
          <w:spacing w:val="-12"/>
        </w:rPr>
        <w:t> </w:t>
      </w:r>
      <w:r>
        <w:rPr>
          <w:spacing w:val="2"/>
          <w:w w:val="93"/>
        </w:rPr>
        <w:t>2</w:t>
      </w:r>
      <w:r>
        <w:rPr>
          <w:spacing w:val="1"/>
          <w:w w:val="111"/>
        </w:rPr>
        <w:t>0</w:t>
      </w:r>
      <w:r>
        <w:rPr>
          <w:spacing w:val="4"/>
          <w:w w:val="54"/>
        </w:rPr>
        <w:t>1</w:t>
      </w:r>
      <w:r>
        <w:rPr>
          <w:spacing w:val="5"/>
          <w:w w:val="98"/>
        </w:rPr>
        <w:t>8</w:t>
      </w:r>
      <w:r>
        <w:rPr>
          <w:w w:val="68"/>
        </w:rPr>
        <w:t>.</w:t>
      </w:r>
    </w:p>
    <w:p>
      <w:pPr>
        <w:pStyle w:val="BodyText"/>
        <w:spacing w:before="7"/>
        <w:rPr>
          <w:sz w:val="14"/>
        </w:rPr>
      </w:pPr>
    </w:p>
    <w:p>
      <w:pPr>
        <w:pStyle w:val="BodyText"/>
        <w:spacing w:line="249" w:lineRule="auto" w:before="1"/>
        <w:ind w:left="107" w:right="250"/>
      </w:pPr>
      <w:r>
        <w:rPr/>
        <w:t>In collaboration with the School of Science and Health, School of Humanities and Communication Arts and School</w:t>
      </w:r>
    </w:p>
    <w:p>
      <w:pPr>
        <w:pStyle w:val="BodyText"/>
        <w:spacing w:line="249" w:lineRule="auto"/>
        <w:ind w:left="107" w:right="260"/>
      </w:pPr>
      <w:r>
        <w:rPr/>
        <w:t>of </w:t>
      </w:r>
      <w:r>
        <w:rPr>
          <w:spacing w:val="2"/>
        </w:rPr>
        <w:t>Business, </w:t>
      </w:r>
      <w:r>
        <w:rPr/>
        <w:t>the School of Education increased</w:t>
      </w:r>
      <w:r>
        <w:rPr>
          <w:spacing w:val="-20"/>
        </w:rPr>
        <w:t> </w:t>
      </w:r>
      <w:r>
        <w:rPr/>
        <w:t>the</w:t>
      </w:r>
      <w:r>
        <w:rPr>
          <w:spacing w:val="-20"/>
        </w:rPr>
        <w:t> </w:t>
      </w:r>
      <w:r>
        <w:rPr/>
        <w:t>suite</w:t>
      </w:r>
      <w:r>
        <w:rPr>
          <w:spacing w:val="-20"/>
        </w:rPr>
        <w:t> </w:t>
      </w:r>
      <w:r>
        <w:rPr/>
        <w:t>of</w:t>
      </w:r>
      <w:r>
        <w:rPr>
          <w:spacing w:val="-20"/>
        </w:rPr>
        <w:t> </w:t>
      </w:r>
      <w:r>
        <w:rPr/>
        <w:t>Pathway</w:t>
      </w:r>
      <w:r>
        <w:rPr>
          <w:spacing w:val="-20"/>
        </w:rPr>
        <w:t> </w:t>
      </w:r>
      <w:r>
        <w:rPr/>
        <w:t>to</w:t>
      </w:r>
      <w:r>
        <w:rPr>
          <w:spacing w:val="-20"/>
        </w:rPr>
        <w:t> </w:t>
      </w:r>
      <w:r>
        <w:rPr/>
        <w:t>Teaching courses to nine. These programs allow students to enter postgraduate education studies through an undergraduate major/ sub-major</w:t>
      </w:r>
      <w:r>
        <w:rPr>
          <w:spacing w:val="-21"/>
        </w:rPr>
        <w:t> </w:t>
      </w:r>
      <w:r>
        <w:rPr/>
        <w:t>in</w:t>
      </w:r>
      <w:r>
        <w:rPr>
          <w:spacing w:val="-21"/>
        </w:rPr>
        <w:t> </w:t>
      </w:r>
      <w:r>
        <w:rPr/>
        <w:t>education</w:t>
      </w:r>
      <w:r>
        <w:rPr>
          <w:spacing w:val="-21"/>
        </w:rPr>
        <w:t> </w:t>
      </w:r>
      <w:r>
        <w:rPr/>
        <w:t>studies.</w:t>
      </w:r>
    </w:p>
    <w:p>
      <w:pPr>
        <w:pStyle w:val="BodyText"/>
        <w:rPr>
          <w:sz w:val="14"/>
        </w:rPr>
      </w:pPr>
    </w:p>
    <w:p>
      <w:pPr>
        <w:pStyle w:val="BodyText"/>
        <w:spacing w:line="249" w:lineRule="auto"/>
        <w:ind w:left="107" w:right="124"/>
      </w:pPr>
      <w:r>
        <w:rPr/>
        <w:t>The School’s professionally accredited Master of Teaching programs prepare educators and teachers for early childhood, primary and secondary education settings. The School’s postgraduate specialist programs in social ecology, educational leadership and inclusive education support the professional learning of educators and teachers across the education sector.</w:t>
      </w:r>
    </w:p>
    <w:p>
      <w:pPr>
        <w:pStyle w:val="BodyText"/>
        <w:rPr>
          <w:sz w:val="14"/>
        </w:rPr>
      </w:pPr>
    </w:p>
    <w:p>
      <w:pPr>
        <w:pStyle w:val="BodyText"/>
        <w:spacing w:line="249" w:lineRule="auto"/>
        <w:ind w:left="107" w:right="-4"/>
      </w:pPr>
      <w:r>
        <w:rPr>
          <w:w w:val="112"/>
        </w:rPr>
        <w:t>A</w:t>
      </w:r>
      <w:r>
        <w:rPr>
          <w:spacing w:val="-16"/>
          <w:w w:val="112"/>
        </w:rPr>
        <w:t> </w:t>
      </w:r>
      <w:r>
        <w:rPr>
          <w:spacing w:val="-1"/>
          <w:w w:val="98"/>
        </w:rPr>
        <w:t>key</w:t>
      </w:r>
      <w:r>
        <w:rPr>
          <w:spacing w:val="-8"/>
          <w:w w:val="98"/>
        </w:rPr>
        <w:t> </w:t>
      </w:r>
      <w:r>
        <w:rPr>
          <w:spacing w:val="1"/>
          <w:w w:val="98"/>
        </w:rPr>
        <w:t>priority</w:t>
      </w:r>
      <w:r>
        <w:rPr>
          <w:spacing w:val="-9"/>
          <w:w w:val="98"/>
        </w:rPr>
        <w:t> </w:t>
      </w:r>
      <w:r>
        <w:rPr>
          <w:spacing w:val="1"/>
          <w:w w:val="97"/>
        </w:rPr>
        <w:t>during</w:t>
      </w:r>
      <w:r>
        <w:rPr>
          <w:spacing w:val="-8"/>
          <w:w w:val="97"/>
        </w:rPr>
        <w:t> </w:t>
      </w:r>
      <w:r>
        <w:rPr>
          <w:spacing w:val="1"/>
          <w:w w:val="90"/>
        </w:rPr>
        <w:t>2016</w:t>
      </w:r>
      <w:r>
        <w:rPr>
          <w:spacing w:val="-4"/>
          <w:w w:val="90"/>
        </w:rPr>
        <w:t> </w:t>
      </w:r>
      <w:r>
        <w:rPr>
          <w:w w:val="96"/>
        </w:rPr>
        <w:t>was</w:t>
      </w:r>
      <w:r>
        <w:rPr>
          <w:spacing w:val="-8"/>
          <w:w w:val="96"/>
        </w:rPr>
        <w:t> </w:t>
      </w:r>
      <w:r>
        <w:rPr>
          <w:spacing w:val="1"/>
          <w:w w:val="97"/>
        </w:rPr>
        <w:t>implementing</w:t>
      </w:r>
      <w:r>
        <w:rPr>
          <w:spacing w:val="-8"/>
          <w:w w:val="97"/>
        </w:rPr>
        <w:t> </w:t>
      </w:r>
      <w:r>
        <w:rPr>
          <w:w w:val="94"/>
        </w:rPr>
        <w:t>a </w:t>
      </w:r>
      <w:r>
        <w:rPr/>
        <w:t>number of newly accredited programs, which had resulted from a major curriculum review </w:t>
      </w:r>
      <w:r>
        <w:rPr>
          <w:spacing w:val="1"/>
          <w:w w:val="99"/>
        </w:rPr>
        <w:t>completed</w:t>
      </w:r>
      <w:r>
        <w:rPr>
          <w:spacing w:val="-10"/>
          <w:w w:val="99"/>
        </w:rPr>
        <w:t> </w:t>
      </w:r>
      <w:r>
        <w:rPr>
          <w:w w:val="95"/>
        </w:rPr>
        <w:t>in</w:t>
      </w:r>
      <w:r>
        <w:rPr>
          <w:spacing w:val="-8"/>
          <w:w w:val="95"/>
        </w:rPr>
        <w:t> </w:t>
      </w:r>
      <w:r>
        <w:rPr>
          <w:spacing w:val="1"/>
          <w:w w:val="90"/>
        </w:rPr>
        <w:t>2014</w:t>
      </w:r>
      <w:r>
        <w:rPr>
          <w:spacing w:val="-5"/>
          <w:w w:val="90"/>
        </w:rPr>
        <w:t> </w:t>
      </w:r>
      <w:r>
        <w:rPr>
          <w:spacing w:val="1"/>
          <w:w w:val="97"/>
        </w:rPr>
        <w:t>under</w:t>
      </w:r>
      <w:r>
        <w:rPr>
          <w:spacing w:val="-9"/>
          <w:w w:val="97"/>
        </w:rPr>
        <w:t> </w:t>
      </w:r>
      <w:r>
        <w:rPr>
          <w:w w:val="97"/>
        </w:rPr>
        <w:t>the</w:t>
      </w:r>
      <w:r>
        <w:rPr>
          <w:spacing w:val="-9"/>
          <w:w w:val="97"/>
        </w:rPr>
        <w:t> </w:t>
      </w:r>
      <w:r>
        <w:rPr>
          <w:spacing w:val="1"/>
          <w:w w:val="96"/>
        </w:rPr>
        <w:t>leadership</w:t>
      </w:r>
    </w:p>
    <w:p>
      <w:pPr>
        <w:pStyle w:val="BodyText"/>
        <w:spacing w:line="249" w:lineRule="auto"/>
        <w:ind w:left="107" w:right="271"/>
        <w:jc w:val="both"/>
      </w:pPr>
      <w:r>
        <w:rPr/>
        <w:t>of Associate Professor </w:t>
      </w:r>
      <w:r>
        <w:rPr>
          <w:spacing w:val="2"/>
        </w:rPr>
        <w:t>Mary </w:t>
      </w:r>
      <w:r>
        <w:rPr/>
        <w:t>Mooney. The School expanded its online presence with the</w:t>
      </w:r>
      <w:r>
        <w:rPr>
          <w:spacing w:val="-18"/>
        </w:rPr>
        <w:t> </w:t>
      </w:r>
      <w:r>
        <w:rPr/>
        <w:t>implementation</w:t>
      </w:r>
      <w:r>
        <w:rPr>
          <w:spacing w:val="-18"/>
        </w:rPr>
        <w:t> </w:t>
      </w:r>
      <w:r>
        <w:rPr/>
        <w:t>of</w:t>
      </w:r>
      <w:r>
        <w:rPr>
          <w:spacing w:val="-18"/>
        </w:rPr>
        <w:t> </w:t>
      </w:r>
      <w:r>
        <w:rPr/>
        <w:t>the</w:t>
      </w:r>
      <w:r>
        <w:rPr>
          <w:spacing w:val="-18"/>
        </w:rPr>
        <w:t> </w:t>
      </w:r>
      <w:r>
        <w:rPr/>
        <w:t>online</w:t>
      </w:r>
      <w:r>
        <w:rPr>
          <w:spacing w:val="-18"/>
        </w:rPr>
        <w:t> </w:t>
      </w:r>
      <w:r>
        <w:rPr/>
        <w:t>Graduate</w:t>
      </w:r>
    </w:p>
    <w:p>
      <w:pPr>
        <w:pStyle w:val="BodyText"/>
        <w:spacing w:line="249" w:lineRule="auto"/>
        <w:ind w:left="107" w:right="-18"/>
      </w:pPr>
      <w:r>
        <w:rPr/>
        <w:t>Certificate in Primary Mathematics Education. New courses in science, computing, engineering and mathematics (SCEM); curriculum studies; language teaching and bilingualism; leadership and management; and primary science were approved for </w:t>
      </w:r>
      <w:r>
        <w:rPr>
          <w:w w:val="97"/>
        </w:rPr>
        <w:t>implementation </w:t>
      </w:r>
      <w:r>
        <w:rPr>
          <w:w w:val="95"/>
        </w:rPr>
        <w:t>in </w:t>
      </w:r>
      <w:r>
        <w:rPr>
          <w:w w:val="83"/>
        </w:rPr>
        <w:t>2017. </w:t>
      </w:r>
      <w:r>
        <w:rPr>
          <w:w w:val="98"/>
        </w:rPr>
        <w:t>Contributions </w:t>
      </w:r>
      <w:r>
        <w:rPr>
          <w:w w:val="98"/>
        </w:rPr>
        <w:t>from </w:t>
      </w:r>
      <w:r>
        <w:rPr/>
        <w:t>external advisory committees continued</w:t>
      </w:r>
    </w:p>
    <w:p>
      <w:pPr>
        <w:pStyle w:val="BodyText"/>
        <w:spacing w:line="249" w:lineRule="auto"/>
        <w:ind w:left="107" w:right="-4"/>
      </w:pPr>
      <w:r>
        <w:rPr/>
        <w:t>to be vital to monitoring and improving the quality of the courses offered by the School. The committees also increased the School’s connections with the teaching profession, particularly</w:t>
      </w:r>
      <w:r>
        <w:rPr>
          <w:spacing w:val="-17"/>
        </w:rPr>
        <w:t> </w:t>
      </w:r>
      <w:r>
        <w:rPr/>
        <w:t>in</w:t>
      </w:r>
      <w:r>
        <w:rPr>
          <w:spacing w:val="-17"/>
        </w:rPr>
        <w:t> </w:t>
      </w:r>
      <w:r>
        <w:rPr/>
        <w:t>relation</w:t>
      </w:r>
      <w:r>
        <w:rPr>
          <w:spacing w:val="-17"/>
        </w:rPr>
        <w:t> </w:t>
      </w:r>
      <w:r>
        <w:rPr/>
        <w:t>to</w:t>
      </w:r>
      <w:r>
        <w:rPr>
          <w:spacing w:val="-17"/>
        </w:rPr>
        <w:t> </w:t>
      </w:r>
      <w:r>
        <w:rPr/>
        <w:t>securing</w:t>
      </w:r>
      <w:r>
        <w:rPr>
          <w:spacing w:val="-17"/>
        </w:rPr>
        <w:t> </w:t>
      </w:r>
      <w:r>
        <w:rPr/>
        <w:t>professional work</w:t>
      </w:r>
      <w:r>
        <w:rPr>
          <w:spacing w:val="-19"/>
        </w:rPr>
        <w:t> </w:t>
      </w:r>
      <w:r>
        <w:rPr/>
        <w:t>experience</w:t>
      </w:r>
      <w:r>
        <w:rPr>
          <w:spacing w:val="-19"/>
        </w:rPr>
        <w:t> </w:t>
      </w:r>
      <w:r>
        <w:rPr/>
        <w:t>for</w:t>
      </w:r>
      <w:r>
        <w:rPr>
          <w:spacing w:val="-19"/>
        </w:rPr>
        <w:t> </w:t>
      </w:r>
      <w:r>
        <w:rPr/>
        <w:t>pre-service</w:t>
      </w:r>
      <w:r>
        <w:rPr>
          <w:spacing w:val="-19"/>
        </w:rPr>
        <w:t> </w:t>
      </w:r>
      <w:r>
        <w:rPr/>
        <w:t>teachers.</w:t>
      </w:r>
    </w:p>
    <w:p>
      <w:pPr>
        <w:pStyle w:val="BodyText"/>
        <w:rPr>
          <w:sz w:val="14"/>
        </w:rPr>
      </w:pPr>
    </w:p>
    <w:p>
      <w:pPr>
        <w:pStyle w:val="BodyText"/>
        <w:spacing w:line="249" w:lineRule="auto"/>
        <w:ind w:left="107" w:right="281"/>
      </w:pPr>
      <w:r>
        <w:rPr/>
        <w:t>The National Exceptional Teachers for Disadvantaged</w:t>
      </w:r>
      <w:r>
        <w:rPr>
          <w:spacing w:val="-18"/>
        </w:rPr>
        <w:t> </w:t>
      </w:r>
      <w:r>
        <w:rPr/>
        <w:t>Schools</w:t>
      </w:r>
      <w:r>
        <w:rPr>
          <w:spacing w:val="-18"/>
        </w:rPr>
        <w:t> </w:t>
      </w:r>
      <w:r>
        <w:rPr>
          <w:spacing w:val="2"/>
        </w:rPr>
        <w:t>(NETDS)</w:t>
      </w:r>
      <w:r>
        <w:rPr>
          <w:spacing w:val="-18"/>
        </w:rPr>
        <w:t> </w:t>
      </w:r>
      <w:r>
        <w:rPr/>
        <w:t>project, funded by the Vincent Fairfax Family Foundation, was launched on 2 August. In</w:t>
      </w:r>
      <w:r>
        <w:rPr>
          <w:spacing w:val="-18"/>
        </w:rPr>
        <w:t> </w:t>
      </w:r>
      <w:r>
        <w:rPr/>
        <w:t>this</w:t>
      </w:r>
      <w:r>
        <w:rPr>
          <w:spacing w:val="-18"/>
        </w:rPr>
        <w:t> </w:t>
      </w:r>
      <w:r>
        <w:rPr/>
        <w:t>program,</w:t>
      </w:r>
      <w:r>
        <w:rPr>
          <w:spacing w:val="-18"/>
        </w:rPr>
        <w:t> </w:t>
      </w:r>
      <w:r>
        <w:rPr/>
        <w:t>the</w:t>
      </w:r>
      <w:r>
        <w:rPr>
          <w:spacing w:val="-18"/>
        </w:rPr>
        <w:t> </w:t>
      </w:r>
      <w:r>
        <w:rPr/>
        <w:t>very</w:t>
      </w:r>
      <w:r>
        <w:rPr>
          <w:spacing w:val="-18"/>
        </w:rPr>
        <w:t> </w:t>
      </w:r>
      <w:r>
        <w:rPr/>
        <w:t>best</w:t>
      </w:r>
      <w:r>
        <w:rPr>
          <w:spacing w:val="-18"/>
        </w:rPr>
        <w:t> </w:t>
      </w:r>
      <w:r>
        <w:rPr/>
        <w:t>pre-service teachers are selected to learn how to make a difference to the education of students</w:t>
      </w:r>
      <w:r>
        <w:rPr>
          <w:spacing w:val="-18"/>
        </w:rPr>
        <w:t> </w:t>
      </w:r>
      <w:r>
        <w:rPr/>
        <w:t>in</w:t>
      </w:r>
      <w:r>
        <w:rPr>
          <w:spacing w:val="-18"/>
        </w:rPr>
        <w:t> </w:t>
      </w:r>
      <w:r>
        <w:rPr/>
        <w:t>disadvantaged</w:t>
      </w:r>
      <w:r>
        <w:rPr>
          <w:spacing w:val="-18"/>
        </w:rPr>
        <w:t> </w:t>
      </w:r>
      <w:r>
        <w:rPr/>
        <w:t>communities.</w:t>
      </w:r>
    </w:p>
    <w:p>
      <w:pPr>
        <w:pStyle w:val="BodyText"/>
        <w:spacing w:line="249" w:lineRule="auto"/>
        <w:ind w:left="107" w:right="158"/>
      </w:pPr>
      <w:r>
        <w:rPr/>
        <w:t>This project aligns with the School’s strong focus on equity and social justice.</w:t>
      </w:r>
    </w:p>
    <w:p>
      <w:pPr>
        <w:pStyle w:val="BodyText"/>
        <w:spacing w:before="1"/>
        <w:rPr>
          <w:sz w:val="20"/>
        </w:rPr>
      </w:pPr>
      <w:r>
        <w:rPr/>
        <w:br w:type="column"/>
      </w:r>
      <w:r>
        <w:rPr>
          <w:sz w:val="20"/>
        </w:rPr>
      </w:r>
    </w:p>
    <w:p>
      <w:pPr>
        <w:pStyle w:val="BodyText"/>
        <w:spacing w:line="249" w:lineRule="auto"/>
        <w:ind w:left="107" w:right="172"/>
      </w:pPr>
      <w:r>
        <w:rPr/>
        <w:t>The School of Education staff continued to make a significant contribution to promoting excellence in teaching and learning at</w:t>
      </w:r>
    </w:p>
    <w:p>
      <w:pPr>
        <w:pStyle w:val="BodyText"/>
        <w:spacing w:line="249" w:lineRule="auto"/>
        <w:ind w:left="107" w:right="544"/>
      </w:pPr>
      <w:r>
        <w:rPr>
          <w:w w:val="97"/>
        </w:rPr>
        <w:t>the </w:t>
      </w:r>
      <w:r>
        <w:rPr>
          <w:w w:val="95"/>
        </w:rPr>
        <w:t>University. </w:t>
      </w:r>
      <w:r>
        <w:rPr>
          <w:spacing w:val="1"/>
          <w:w w:val="80"/>
        </w:rPr>
        <w:t>In</w:t>
      </w:r>
      <w:r>
        <w:rPr>
          <w:w w:val="80"/>
        </w:rPr>
        <w:t> </w:t>
      </w:r>
      <w:r>
        <w:rPr>
          <w:spacing w:val="2"/>
          <w:w w:val="85"/>
        </w:rPr>
        <w:t>2016,</w:t>
      </w:r>
      <w:r>
        <w:rPr>
          <w:w w:val="85"/>
        </w:rPr>
        <w:t> </w:t>
      </w:r>
      <w:r>
        <w:rPr>
          <w:w w:val="97"/>
        </w:rPr>
        <w:t>the </w:t>
      </w:r>
      <w:r>
        <w:rPr>
          <w:w w:val="98"/>
        </w:rPr>
        <w:t>following </w:t>
      </w:r>
      <w:r>
        <w:rPr/>
        <w:t>staff</w:t>
      </w:r>
      <w:r>
        <w:rPr>
          <w:spacing w:val="-16"/>
        </w:rPr>
        <w:t> </w:t>
      </w:r>
      <w:r>
        <w:rPr/>
        <w:t>members</w:t>
      </w:r>
      <w:r>
        <w:rPr>
          <w:spacing w:val="-16"/>
        </w:rPr>
        <w:t> </w:t>
      </w:r>
      <w:r>
        <w:rPr/>
        <w:t>were</w:t>
      </w:r>
      <w:r>
        <w:rPr>
          <w:spacing w:val="-16"/>
        </w:rPr>
        <w:t> </w:t>
      </w:r>
      <w:r>
        <w:rPr/>
        <w:t>recognised</w:t>
      </w:r>
      <w:r>
        <w:rPr>
          <w:spacing w:val="-16"/>
        </w:rPr>
        <w:t> </w:t>
      </w:r>
      <w:r>
        <w:rPr/>
        <w:t>for</w:t>
      </w:r>
      <w:r>
        <w:rPr>
          <w:spacing w:val="-16"/>
        </w:rPr>
        <w:t> </w:t>
      </w:r>
      <w:r>
        <w:rPr/>
        <w:t>their achievements</w:t>
      </w:r>
      <w:r>
        <w:rPr>
          <w:spacing w:val="-26"/>
        </w:rPr>
        <w:t> </w:t>
      </w:r>
      <w:r>
        <w:rPr/>
        <w:t>in</w:t>
      </w:r>
      <w:r>
        <w:rPr>
          <w:spacing w:val="-26"/>
        </w:rPr>
        <w:t> </w:t>
      </w:r>
      <w:r>
        <w:rPr/>
        <w:t>teaching</w:t>
      </w:r>
      <w:r>
        <w:rPr>
          <w:spacing w:val="-26"/>
        </w:rPr>
        <w:t> </w:t>
      </w:r>
      <w:r>
        <w:rPr/>
        <w:t>and</w:t>
      </w:r>
      <w:r>
        <w:rPr>
          <w:spacing w:val="-26"/>
        </w:rPr>
        <w:t> </w:t>
      </w:r>
      <w:r>
        <w:rPr/>
        <w:t>learning:</w:t>
      </w:r>
    </w:p>
    <w:p>
      <w:pPr>
        <w:pStyle w:val="BodyText"/>
        <w:spacing w:line="247" w:lineRule="auto" w:before="55"/>
        <w:ind w:left="305" w:right="82" w:hanging="199"/>
      </w:pPr>
      <w:r>
        <w:rPr>
          <w:rFonts w:ascii="Century Gothic" w:hAnsi="Century Gothic"/>
          <w:b/>
          <w:w w:val="115"/>
        </w:rPr>
        <w:t>≥ </w:t>
      </w:r>
      <w:r>
        <w:rPr/>
        <w:t>Associate Professor Catherine Attard received an Award for Teaching Excellence as part of the Australian Awards for </w:t>
      </w:r>
      <w:r>
        <w:rPr>
          <w:w w:val="95"/>
        </w:rPr>
        <w:t>University Teaching.</w:t>
      </w:r>
    </w:p>
    <w:p>
      <w:pPr>
        <w:pStyle w:val="BodyText"/>
        <w:spacing w:line="247" w:lineRule="auto" w:before="57"/>
        <w:ind w:left="305" w:right="46" w:hanging="199"/>
      </w:pPr>
      <w:r>
        <w:rPr>
          <w:rFonts w:ascii="Century Gothic" w:hAnsi="Century Gothic"/>
          <w:b/>
          <w:w w:val="115"/>
        </w:rPr>
        <w:t>≥ </w:t>
      </w:r>
      <w:r>
        <w:rPr/>
        <w:t>Dr Katrina Barker received the Vice- Chancellor’s Excellence in Teaching Award, recognising her outstanding contribution to preparing high-quality graduate teachers, by creating a positive learning environment through valuing and respecting her students’ diversity.</w:t>
      </w:r>
    </w:p>
    <w:p>
      <w:pPr>
        <w:pStyle w:val="BodyText"/>
        <w:spacing w:line="247" w:lineRule="auto" w:before="57"/>
        <w:ind w:left="305" w:right="62" w:hanging="199"/>
      </w:pPr>
      <w:r>
        <w:rPr>
          <w:rFonts w:ascii="Century Gothic" w:hAnsi="Century Gothic"/>
          <w:b/>
          <w:w w:val="115"/>
        </w:rPr>
        <w:t>≥ </w:t>
      </w:r>
      <w:r>
        <w:rPr/>
        <w:t>Dr Kumara Ward, Ms Karen McDaid and the Inclusive Education Postgraduate Course Leadership team – comprising Dr Danielle Tracey, Associate Professor Christine Johnston and Ms Kerry Staples – received Citations for Outstanding Contributions to Student Learning.</w:t>
      </w:r>
    </w:p>
    <w:p>
      <w:pPr>
        <w:pStyle w:val="BodyText"/>
        <w:spacing w:line="247" w:lineRule="auto" w:before="57"/>
        <w:ind w:left="305" w:right="91" w:hanging="199"/>
      </w:pPr>
      <w:r>
        <w:rPr>
          <w:rFonts w:ascii="Century Gothic" w:hAnsi="Century Gothic"/>
          <w:b/>
          <w:w w:val="115"/>
        </w:rPr>
        <w:t>≥ </w:t>
      </w:r>
      <w:r>
        <w:rPr/>
        <w:t>The title of University Distinguished Teaching Fellow was awarded to Associate Professor Catherine Attard.</w:t>
      </w:r>
    </w:p>
    <w:p>
      <w:pPr>
        <w:pStyle w:val="BodyText"/>
        <w:spacing w:before="4"/>
        <w:rPr>
          <w:sz w:val="19"/>
        </w:rPr>
      </w:pPr>
    </w:p>
    <w:p>
      <w:pPr>
        <w:pStyle w:val="Heading7"/>
        <w:spacing w:before="1"/>
        <w:ind w:right="172"/>
      </w:pPr>
      <w:r>
        <w:rPr>
          <w:w w:val="95"/>
        </w:rPr>
        <w:t>ENGAGEMENT AND INTERNATIONAL</w:t>
      </w:r>
    </w:p>
    <w:p>
      <w:pPr>
        <w:pStyle w:val="BodyText"/>
        <w:spacing w:line="249" w:lineRule="auto" w:before="58"/>
        <w:ind w:left="107" w:right="311"/>
      </w:pPr>
      <w:r>
        <w:rPr/>
        <w:t>The School of Education continues to develop innovative programs that </w:t>
      </w:r>
      <w:r>
        <w:rPr>
          <w:spacing w:val="2"/>
        </w:rPr>
        <w:t>deepen </w:t>
      </w:r>
      <w:r>
        <w:rPr/>
        <w:t>its engagement with local, national and international</w:t>
      </w:r>
      <w:r>
        <w:rPr>
          <w:spacing w:val="-29"/>
        </w:rPr>
        <w:t> </w:t>
      </w:r>
      <w:r>
        <w:rPr>
          <w:spacing w:val="2"/>
        </w:rPr>
        <w:t>partners.</w:t>
      </w:r>
      <w:r>
        <w:rPr>
          <w:spacing w:val="-29"/>
        </w:rPr>
        <w:t> </w:t>
      </w:r>
      <w:r>
        <w:rPr/>
        <w:t>These</w:t>
      </w:r>
      <w:r>
        <w:rPr>
          <w:spacing w:val="-29"/>
        </w:rPr>
        <w:t> </w:t>
      </w:r>
      <w:r>
        <w:rPr/>
        <w:t>collaborations have resulted in high-quality professional experiences for its pre-service teachers, and opportunities for its staff members and</w:t>
      </w:r>
      <w:r>
        <w:rPr>
          <w:spacing w:val="-13"/>
        </w:rPr>
        <w:t> </w:t>
      </w:r>
      <w:r>
        <w:rPr/>
        <w:t>community</w:t>
      </w:r>
      <w:r>
        <w:rPr>
          <w:spacing w:val="-13"/>
        </w:rPr>
        <w:t> </w:t>
      </w:r>
      <w:r>
        <w:rPr/>
        <w:t>colleagues</w:t>
      </w:r>
      <w:r>
        <w:rPr>
          <w:spacing w:val="-13"/>
        </w:rPr>
        <w:t> </w:t>
      </w:r>
      <w:r>
        <w:rPr/>
        <w:t>to</w:t>
      </w:r>
      <w:r>
        <w:rPr>
          <w:spacing w:val="-13"/>
        </w:rPr>
        <w:t> </w:t>
      </w:r>
      <w:r>
        <w:rPr/>
        <w:t>engage</w:t>
      </w:r>
    </w:p>
    <w:p>
      <w:pPr>
        <w:pStyle w:val="BodyText"/>
        <w:spacing w:line="249" w:lineRule="auto"/>
        <w:ind w:left="107" w:right="625"/>
      </w:pPr>
      <w:r>
        <w:rPr/>
        <w:t>in teaching, professional development and collaborative research.</w:t>
      </w:r>
    </w:p>
    <w:p>
      <w:pPr>
        <w:pStyle w:val="BodyText"/>
        <w:rPr>
          <w:sz w:val="14"/>
        </w:rPr>
      </w:pPr>
    </w:p>
    <w:p>
      <w:pPr>
        <w:pStyle w:val="BodyText"/>
        <w:spacing w:line="249" w:lineRule="auto"/>
        <w:ind w:left="107" w:right="82"/>
      </w:pPr>
      <w:r>
        <w:rPr/>
        <w:t>The Education Knowledge Network (EKN), under the leadership of Associate Professor Catherine Attard, continued to expand its offerings and reach, providing workshops at both the Proficient and Highly Accomplished levels.</w:t>
      </w:r>
      <w:r>
        <w:rPr>
          <w:spacing w:val="-21"/>
        </w:rPr>
        <w:t> </w:t>
      </w:r>
      <w:r>
        <w:rPr/>
        <w:t>Dedicated</w:t>
      </w:r>
      <w:r>
        <w:rPr>
          <w:spacing w:val="-21"/>
        </w:rPr>
        <w:t> </w:t>
      </w:r>
      <w:r>
        <w:rPr/>
        <w:t>professional</w:t>
      </w:r>
      <w:r>
        <w:rPr>
          <w:spacing w:val="-21"/>
        </w:rPr>
        <w:t> </w:t>
      </w:r>
      <w:r>
        <w:rPr/>
        <w:t>support</w:t>
      </w:r>
      <w:r>
        <w:rPr>
          <w:spacing w:val="-21"/>
        </w:rPr>
        <w:t> </w:t>
      </w:r>
      <w:r>
        <w:rPr/>
        <w:t>enabled a greater marketing effort, which, with the production of a high-quality prospectus for distribution to schools, has consolidated the popularity of the program. The EKN is now being approached by local school partners to provide</w:t>
      </w:r>
      <w:r>
        <w:rPr>
          <w:spacing w:val="-15"/>
        </w:rPr>
        <w:t> </w:t>
      </w:r>
      <w:r>
        <w:rPr/>
        <w:t>bespoke</w:t>
      </w:r>
      <w:r>
        <w:rPr>
          <w:spacing w:val="-15"/>
        </w:rPr>
        <w:t> </w:t>
      </w:r>
      <w:r>
        <w:rPr/>
        <w:t>professional</w:t>
      </w:r>
      <w:r>
        <w:rPr>
          <w:spacing w:val="-15"/>
        </w:rPr>
        <w:t> </w:t>
      </w:r>
      <w:r>
        <w:rPr/>
        <w:t>development</w:t>
      </w:r>
      <w:r>
        <w:rPr>
          <w:spacing w:val="-15"/>
        </w:rPr>
        <w:t> </w:t>
      </w:r>
      <w:r>
        <w:rPr/>
        <w:t>for their</w:t>
      </w:r>
      <w:r>
        <w:rPr>
          <w:spacing w:val="-26"/>
        </w:rPr>
        <w:t> </w:t>
      </w:r>
      <w:r>
        <w:rPr/>
        <w:t>staff</w:t>
      </w:r>
      <w:r>
        <w:rPr>
          <w:spacing w:val="-26"/>
        </w:rPr>
        <w:t> </w:t>
      </w:r>
      <w:r>
        <w:rPr/>
        <w:t>members.</w:t>
      </w:r>
    </w:p>
    <w:p>
      <w:pPr>
        <w:spacing w:after="0" w:line="249" w:lineRule="auto"/>
        <w:sectPr>
          <w:type w:val="continuous"/>
          <w:pgSz w:w="11910" w:h="16840"/>
          <w:pgMar w:top="1580" w:bottom="280" w:left="800" w:right="800"/>
          <w:cols w:num="3" w:equalWidth="0">
            <w:col w:w="3297" w:space="143"/>
            <w:col w:w="3312" w:space="128"/>
            <w:col w:w="3430"/>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77"/>
      </w:pPr>
      <w:r>
        <w:rPr/>
        <w:t>Providing the highest-quality professional experience for its pre-service teachers remains</w:t>
      </w:r>
      <w:r>
        <w:rPr>
          <w:spacing w:val="-18"/>
        </w:rPr>
        <w:t> </w:t>
      </w:r>
      <w:r>
        <w:rPr/>
        <w:t>a</w:t>
      </w:r>
      <w:r>
        <w:rPr>
          <w:spacing w:val="-18"/>
        </w:rPr>
        <w:t> </w:t>
      </w:r>
      <w:r>
        <w:rPr/>
        <w:t>key</w:t>
      </w:r>
      <w:r>
        <w:rPr>
          <w:spacing w:val="-18"/>
        </w:rPr>
        <w:t> </w:t>
      </w:r>
      <w:r>
        <w:rPr/>
        <w:t>driver</w:t>
      </w:r>
      <w:r>
        <w:rPr>
          <w:spacing w:val="-18"/>
        </w:rPr>
        <w:t> </w:t>
      </w:r>
      <w:r>
        <w:rPr/>
        <w:t>of</w:t>
      </w:r>
      <w:r>
        <w:rPr>
          <w:spacing w:val="-18"/>
        </w:rPr>
        <w:t> </w:t>
      </w:r>
      <w:r>
        <w:rPr/>
        <w:t>the</w:t>
      </w:r>
      <w:r>
        <w:rPr>
          <w:spacing w:val="-18"/>
        </w:rPr>
        <w:t> </w:t>
      </w:r>
      <w:r>
        <w:rPr/>
        <w:t>School’s</w:t>
      </w:r>
      <w:r>
        <w:rPr>
          <w:spacing w:val="-18"/>
        </w:rPr>
        <w:t> </w:t>
      </w:r>
      <w:r>
        <w:rPr/>
        <w:t>activities. </w:t>
      </w:r>
      <w:r>
        <w:rPr>
          <w:spacing w:val="1"/>
          <w:w w:val="80"/>
        </w:rPr>
        <w:t>In</w:t>
      </w:r>
      <w:r>
        <w:rPr>
          <w:w w:val="80"/>
        </w:rPr>
        <w:t> </w:t>
      </w:r>
      <w:r>
        <w:rPr>
          <w:spacing w:val="2"/>
          <w:w w:val="85"/>
        </w:rPr>
        <w:t>2016,</w:t>
      </w:r>
      <w:r>
        <w:rPr>
          <w:w w:val="85"/>
        </w:rPr>
        <w:t> </w:t>
      </w:r>
      <w:r>
        <w:rPr>
          <w:spacing w:val="1"/>
          <w:w w:val="97"/>
        </w:rPr>
        <w:t>led</w:t>
      </w:r>
      <w:r>
        <w:rPr>
          <w:w w:val="97"/>
        </w:rPr>
        <w:t> </w:t>
      </w:r>
      <w:r>
        <w:rPr>
          <w:spacing w:val="-1"/>
          <w:w w:val="102"/>
        </w:rPr>
        <w:t>by</w:t>
      </w:r>
      <w:r>
        <w:rPr>
          <w:w w:val="102"/>
        </w:rPr>
        <w:t> </w:t>
      </w:r>
      <w:r>
        <w:rPr>
          <w:spacing w:val="1"/>
          <w:w w:val="98"/>
        </w:rPr>
        <w:t>Director</w:t>
      </w:r>
      <w:r>
        <w:rPr>
          <w:w w:val="98"/>
        </w:rPr>
        <w:t> </w:t>
      </w:r>
      <w:r>
        <w:rPr>
          <w:w w:val="99"/>
        </w:rPr>
        <w:t>of </w:t>
      </w:r>
      <w:r>
        <w:rPr>
          <w:spacing w:val="1"/>
          <w:w w:val="97"/>
        </w:rPr>
        <w:t>Professional</w:t>
      </w:r>
      <w:r>
        <w:rPr>
          <w:w w:val="97"/>
        </w:rPr>
        <w:t> </w:t>
      </w:r>
      <w:r>
        <w:rPr/>
        <w:t>Experience Dr Tania Ferfolja, the School increased its partnerships and boutique collaborations with schools. This led to its pre-service teachers visiting Moree High School</w:t>
      </w:r>
      <w:r>
        <w:rPr>
          <w:spacing w:val="-13"/>
        </w:rPr>
        <w:t> </w:t>
      </w:r>
      <w:r>
        <w:rPr/>
        <w:t>and</w:t>
      </w:r>
      <w:r>
        <w:rPr>
          <w:spacing w:val="-13"/>
        </w:rPr>
        <w:t> </w:t>
      </w:r>
      <w:r>
        <w:rPr/>
        <w:t>Moree</w:t>
      </w:r>
      <w:r>
        <w:rPr>
          <w:spacing w:val="-13"/>
        </w:rPr>
        <w:t> </w:t>
      </w:r>
      <w:r>
        <w:rPr/>
        <w:t>East</w:t>
      </w:r>
      <w:r>
        <w:rPr>
          <w:spacing w:val="-13"/>
        </w:rPr>
        <w:t> </w:t>
      </w:r>
      <w:r>
        <w:rPr/>
        <w:t>Public</w:t>
      </w:r>
      <w:r>
        <w:rPr>
          <w:spacing w:val="-13"/>
        </w:rPr>
        <w:t> </w:t>
      </w:r>
      <w:r>
        <w:rPr/>
        <w:t>School,</w:t>
      </w:r>
      <w:r>
        <w:rPr>
          <w:spacing w:val="-13"/>
        </w:rPr>
        <w:t> </w:t>
      </w:r>
      <w:r>
        <w:rPr/>
        <w:t>with</w:t>
      </w:r>
    </w:p>
    <w:p>
      <w:pPr>
        <w:pStyle w:val="BodyText"/>
        <w:spacing w:line="249" w:lineRule="auto"/>
        <w:ind w:left="107" w:right="64"/>
      </w:pPr>
      <w:r>
        <w:rPr/>
        <w:t>three</w:t>
      </w:r>
      <w:r>
        <w:rPr>
          <w:spacing w:val="-19"/>
        </w:rPr>
        <w:t> </w:t>
      </w:r>
      <w:r>
        <w:rPr/>
        <w:t>taking</w:t>
      </w:r>
      <w:r>
        <w:rPr>
          <w:spacing w:val="-19"/>
        </w:rPr>
        <w:t> </w:t>
      </w:r>
      <w:r>
        <w:rPr/>
        <w:t>up</w:t>
      </w:r>
      <w:r>
        <w:rPr>
          <w:spacing w:val="-19"/>
        </w:rPr>
        <w:t> </w:t>
      </w:r>
      <w:r>
        <w:rPr/>
        <w:t>positions</w:t>
      </w:r>
      <w:r>
        <w:rPr>
          <w:spacing w:val="-19"/>
        </w:rPr>
        <w:t> </w:t>
      </w:r>
      <w:r>
        <w:rPr/>
        <w:t>in</w:t>
      </w:r>
      <w:r>
        <w:rPr>
          <w:spacing w:val="-19"/>
        </w:rPr>
        <w:t> </w:t>
      </w:r>
      <w:r>
        <w:rPr/>
        <w:t>rural</w:t>
      </w:r>
      <w:r>
        <w:rPr>
          <w:spacing w:val="-19"/>
        </w:rPr>
        <w:t> </w:t>
      </w:r>
      <w:r>
        <w:rPr/>
        <w:t>regions.</w:t>
      </w:r>
      <w:r>
        <w:rPr>
          <w:spacing w:val="-19"/>
        </w:rPr>
        <w:t> </w:t>
      </w:r>
      <w:r>
        <w:rPr/>
        <w:t>This partnership also helped 60 of the School’s pre-service teachers learn more about Aboriginal</w:t>
      </w:r>
      <w:r>
        <w:rPr>
          <w:spacing w:val="-20"/>
        </w:rPr>
        <w:t> </w:t>
      </w:r>
      <w:r>
        <w:rPr/>
        <w:t>and</w:t>
      </w:r>
      <w:r>
        <w:rPr>
          <w:spacing w:val="-20"/>
        </w:rPr>
        <w:t> </w:t>
      </w:r>
      <w:r>
        <w:rPr/>
        <w:t>Torres</w:t>
      </w:r>
      <w:r>
        <w:rPr>
          <w:spacing w:val="-20"/>
        </w:rPr>
        <w:t> </w:t>
      </w:r>
      <w:r>
        <w:rPr/>
        <w:t>Strait</w:t>
      </w:r>
      <w:r>
        <w:rPr>
          <w:spacing w:val="-20"/>
        </w:rPr>
        <w:t> </w:t>
      </w:r>
      <w:r>
        <w:rPr/>
        <w:t>Islander</w:t>
      </w:r>
      <w:r>
        <w:rPr>
          <w:spacing w:val="-20"/>
        </w:rPr>
        <w:t> </w:t>
      </w:r>
      <w:r>
        <w:rPr/>
        <w:t>histories and cultures through the Healthy Country Healthy Culture program. This program was sponsored by the Department of Education and conducted by the Aboriginal Education Consultative</w:t>
      </w:r>
      <w:r>
        <w:rPr>
          <w:spacing w:val="-30"/>
        </w:rPr>
        <w:t> </w:t>
      </w:r>
      <w:r>
        <w:rPr/>
        <w:t>Group.</w:t>
      </w:r>
    </w:p>
    <w:p>
      <w:pPr>
        <w:pStyle w:val="BodyText"/>
        <w:rPr>
          <w:sz w:val="14"/>
        </w:rPr>
      </w:pPr>
    </w:p>
    <w:p>
      <w:pPr>
        <w:pStyle w:val="BodyText"/>
        <w:spacing w:line="249" w:lineRule="auto"/>
        <w:ind w:left="107" w:right="209"/>
      </w:pPr>
      <w:r>
        <w:rPr/>
        <w:t>The School launched the Future Teacher Network</w:t>
      </w:r>
      <w:r>
        <w:rPr>
          <w:spacing w:val="-13"/>
        </w:rPr>
        <w:t> </w:t>
      </w:r>
      <w:r>
        <w:rPr/>
        <w:t>in</w:t>
      </w:r>
      <w:r>
        <w:rPr>
          <w:spacing w:val="-13"/>
        </w:rPr>
        <w:t> </w:t>
      </w:r>
      <w:r>
        <w:rPr/>
        <w:t>November</w:t>
      </w:r>
      <w:r>
        <w:rPr>
          <w:spacing w:val="-13"/>
        </w:rPr>
        <w:t> </w:t>
      </w:r>
      <w:r>
        <w:rPr/>
        <w:t>as</w:t>
      </w:r>
      <w:r>
        <w:rPr>
          <w:spacing w:val="-13"/>
        </w:rPr>
        <w:t> </w:t>
      </w:r>
      <w:r>
        <w:rPr>
          <w:spacing w:val="2"/>
        </w:rPr>
        <w:t>part</w:t>
      </w:r>
      <w:r>
        <w:rPr>
          <w:spacing w:val="-13"/>
        </w:rPr>
        <w:t> </w:t>
      </w:r>
      <w:r>
        <w:rPr/>
        <w:t>of</w:t>
      </w:r>
      <w:r>
        <w:rPr>
          <w:spacing w:val="-13"/>
        </w:rPr>
        <w:t> </w:t>
      </w:r>
      <w:r>
        <w:rPr/>
        <w:t>its</w:t>
      </w:r>
      <w:r>
        <w:rPr>
          <w:spacing w:val="-13"/>
        </w:rPr>
        <w:t> </w:t>
      </w:r>
      <w:r>
        <w:rPr/>
        <w:t>efforts to build a strong alumni network. This will provide a platform for current students and</w:t>
      </w:r>
      <w:r>
        <w:rPr>
          <w:spacing w:val="-15"/>
        </w:rPr>
        <w:t> </w:t>
      </w:r>
      <w:r>
        <w:rPr/>
        <w:t>prospective</w:t>
      </w:r>
      <w:r>
        <w:rPr>
          <w:spacing w:val="-15"/>
        </w:rPr>
        <w:t> </w:t>
      </w:r>
      <w:r>
        <w:rPr/>
        <w:t>pre-service</w:t>
      </w:r>
      <w:r>
        <w:rPr>
          <w:spacing w:val="-15"/>
        </w:rPr>
        <w:t> </w:t>
      </w:r>
      <w:r>
        <w:rPr/>
        <w:t>teachers</w:t>
      </w:r>
      <w:r>
        <w:rPr>
          <w:spacing w:val="-15"/>
        </w:rPr>
        <w:t> </w:t>
      </w:r>
      <w:r>
        <w:rPr/>
        <w:t>in</w:t>
      </w:r>
      <w:r>
        <w:rPr>
          <w:spacing w:val="-15"/>
        </w:rPr>
        <w:t> </w:t>
      </w:r>
      <w:r>
        <w:rPr/>
        <w:t>the Pathways programs to build relationships with the School and foster their ongoing professional development and connection with</w:t>
      </w:r>
      <w:r>
        <w:rPr>
          <w:spacing w:val="-19"/>
        </w:rPr>
        <w:t> </w:t>
      </w:r>
      <w:r>
        <w:rPr/>
        <w:t>the</w:t>
      </w:r>
      <w:r>
        <w:rPr>
          <w:spacing w:val="-19"/>
        </w:rPr>
        <w:t> </w:t>
      </w:r>
      <w:r>
        <w:rPr/>
        <w:t>University</w:t>
      </w:r>
      <w:r>
        <w:rPr>
          <w:spacing w:val="-19"/>
        </w:rPr>
        <w:t> </w:t>
      </w:r>
      <w:r>
        <w:rPr/>
        <w:t>after</w:t>
      </w:r>
      <w:r>
        <w:rPr>
          <w:spacing w:val="-19"/>
        </w:rPr>
        <w:t> </w:t>
      </w:r>
      <w:r>
        <w:rPr/>
        <w:t>graduation.</w:t>
      </w:r>
    </w:p>
    <w:p>
      <w:pPr>
        <w:pStyle w:val="BodyText"/>
        <w:rPr>
          <w:sz w:val="14"/>
        </w:rPr>
      </w:pPr>
    </w:p>
    <w:p>
      <w:pPr>
        <w:pStyle w:val="BodyText"/>
        <w:spacing w:line="249" w:lineRule="auto"/>
        <w:ind w:left="107" w:right="80"/>
      </w:pPr>
      <w:r>
        <w:rPr/>
        <w:t>The School’s international engagement focuses on higher degree research (HDR) cohort programs; research partnerships; overseas professional experience programs; and onshore and offshore short courses for </w:t>
      </w:r>
      <w:r>
        <w:rPr>
          <w:w w:val="95"/>
        </w:rPr>
        <w:t>international partners.</w:t>
      </w:r>
    </w:p>
    <w:p>
      <w:pPr>
        <w:pStyle w:val="BodyText"/>
        <w:rPr>
          <w:sz w:val="14"/>
        </w:rPr>
      </w:pPr>
    </w:p>
    <w:p>
      <w:pPr>
        <w:pStyle w:val="BodyText"/>
        <w:spacing w:line="249" w:lineRule="auto"/>
        <w:ind w:left="107"/>
      </w:pPr>
      <w:r>
        <w:rPr/>
        <w:t>The Research Oriented School Engaged Teacher-researcher Education </w:t>
      </w:r>
      <w:r>
        <w:rPr>
          <w:spacing w:val="2"/>
        </w:rPr>
        <w:t>(ROSETE) </w:t>
      </w:r>
      <w:r>
        <w:rPr/>
        <w:t>Program – a partnership between the University, the Ningbo Municipal Education Bureau and the NSW Department of </w:t>
      </w:r>
      <w:r>
        <w:rPr>
          <w:spacing w:val="1"/>
          <w:w w:val="98"/>
        </w:rPr>
        <w:t>Education</w:t>
      </w:r>
      <w:r>
        <w:rPr>
          <w:w w:val="98"/>
        </w:rPr>
        <w:t> </w:t>
      </w:r>
      <w:r>
        <w:rPr>
          <w:w w:val="89"/>
        </w:rPr>
        <w:t>– </w:t>
      </w:r>
      <w:r>
        <w:rPr>
          <w:spacing w:val="1"/>
          <w:w w:val="98"/>
        </w:rPr>
        <w:t>celebrated</w:t>
      </w:r>
      <w:r>
        <w:rPr>
          <w:w w:val="98"/>
        </w:rPr>
        <w:t> </w:t>
      </w:r>
      <w:r>
        <w:rPr>
          <w:spacing w:val="1"/>
          <w:w w:val="97"/>
        </w:rPr>
        <w:t>its</w:t>
      </w:r>
      <w:r>
        <w:rPr>
          <w:w w:val="97"/>
        </w:rPr>
        <w:t> </w:t>
      </w:r>
      <w:r>
        <w:rPr>
          <w:spacing w:val="1"/>
          <w:w w:val="90"/>
        </w:rPr>
        <w:t>10th</w:t>
      </w:r>
      <w:r>
        <w:rPr>
          <w:w w:val="90"/>
        </w:rPr>
        <w:t> </w:t>
      </w:r>
      <w:r>
        <w:rPr>
          <w:spacing w:val="1"/>
          <w:w w:val="96"/>
        </w:rPr>
        <w:t>anniversary</w:t>
      </w:r>
      <w:r>
        <w:rPr>
          <w:w w:val="96"/>
        </w:rPr>
        <w:t> </w:t>
      </w:r>
      <w:r>
        <w:rPr>
          <w:w w:val="95"/>
        </w:rPr>
        <w:t>in </w:t>
      </w:r>
      <w:r>
        <w:rPr>
          <w:spacing w:val="2"/>
          <w:w w:val="85"/>
        </w:rPr>
        <w:t>2016.</w:t>
      </w:r>
      <w:r>
        <w:rPr>
          <w:w w:val="85"/>
        </w:rPr>
        <w:t> </w:t>
      </w:r>
      <w:r>
        <w:rPr>
          <w:spacing w:val="1"/>
          <w:w w:val="94"/>
        </w:rPr>
        <w:t>The</w:t>
      </w:r>
      <w:r>
        <w:rPr>
          <w:w w:val="94"/>
        </w:rPr>
        <w:t> </w:t>
      </w:r>
      <w:r>
        <w:rPr>
          <w:spacing w:val="1"/>
          <w:w w:val="98"/>
        </w:rPr>
        <w:t>program</w:t>
      </w:r>
      <w:r>
        <w:rPr>
          <w:w w:val="98"/>
        </w:rPr>
        <w:t> </w:t>
      </w:r>
      <w:r>
        <w:rPr>
          <w:spacing w:val="1"/>
          <w:w w:val="97"/>
        </w:rPr>
        <w:t>continues</w:t>
      </w:r>
      <w:r>
        <w:rPr>
          <w:w w:val="97"/>
        </w:rPr>
        <w:t> </w:t>
      </w:r>
      <w:r>
        <w:rPr>
          <w:spacing w:val="-1"/>
          <w:w w:val="101"/>
        </w:rPr>
        <w:t>to</w:t>
      </w:r>
      <w:r>
        <w:rPr>
          <w:w w:val="101"/>
        </w:rPr>
        <w:t> </w:t>
      </w:r>
      <w:r>
        <w:rPr>
          <w:spacing w:val="1"/>
          <w:w w:val="98"/>
        </w:rPr>
        <w:t>expand</w:t>
      </w:r>
      <w:r>
        <w:rPr>
          <w:w w:val="98"/>
        </w:rPr>
        <w:t> </w:t>
      </w:r>
      <w:r>
        <w:rPr>
          <w:spacing w:val="1"/>
          <w:w w:val="97"/>
        </w:rPr>
        <w:t>and</w:t>
      </w:r>
      <w:r>
        <w:rPr>
          <w:w w:val="97"/>
        </w:rPr>
        <w:t> </w:t>
      </w:r>
      <w:r>
        <w:rPr/>
        <w:t>develop, promoting study at both a PhD and masters</w:t>
      </w:r>
      <w:r>
        <w:rPr>
          <w:spacing w:val="-14"/>
        </w:rPr>
        <w:t> </w:t>
      </w:r>
      <w:r>
        <w:rPr/>
        <w:t>level.</w:t>
      </w:r>
      <w:r>
        <w:rPr>
          <w:spacing w:val="-14"/>
        </w:rPr>
        <w:t> </w:t>
      </w:r>
      <w:r>
        <w:rPr/>
        <w:t>The</w:t>
      </w:r>
      <w:r>
        <w:rPr>
          <w:spacing w:val="-14"/>
        </w:rPr>
        <w:t> </w:t>
      </w:r>
      <w:r>
        <w:rPr/>
        <w:t>Support</w:t>
      </w:r>
      <w:r>
        <w:rPr>
          <w:spacing w:val="-14"/>
        </w:rPr>
        <w:t> </w:t>
      </w:r>
      <w:r>
        <w:rPr/>
        <w:t>Network</w:t>
      </w:r>
      <w:r>
        <w:rPr>
          <w:spacing w:val="-14"/>
        </w:rPr>
        <w:t> </w:t>
      </w:r>
      <w:r>
        <w:rPr/>
        <w:t>for</w:t>
      </w:r>
      <w:r>
        <w:rPr>
          <w:spacing w:val="-14"/>
        </w:rPr>
        <w:t> </w:t>
      </w:r>
      <w:r>
        <w:rPr/>
        <w:t>Arabic Postgraduates (SNAP), for doctoral students, </w:t>
      </w:r>
      <w:r>
        <w:rPr>
          <w:spacing w:val="1"/>
          <w:w w:val="97"/>
        </w:rPr>
        <w:t>had</w:t>
      </w:r>
      <w:r>
        <w:rPr>
          <w:w w:val="97"/>
        </w:rPr>
        <w:t> </w:t>
      </w:r>
      <w:r>
        <w:rPr>
          <w:w w:val="97"/>
        </w:rPr>
        <w:t>new </w:t>
      </w:r>
      <w:r>
        <w:rPr>
          <w:spacing w:val="1"/>
          <w:w w:val="97"/>
        </w:rPr>
        <w:t>enrolments</w:t>
      </w:r>
      <w:r>
        <w:rPr>
          <w:w w:val="97"/>
        </w:rPr>
        <w:t> </w:t>
      </w:r>
      <w:r>
        <w:rPr>
          <w:w w:val="95"/>
        </w:rPr>
        <w:t>in</w:t>
      </w:r>
      <w:r>
        <w:rPr>
          <w:spacing w:val="-26"/>
          <w:w w:val="95"/>
        </w:rPr>
        <w:t> </w:t>
      </w:r>
      <w:r>
        <w:rPr>
          <w:spacing w:val="2"/>
          <w:w w:val="85"/>
        </w:rPr>
        <w:t>2016.</w:t>
      </w:r>
    </w:p>
    <w:p>
      <w:pPr>
        <w:pStyle w:val="BodyText"/>
        <w:rPr>
          <w:sz w:val="14"/>
        </w:rPr>
      </w:pPr>
    </w:p>
    <w:p>
      <w:pPr>
        <w:pStyle w:val="BodyText"/>
        <w:spacing w:line="249" w:lineRule="auto"/>
        <w:ind w:left="107" w:right="279"/>
      </w:pPr>
      <w:r>
        <w:rPr/>
        <w:t>International research partnerships such as</w:t>
      </w:r>
      <w:r>
        <w:rPr>
          <w:spacing w:val="-17"/>
        </w:rPr>
        <w:t> </w:t>
      </w:r>
      <w:r>
        <w:rPr/>
        <w:t>the</w:t>
      </w:r>
      <w:r>
        <w:rPr>
          <w:spacing w:val="-17"/>
        </w:rPr>
        <w:t> </w:t>
      </w:r>
      <w:r>
        <w:rPr/>
        <w:t>Futuro</w:t>
      </w:r>
      <w:r>
        <w:rPr>
          <w:spacing w:val="-17"/>
        </w:rPr>
        <w:t> </w:t>
      </w:r>
      <w:r>
        <w:rPr/>
        <w:t>Infantil</w:t>
      </w:r>
      <w:r>
        <w:rPr>
          <w:spacing w:val="-17"/>
        </w:rPr>
        <w:t> </w:t>
      </w:r>
      <w:r>
        <w:rPr/>
        <w:t>Hoy</w:t>
      </w:r>
      <w:r>
        <w:rPr>
          <w:spacing w:val="-17"/>
        </w:rPr>
        <w:t> </w:t>
      </w:r>
      <w:r>
        <w:rPr/>
        <w:t>project</w:t>
      </w:r>
      <w:r>
        <w:rPr>
          <w:spacing w:val="-17"/>
        </w:rPr>
        <w:t> </w:t>
      </w:r>
      <w:r>
        <w:rPr/>
        <w:t>in</w:t>
      </w:r>
      <w:r>
        <w:rPr>
          <w:spacing w:val="-17"/>
        </w:rPr>
        <w:t> </w:t>
      </w:r>
      <w:r>
        <w:rPr/>
        <w:t>Chile remain</w:t>
      </w:r>
      <w:r>
        <w:rPr>
          <w:spacing w:val="-16"/>
        </w:rPr>
        <w:t> </w:t>
      </w:r>
      <w:r>
        <w:rPr/>
        <w:t>central</w:t>
      </w:r>
      <w:r>
        <w:rPr>
          <w:spacing w:val="-16"/>
        </w:rPr>
        <w:t> </w:t>
      </w:r>
      <w:r>
        <w:rPr/>
        <w:t>to</w:t>
      </w:r>
      <w:r>
        <w:rPr>
          <w:spacing w:val="-16"/>
        </w:rPr>
        <w:t> </w:t>
      </w:r>
      <w:r>
        <w:rPr/>
        <w:t>the</w:t>
      </w:r>
      <w:r>
        <w:rPr>
          <w:spacing w:val="-16"/>
        </w:rPr>
        <w:t> </w:t>
      </w:r>
      <w:r>
        <w:rPr/>
        <w:t>life</w:t>
      </w:r>
      <w:r>
        <w:rPr>
          <w:spacing w:val="-16"/>
        </w:rPr>
        <w:t> </w:t>
      </w:r>
      <w:r>
        <w:rPr/>
        <w:t>of</w:t>
      </w:r>
      <w:r>
        <w:rPr>
          <w:spacing w:val="-16"/>
        </w:rPr>
        <w:t> </w:t>
      </w:r>
      <w:r>
        <w:rPr/>
        <w:t>the</w:t>
      </w:r>
      <w:r>
        <w:rPr>
          <w:spacing w:val="-16"/>
        </w:rPr>
        <w:t> </w:t>
      </w:r>
      <w:r>
        <w:rPr/>
        <w:t>School</w:t>
      </w:r>
      <w:r>
        <w:rPr>
          <w:spacing w:val="-16"/>
        </w:rPr>
        <w:t> </w:t>
      </w:r>
      <w:r>
        <w:rPr/>
        <w:t>and</w:t>
      </w:r>
    </w:p>
    <w:p>
      <w:pPr>
        <w:pStyle w:val="BodyText"/>
        <w:spacing w:line="249" w:lineRule="auto"/>
        <w:ind w:left="107" w:right="58"/>
      </w:pPr>
      <w:r>
        <w:rPr/>
        <w:t>enhance its reputation internationally. Other projects in Kazakhstan and South America continue to raise the School’s profile and </w:t>
      </w:r>
      <w:r>
        <w:rPr>
          <w:w w:val="98"/>
        </w:rPr>
        <w:t>reputation </w:t>
      </w:r>
      <w:r>
        <w:rPr>
          <w:w w:val="98"/>
        </w:rPr>
        <w:t>for </w:t>
      </w:r>
      <w:r>
        <w:rPr>
          <w:w w:val="98"/>
        </w:rPr>
        <w:t>engaged </w:t>
      </w:r>
      <w:r>
        <w:rPr>
          <w:w w:val="93"/>
        </w:rPr>
        <w:t>research. </w:t>
      </w:r>
      <w:r>
        <w:rPr>
          <w:w w:val="80"/>
        </w:rPr>
        <w:t>In </w:t>
      </w:r>
      <w:r>
        <w:rPr>
          <w:w w:val="85"/>
        </w:rPr>
        <w:t>2016,</w:t>
      </w:r>
    </w:p>
    <w:p>
      <w:pPr>
        <w:pStyle w:val="BodyText"/>
        <w:spacing w:before="10"/>
      </w:pPr>
      <w:r>
        <w:rPr/>
        <w:br w:type="column"/>
      </w:r>
      <w:r>
        <w:rPr/>
      </w:r>
    </w:p>
    <w:p>
      <w:pPr>
        <w:pStyle w:val="BodyText"/>
        <w:spacing w:line="249" w:lineRule="auto"/>
        <w:ind w:left="107" w:right="341"/>
      </w:pPr>
      <w:r>
        <w:rPr/>
        <w:t>the School focused on building stronger connections with University partners in Taiwan.</w:t>
      </w:r>
      <w:r>
        <w:rPr>
          <w:spacing w:val="-21"/>
        </w:rPr>
        <w:t> </w:t>
      </w:r>
      <w:r>
        <w:rPr/>
        <w:t>This</w:t>
      </w:r>
      <w:r>
        <w:rPr>
          <w:spacing w:val="-21"/>
        </w:rPr>
        <w:t> </w:t>
      </w:r>
      <w:r>
        <w:rPr/>
        <w:t>included</w:t>
      </w:r>
      <w:r>
        <w:rPr>
          <w:spacing w:val="-21"/>
        </w:rPr>
        <w:t> </w:t>
      </w:r>
      <w:r>
        <w:rPr/>
        <w:t>a</w:t>
      </w:r>
      <w:r>
        <w:rPr>
          <w:spacing w:val="-21"/>
        </w:rPr>
        <w:t> </w:t>
      </w:r>
      <w:r>
        <w:rPr/>
        <w:t>visit</w:t>
      </w:r>
      <w:r>
        <w:rPr>
          <w:spacing w:val="-21"/>
        </w:rPr>
        <w:t> </w:t>
      </w:r>
      <w:r>
        <w:rPr/>
        <w:t>to</w:t>
      </w:r>
      <w:r>
        <w:rPr>
          <w:spacing w:val="-21"/>
        </w:rPr>
        <w:t> </w:t>
      </w:r>
      <w:r>
        <w:rPr/>
        <w:t>Taiwan</w:t>
      </w:r>
      <w:r>
        <w:rPr>
          <w:spacing w:val="-21"/>
        </w:rPr>
        <w:t> </w:t>
      </w:r>
      <w:r>
        <w:rPr/>
        <w:t>by a University delegation led by Professor </w:t>
      </w:r>
      <w:r>
        <w:rPr>
          <w:spacing w:val="2"/>
        </w:rPr>
        <w:t>Yi-Chen</w:t>
      </w:r>
      <w:r>
        <w:rPr>
          <w:spacing w:val="-21"/>
        </w:rPr>
        <w:t> </w:t>
      </w:r>
      <w:r>
        <w:rPr>
          <w:spacing w:val="2"/>
        </w:rPr>
        <w:t>Lan,</w:t>
      </w:r>
      <w:r>
        <w:rPr>
          <w:spacing w:val="-21"/>
        </w:rPr>
        <w:t> </w:t>
      </w:r>
      <w:r>
        <w:rPr/>
        <w:t>which</w:t>
      </w:r>
      <w:r>
        <w:rPr>
          <w:spacing w:val="-21"/>
        </w:rPr>
        <w:t> </w:t>
      </w:r>
      <w:r>
        <w:rPr/>
        <w:t>resulted</w:t>
      </w:r>
      <w:r>
        <w:rPr>
          <w:spacing w:val="-21"/>
        </w:rPr>
        <w:t> </w:t>
      </w:r>
      <w:r>
        <w:rPr/>
        <w:t>in</w:t>
      </w:r>
      <w:r>
        <w:rPr>
          <w:spacing w:val="-21"/>
        </w:rPr>
        <w:t> </w:t>
      </w:r>
      <w:r>
        <w:rPr/>
        <w:t>interesting partnership</w:t>
      </w:r>
      <w:r>
        <w:rPr>
          <w:spacing w:val="-14"/>
        </w:rPr>
        <w:t> </w:t>
      </w:r>
      <w:r>
        <w:rPr/>
        <w:t>opportunities</w:t>
      </w:r>
      <w:r>
        <w:rPr>
          <w:spacing w:val="-14"/>
        </w:rPr>
        <w:t> </w:t>
      </w:r>
      <w:r>
        <w:rPr/>
        <w:t>for</w:t>
      </w:r>
      <w:r>
        <w:rPr>
          <w:spacing w:val="-14"/>
        </w:rPr>
        <w:t> </w:t>
      </w:r>
      <w:r>
        <w:rPr/>
        <w:t>short-term</w:t>
      </w:r>
    </w:p>
    <w:p>
      <w:pPr>
        <w:pStyle w:val="BodyText"/>
        <w:spacing w:line="249" w:lineRule="auto"/>
        <w:ind w:left="107" w:right="131"/>
      </w:pPr>
      <w:r>
        <w:rPr/>
        <w:t>mobility programs, research collaborations, and</w:t>
      </w:r>
      <w:r>
        <w:rPr>
          <w:spacing w:val="-16"/>
        </w:rPr>
        <w:t> </w:t>
      </w:r>
      <w:r>
        <w:rPr/>
        <w:t>staff</w:t>
      </w:r>
      <w:r>
        <w:rPr>
          <w:spacing w:val="-16"/>
        </w:rPr>
        <w:t> </w:t>
      </w:r>
      <w:r>
        <w:rPr/>
        <w:t>and</w:t>
      </w:r>
      <w:r>
        <w:rPr>
          <w:spacing w:val="-16"/>
        </w:rPr>
        <w:t> </w:t>
      </w:r>
      <w:r>
        <w:rPr/>
        <w:t>student</w:t>
      </w:r>
      <w:r>
        <w:rPr>
          <w:spacing w:val="-16"/>
        </w:rPr>
        <w:t> </w:t>
      </w:r>
      <w:r>
        <w:rPr/>
        <w:t>exchange.</w:t>
      </w:r>
      <w:r>
        <w:rPr>
          <w:spacing w:val="-16"/>
        </w:rPr>
        <w:t> </w:t>
      </w:r>
      <w:r>
        <w:rPr/>
        <w:t>School</w:t>
      </w:r>
      <w:r>
        <w:rPr>
          <w:spacing w:val="-16"/>
        </w:rPr>
        <w:t> </w:t>
      </w:r>
      <w:r>
        <w:rPr/>
        <w:t>staff members</w:t>
      </w:r>
      <w:r>
        <w:rPr>
          <w:spacing w:val="-17"/>
        </w:rPr>
        <w:t> </w:t>
      </w:r>
      <w:r>
        <w:rPr/>
        <w:t>presented</w:t>
      </w:r>
      <w:r>
        <w:rPr>
          <w:spacing w:val="-17"/>
        </w:rPr>
        <w:t> </w:t>
      </w:r>
      <w:r>
        <w:rPr/>
        <w:t>papers</w:t>
      </w:r>
      <w:r>
        <w:rPr>
          <w:spacing w:val="-17"/>
        </w:rPr>
        <w:t> </w:t>
      </w:r>
      <w:r>
        <w:rPr/>
        <w:t>on</w:t>
      </w:r>
      <w:r>
        <w:rPr>
          <w:spacing w:val="-17"/>
        </w:rPr>
        <w:t> </w:t>
      </w:r>
      <w:r>
        <w:rPr/>
        <w:t>innovation</w:t>
      </w:r>
    </w:p>
    <w:p>
      <w:pPr>
        <w:pStyle w:val="BodyText"/>
        <w:spacing w:line="249" w:lineRule="auto"/>
        <w:ind w:left="107" w:right="400"/>
      </w:pPr>
      <w:r>
        <w:rPr/>
        <w:t>in teaching and professional experience at the Teacher Education conference held at National Taiwan University.</w:t>
      </w:r>
    </w:p>
    <w:p>
      <w:pPr>
        <w:pStyle w:val="BodyText"/>
        <w:rPr>
          <w:sz w:val="14"/>
        </w:rPr>
      </w:pPr>
    </w:p>
    <w:p>
      <w:pPr>
        <w:pStyle w:val="BodyText"/>
        <w:spacing w:line="249" w:lineRule="auto"/>
        <w:ind w:left="107" w:right="-3"/>
      </w:pPr>
      <w:r>
        <w:rPr/>
        <w:t>The School’s Overseas Professional Experience Program (OPEP) continued to offer students professional and work-based learning</w:t>
      </w:r>
      <w:r>
        <w:rPr>
          <w:spacing w:val="-21"/>
        </w:rPr>
        <w:t> </w:t>
      </w:r>
      <w:r>
        <w:rPr/>
        <w:t>placements</w:t>
      </w:r>
      <w:r>
        <w:rPr>
          <w:spacing w:val="-21"/>
        </w:rPr>
        <w:t> </w:t>
      </w:r>
      <w:r>
        <w:rPr/>
        <w:t>in</w:t>
      </w:r>
      <w:r>
        <w:rPr>
          <w:spacing w:val="-21"/>
        </w:rPr>
        <w:t> </w:t>
      </w:r>
      <w:r>
        <w:rPr/>
        <w:t>China,</w:t>
      </w:r>
      <w:r>
        <w:rPr>
          <w:spacing w:val="-21"/>
        </w:rPr>
        <w:t> </w:t>
      </w:r>
      <w:r>
        <w:rPr/>
        <w:t>Taiwan</w:t>
      </w:r>
      <w:r>
        <w:rPr>
          <w:spacing w:val="-21"/>
        </w:rPr>
        <w:t> </w:t>
      </w:r>
      <w:r>
        <w:rPr/>
        <w:t>and</w:t>
      </w:r>
      <w:r>
        <w:rPr>
          <w:spacing w:val="-21"/>
        </w:rPr>
        <w:t> </w:t>
      </w:r>
      <w:r>
        <w:rPr/>
        <w:t>–</w:t>
      </w:r>
      <w:r>
        <w:rPr>
          <w:spacing w:val="-21"/>
        </w:rPr>
        <w:t> </w:t>
      </w:r>
      <w:r>
        <w:rPr/>
        <w:t>for the first time – </w:t>
      </w:r>
      <w:r>
        <w:rPr>
          <w:spacing w:val="2"/>
        </w:rPr>
        <w:t>Canada, </w:t>
      </w:r>
      <w:r>
        <w:rPr/>
        <w:t>with eight students from the Bachelor of Education (Primary) Aboriginal</w:t>
      </w:r>
      <w:r>
        <w:rPr>
          <w:spacing w:val="-21"/>
        </w:rPr>
        <w:t> </w:t>
      </w:r>
      <w:r>
        <w:rPr/>
        <w:t>and</w:t>
      </w:r>
      <w:r>
        <w:rPr>
          <w:spacing w:val="-21"/>
        </w:rPr>
        <w:t> </w:t>
      </w:r>
      <w:r>
        <w:rPr/>
        <w:t>Torres</w:t>
      </w:r>
      <w:r>
        <w:rPr>
          <w:spacing w:val="-21"/>
        </w:rPr>
        <w:t> </w:t>
      </w:r>
      <w:r>
        <w:rPr/>
        <w:t>Strait</w:t>
      </w:r>
      <w:r>
        <w:rPr>
          <w:spacing w:val="-21"/>
        </w:rPr>
        <w:t> </w:t>
      </w:r>
      <w:r>
        <w:rPr/>
        <w:t>Islander</w:t>
      </w:r>
      <w:r>
        <w:rPr>
          <w:spacing w:val="-21"/>
        </w:rPr>
        <w:t> </w:t>
      </w:r>
      <w:r>
        <w:rPr/>
        <w:t>Education </w:t>
      </w:r>
      <w:r>
        <w:rPr>
          <w:spacing w:val="1"/>
          <w:w w:val="98"/>
        </w:rPr>
        <w:t>program</w:t>
      </w:r>
      <w:r>
        <w:rPr>
          <w:spacing w:val="-7"/>
          <w:w w:val="98"/>
        </w:rPr>
        <w:t> </w:t>
      </w:r>
      <w:r>
        <w:rPr>
          <w:spacing w:val="1"/>
          <w:w w:val="97"/>
        </w:rPr>
        <w:t>taking</w:t>
      </w:r>
      <w:r>
        <w:rPr>
          <w:spacing w:val="-7"/>
          <w:w w:val="97"/>
        </w:rPr>
        <w:t> </w:t>
      </w:r>
      <w:r>
        <w:rPr>
          <w:w w:val="98"/>
        </w:rPr>
        <w:t>up</w:t>
      </w:r>
      <w:r>
        <w:rPr>
          <w:spacing w:val="-8"/>
          <w:w w:val="98"/>
        </w:rPr>
        <w:t> </w:t>
      </w:r>
      <w:r>
        <w:rPr>
          <w:w w:val="97"/>
        </w:rPr>
        <w:t>this</w:t>
      </w:r>
      <w:r>
        <w:rPr>
          <w:spacing w:val="-7"/>
          <w:w w:val="97"/>
        </w:rPr>
        <w:t> </w:t>
      </w:r>
      <w:r>
        <w:rPr>
          <w:spacing w:val="1"/>
          <w:w w:val="99"/>
        </w:rPr>
        <w:t>opportunity</w:t>
      </w:r>
      <w:r>
        <w:rPr>
          <w:spacing w:val="-8"/>
          <w:w w:val="99"/>
        </w:rPr>
        <w:t> </w:t>
      </w:r>
      <w:r>
        <w:rPr>
          <w:w w:val="95"/>
        </w:rPr>
        <w:t>in</w:t>
      </w:r>
      <w:r>
        <w:rPr>
          <w:spacing w:val="-6"/>
          <w:w w:val="95"/>
        </w:rPr>
        <w:t> </w:t>
      </w:r>
      <w:r>
        <w:rPr>
          <w:spacing w:val="2"/>
          <w:w w:val="85"/>
        </w:rPr>
        <w:t>2016.</w:t>
      </w:r>
    </w:p>
    <w:p>
      <w:pPr>
        <w:pStyle w:val="BodyText"/>
        <w:spacing w:before="3"/>
        <w:rPr>
          <w:sz w:val="19"/>
        </w:rPr>
      </w:pPr>
    </w:p>
    <w:p>
      <w:pPr>
        <w:pStyle w:val="Heading7"/>
      </w:pPr>
      <w:r>
        <w:rPr/>
        <w:t>RESEARCH</w:t>
      </w:r>
    </w:p>
    <w:p>
      <w:pPr>
        <w:pStyle w:val="BodyText"/>
        <w:spacing w:line="249" w:lineRule="auto" w:before="58"/>
        <w:ind w:left="107" w:right="213"/>
      </w:pPr>
      <w:r>
        <w:rPr/>
        <w:t>The</w:t>
      </w:r>
      <w:r>
        <w:rPr>
          <w:spacing w:val="-22"/>
        </w:rPr>
        <w:t> </w:t>
      </w:r>
      <w:r>
        <w:rPr/>
        <w:t>Centre</w:t>
      </w:r>
      <w:r>
        <w:rPr>
          <w:spacing w:val="-22"/>
        </w:rPr>
        <w:t> </w:t>
      </w:r>
      <w:r>
        <w:rPr/>
        <w:t>for</w:t>
      </w:r>
      <w:r>
        <w:rPr>
          <w:spacing w:val="-22"/>
        </w:rPr>
        <w:t> </w:t>
      </w:r>
      <w:r>
        <w:rPr/>
        <w:t>Educational</w:t>
      </w:r>
      <w:r>
        <w:rPr>
          <w:spacing w:val="-22"/>
        </w:rPr>
        <w:t> </w:t>
      </w:r>
      <w:r>
        <w:rPr/>
        <w:t>Research</w:t>
      </w:r>
      <w:r>
        <w:rPr>
          <w:spacing w:val="-22"/>
        </w:rPr>
        <w:t> </w:t>
      </w:r>
      <w:r>
        <w:rPr/>
        <w:t>(CER), led by Professor Margaret Somerville, continued its work to develop a strong research</w:t>
      </w:r>
      <w:r>
        <w:rPr>
          <w:spacing w:val="-21"/>
        </w:rPr>
        <w:t> </w:t>
      </w:r>
      <w:r>
        <w:rPr/>
        <w:t>culture</w:t>
      </w:r>
      <w:r>
        <w:rPr>
          <w:spacing w:val="-21"/>
        </w:rPr>
        <w:t> </w:t>
      </w:r>
      <w:r>
        <w:rPr/>
        <w:t>around</w:t>
      </w:r>
      <w:r>
        <w:rPr>
          <w:spacing w:val="-21"/>
        </w:rPr>
        <w:t> </w:t>
      </w:r>
      <w:r>
        <w:rPr/>
        <w:t>the</w:t>
      </w:r>
      <w:r>
        <w:rPr>
          <w:spacing w:val="-21"/>
        </w:rPr>
        <w:t> </w:t>
      </w:r>
      <w:r>
        <w:rPr/>
        <w:t>core</w:t>
      </w:r>
      <w:r>
        <w:rPr>
          <w:spacing w:val="-21"/>
        </w:rPr>
        <w:t> </w:t>
      </w:r>
      <w:r>
        <w:rPr/>
        <w:t>themes</w:t>
      </w:r>
    </w:p>
    <w:p>
      <w:pPr>
        <w:pStyle w:val="BodyText"/>
        <w:spacing w:line="249" w:lineRule="auto"/>
        <w:ind w:left="107" w:right="-2"/>
      </w:pPr>
      <w:r>
        <w:rPr/>
        <w:t>of sustainability, equity and globalisation, supported by research efforts across the School led by Director of Research, Professor Wayne Sawyer. The Centre’s researchers continued to develop new partnerships – within</w:t>
      </w:r>
      <w:r>
        <w:rPr>
          <w:spacing w:val="-18"/>
        </w:rPr>
        <w:t> </w:t>
      </w:r>
      <w:r>
        <w:rPr/>
        <w:t>Western</w:t>
      </w:r>
      <w:r>
        <w:rPr>
          <w:spacing w:val="-18"/>
        </w:rPr>
        <w:t> </w:t>
      </w:r>
      <w:r>
        <w:rPr/>
        <w:t>Sydney</w:t>
      </w:r>
      <w:r>
        <w:rPr>
          <w:spacing w:val="-18"/>
        </w:rPr>
        <w:t> </w:t>
      </w:r>
      <w:r>
        <w:rPr/>
        <w:t>and</w:t>
      </w:r>
      <w:r>
        <w:rPr>
          <w:spacing w:val="-18"/>
        </w:rPr>
        <w:t> </w:t>
      </w:r>
      <w:r>
        <w:rPr/>
        <w:t>also</w:t>
      </w:r>
      <w:r>
        <w:rPr>
          <w:spacing w:val="-18"/>
        </w:rPr>
        <w:t> </w:t>
      </w:r>
      <w:r>
        <w:rPr/>
        <w:t>nationally</w:t>
      </w:r>
      <w:r>
        <w:rPr>
          <w:spacing w:val="-18"/>
        </w:rPr>
        <w:t> </w:t>
      </w:r>
      <w:r>
        <w:rPr/>
        <w:t>and internationally</w:t>
      </w:r>
      <w:r>
        <w:rPr>
          <w:spacing w:val="-19"/>
        </w:rPr>
        <w:t> </w:t>
      </w:r>
      <w:r>
        <w:rPr/>
        <w:t>–</w:t>
      </w:r>
      <w:r>
        <w:rPr>
          <w:spacing w:val="-19"/>
        </w:rPr>
        <w:t> </w:t>
      </w:r>
      <w:r>
        <w:rPr/>
        <w:t>across</w:t>
      </w:r>
      <w:r>
        <w:rPr>
          <w:spacing w:val="-19"/>
        </w:rPr>
        <w:t> </w:t>
      </w:r>
      <w:r>
        <w:rPr/>
        <w:t>these</w:t>
      </w:r>
      <w:r>
        <w:rPr>
          <w:spacing w:val="-19"/>
        </w:rPr>
        <w:t> </w:t>
      </w:r>
      <w:r>
        <w:rPr/>
        <w:t>core</w:t>
      </w:r>
      <w:r>
        <w:rPr>
          <w:spacing w:val="-19"/>
        </w:rPr>
        <w:t> </w:t>
      </w:r>
      <w:r>
        <w:rPr/>
        <w:t>themes,</w:t>
      </w:r>
      <w:r>
        <w:rPr>
          <w:spacing w:val="-19"/>
        </w:rPr>
        <w:t> </w:t>
      </w:r>
      <w:r>
        <w:rPr/>
        <w:t>to support educational research that promotes </w:t>
      </w:r>
      <w:r>
        <w:rPr>
          <w:w w:val="97"/>
        </w:rPr>
        <w:t>lifelong </w:t>
      </w:r>
      <w:r>
        <w:rPr>
          <w:spacing w:val="1"/>
          <w:w w:val="93"/>
        </w:rPr>
        <w:t>learning.</w:t>
      </w:r>
      <w:r>
        <w:rPr>
          <w:w w:val="93"/>
        </w:rPr>
        <w:t> </w:t>
      </w:r>
      <w:r>
        <w:rPr>
          <w:spacing w:val="1"/>
          <w:w w:val="80"/>
        </w:rPr>
        <w:t>In</w:t>
      </w:r>
      <w:r>
        <w:rPr>
          <w:w w:val="80"/>
        </w:rPr>
        <w:t> </w:t>
      </w:r>
      <w:r>
        <w:rPr>
          <w:spacing w:val="2"/>
          <w:w w:val="85"/>
        </w:rPr>
        <w:t>2016,</w:t>
      </w:r>
      <w:r>
        <w:rPr>
          <w:w w:val="85"/>
        </w:rPr>
        <w:t> </w:t>
      </w:r>
      <w:r>
        <w:rPr>
          <w:w w:val="97"/>
        </w:rPr>
        <w:t>three </w:t>
      </w:r>
      <w:r>
        <w:rPr>
          <w:spacing w:val="1"/>
          <w:w w:val="96"/>
        </w:rPr>
        <w:t>researchers</w:t>
      </w:r>
      <w:r>
        <w:rPr>
          <w:w w:val="96"/>
        </w:rPr>
        <w:t> </w:t>
      </w:r>
      <w:r>
        <w:rPr/>
        <w:t>from</w:t>
      </w:r>
      <w:r>
        <w:rPr>
          <w:spacing w:val="-19"/>
        </w:rPr>
        <w:t> </w:t>
      </w:r>
      <w:r>
        <w:rPr/>
        <w:t>the</w:t>
      </w:r>
      <w:r>
        <w:rPr>
          <w:spacing w:val="-19"/>
        </w:rPr>
        <w:t> </w:t>
      </w:r>
      <w:r>
        <w:rPr/>
        <w:t>Centre</w:t>
      </w:r>
      <w:r>
        <w:rPr>
          <w:spacing w:val="-19"/>
        </w:rPr>
        <w:t> </w:t>
      </w:r>
      <w:r>
        <w:rPr/>
        <w:t>were</w:t>
      </w:r>
      <w:r>
        <w:rPr>
          <w:spacing w:val="-19"/>
        </w:rPr>
        <w:t> </w:t>
      </w:r>
      <w:r>
        <w:rPr/>
        <w:t>awarded</w:t>
      </w:r>
      <w:r>
        <w:rPr>
          <w:spacing w:val="-19"/>
        </w:rPr>
        <w:t> </w:t>
      </w:r>
      <w:r>
        <w:rPr/>
        <w:t>grants</w:t>
      </w:r>
      <w:r>
        <w:rPr>
          <w:spacing w:val="-19"/>
        </w:rPr>
        <w:t> </w:t>
      </w:r>
      <w:r>
        <w:rPr/>
        <w:t>from</w:t>
      </w:r>
      <w:r>
        <w:rPr>
          <w:spacing w:val="-19"/>
        </w:rPr>
        <w:t> </w:t>
      </w:r>
      <w:r>
        <w:rPr/>
        <w:t>the University’s</w:t>
      </w:r>
      <w:r>
        <w:rPr>
          <w:spacing w:val="-25"/>
        </w:rPr>
        <w:t> </w:t>
      </w:r>
      <w:r>
        <w:rPr/>
        <w:t>Women’s</w:t>
      </w:r>
      <w:r>
        <w:rPr>
          <w:spacing w:val="-25"/>
        </w:rPr>
        <w:t> </w:t>
      </w:r>
      <w:r>
        <w:rPr/>
        <w:t>Research</w:t>
      </w:r>
      <w:r>
        <w:rPr>
          <w:spacing w:val="-25"/>
        </w:rPr>
        <w:t> </w:t>
      </w:r>
      <w:r>
        <w:rPr/>
        <w:t>Fellowship.</w:t>
      </w:r>
    </w:p>
    <w:p>
      <w:pPr>
        <w:pStyle w:val="BodyText"/>
        <w:rPr>
          <w:sz w:val="14"/>
        </w:rPr>
      </w:pPr>
    </w:p>
    <w:p>
      <w:pPr>
        <w:pStyle w:val="BodyText"/>
        <w:spacing w:line="249" w:lineRule="auto"/>
        <w:ind w:left="107" w:right="151"/>
      </w:pPr>
      <w:r>
        <w:rPr/>
        <w:t>The Centre continued to expand its international reach and reputation. The Centre’s Equity program leads a national network of researchers in communities of low socio-economic status. This network </w:t>
      </w:r>
      <w:r>
        <w:rPr>
          <w:w w:val="96"/>
        </w:rPr>
        <w:t>was </w:t>
      </w:r>
      <w:r>
        <w:rPr>
          <w:w w:val="97"/>
        </w:rPr>
        <w:t>established </w:t>
      </w:r>
      <w:r>
        <w:rPr>
          <w:w w:val="95"/>
        </w:rPr>
        <w:t>in </w:t>
      </w:r>
      <w:r>
        <w:rPr>
          <w:w w:val="97"/>
        </w:rPr>
        <w:t>late </w:t>
      </w:r>
      <w:r>
        <w:rPr>
          <w:w w:val="88"/>
        </w:rPr>
        <w:t>2015 </w:t>
      </w:r>
      <w:r>
        <w:rPr>
          <w:w w:val="97"/>
        </w:rPr>
        <w:t>and </w:t>
      </w:r>
      <w:r>
        <w:rPr>
          <w:w w:val="95"/>
        </w:rPr>
        <w:t>has </w:t>
      </w:r>
      <w:r>
        <w:rPr>
          <w:w w:val="97"/>
        </w:rPr>
        <w:t>been </w:t>
      </w:r>
      <w:r>
        <w:rPr/>
        <w:t>pivotal in establishing further links with the British Educational Research Association’s</w:t>
      </w:r>
    </w:p>
    <w:p>
      <w:pPr>
        <w:pStyle w:val="BodyText"/>
        <w:spacing w:line="249" w:lineRule="auto"/>
        <w:ind w:left="107" w:right="-2"/>
      </w:pPr>
      <w:r>
        <w:rPr/>
        <w:t>Commission on Poverty and Policy Advocacy. The Globalisation program produced a key text, Super Dimensions in Globalisation</w:t>
      </w:r>
    </w:p>
    <w:p>
      <w:pPr>
        <w:pStyle w:val="BodyText"/>
        <w:spacing w:line="249" w:lineRule="auto"/>
        <w:ind w:left="107" w:right="297"/>
      </w:pPr>
      <w:r>
        <w:rPr>
          <w:w w:val="97"/>
        </w:rPr>
        <w:t>and </w:t>
      </w:r>
      <w:r>
        <w:rPr>
          <w:w w:val="98"/>
        </w:rPr>
        <w:t>Education </w:t>
      </w:r>
      <w:r>
        <w:rPr>
          <w:w w:val="94"/>
        </w:rPr>
        <w:t>(Springer, </w:t>
      </w:r>
      <w:r>
        <w:rPr>
          <w:w w:val="87"/>
        </w:rPr>
        <w:t>2016), </w:t>
      </w:r>
      <w:r>
        <w:rPr>
          <w:w w:val="94"/>
        </w:rPr>
        <w:t>as </w:t>
      </w:r>
      <w:r>
        <w:rPr>
          <w:w w:val="94"/>
        </w:rPr>
        <w:t>a </w:t>
      </w:r>
      <w:r>
        <w:rPr>
          <w:w w:val="96"/>
        </w:rPr>
        <w:t>result </w:t>
      </w:r>
      <w:r>
        <w:rPr>
          <w:w w:val="99"/>
        </w:rPr>
        <w:t>of </w:t>
      </w:r>
      <w:r>
        <w:rPr>
          <w:w w:val="94"/>
        </w:rPr>
        <w:t>a </w:t>
      </w:r>
      <w:r>
        <w:rPr>
          <w:w w:val="98"/>
        </w:rPr>
        <w:t>symposium </w:t>
      </w:r>
      <w:r>
        <w:rPr>
          <w:w w:val="97"/>
        </w:rPr>
        <w:t>held </w:t>
      </w:r>
      <w:r>
        <w:rPr>
          <w:w w:val="95"/>
        </w:rPr>
        <w:t>in </w:t>
      </w:r>
      <w:r>
        <w:rPr>
          <w:w w:val="86"/>
        </w:rPr>
        <w:t>2014. </w:t>
      </w:r>
      <w:r>
        <w:rPr>
          <w:w w:val="94"/>
        </w:rPr>
        <w:t>The </w:t>
      </w:r>
      <w:r>
        <w:rPr>
          <w:w w:val="93"/>
        </w:rPr>
        <w:t>book, </w:t>
      </w:r>
      <w:r>
        <w:rPr/>
        <w:t>which involved several international contributors, is gaining traction as a key</w:t>
      </w:r>
    </w:p>
    <w:p>
      <w:pPr>
        <w:pStyle w:val="BodyText"/>
        <w:spacing w:before="9"/>
      </w:pPr>
      <w:r>
        <w:rPr/>
        <w:br w:type="column"/>
      </w:r>
      <w:r>
        <w:rPr/>
      </w:r>
    </w:p>
    <w:p>
      <w:pPr>
        <w:pStyle w:val="BodyText"/>
        <w:spacing w:line="249" w:lineRule="auto" w:before="1"/>
        <w:ind w:left="107" w:right="198"/>
      </w:pPr>
      <w:r>
        <w:rPr/>
        <w:t>text in the area of globalisation studies in education. The Centre’s long-term program of research, Futuro Infantil Hoy, conducted in collaboration with early childhood centres in Chile, continued to attract collaborations and partnerships with organisations and higher education institutions. The Centre’s</w:t>
      </w:r>
    </w:p>
    <w:p>
      <w:pPr>
        <w:pStyle w:val="BodyText"/>
        <w:spacing w:line="249" w:lineRule="auto"/>
        <w:ind w:left="107"/>
      </w:pPr>
      <w:r>
        <w:rPr/>
        <w:t>Sustainability program continued to establish links with the United Nations Educational, Scientific and Cultural Organization (UNESCO) through its program of Regional Centres</w:t>
      </w:r>
    </w:p>
    <w:p>
      <w:pPr>
        <w:pStyle w:val="BodyText"/>
        <w:spacing w:line="249" w:lineRule="auto"/>
        <w:ind w:left="107" w:right="402"/>
      </w:pPr>
      <w:r>
        <w:rPr/>
        <w:t>of Expertise on Education for Sustainable Development.</w:t>
      </w:r>
    </w:p>
    <w:p>
      <w:pPr>
        <w:pStyle w:val="BodyText"/>
        <w:rPr>
          <w:sz w:val="14"/>
        </w:rPr>
      </w:pPr>
    </w:p>
    <w:p>
      <w:pPr>
        <w:pStyle w:val="BodyText"/>
        <w:spacing w:line="249" w:lineRule="auto"/>
        <w:ind w:left="107" w:right="25"/>
      </w:pPr>
      <w:r>
        <w:rPr>
          <w:w w:val="80"/>
        </w:rPr>
        <w:t>In </w:t>
      </w:r>
      <w:r>
        <w:rPr>
          <w:w w:val="85"/>
        </w:rPr>
        <w:t>2016, </w:t>
      </w:r>
      <w:r>
        <w:rPr>
          <w:w w:val="97"/>
        </w:rPr>
        <w:t>the </w:t>
      </w:r>
      <w:r>
        <w:rPr>
          <w:w w:val="93"/>
        </w:rPr>
        <w:t>Centre, </w:t>
      </w:r>
      <w:r>
        <w:rPr>
          <w:w w:val="95"/>
        </w:rPr>
        <w:t>in </w:t>
      </w:r>
      <w:r>
        <w:rPr>
          <w:w w:val="97"/>
        </w:rPr>
        <w:t>partnership </w:t>
      </w:r>
      <w:r>
        <w:rPr>
          <w:w w:val="98"/>
        </w:rPr>
        <w:t>with </w:t>
      </w:r>
      <w:r>
        <w:rPr/>
        <w:t>Manchester Metropolitan University in the UK, hosted The Summer Institute of the Antipodes</w:t>
      </w:r>
    </w:p>
    <w:p>
      <w:pPr>
        <w:pStyle w:val="BodyText"/>
        <w:spacing w:line="249" w:lineRule="auto"/>
        <w:ind w:left="107" w:right="79"/>
      </w:pPr>
      <w:r>
        <w:rPr/>
        <w:t>– an international gathering of leading qualitative researchers that attracted scholars from Norway, Finland, the UK, New Zealand, the US and Japan.</w:t>
      </w:r>
    </w:p>
    <w:p>
      <w:pPr>
        <w:pStyle w:val="BodyText"/>
        <w:rPr>
          <w:sz w:val="14"/>
        </w:rPr>
      </w:pPr>
    </w:p>
    <w:p>
      <w:pPr>
        <w:pStyle w:val="BodyText"/>
        <w:spacing w:line="249" w:lineRule="auto"/>
        <w:ind w:left="107" w:right="49"/>
      </w:pPr>
      <w:r>
        <w:rPr/>
        <w:t>The School and Centre were awarded several </w:t>
      </w:r>
      <w:r>
        <w:rPr>
          <w:w w:val="97"/>
        </w:rPr>
        <w:t>grants </w:t>
      </w:r>
      <w:r>
        <w:rPr>
          <w:w w:val="98"/>
        </w:rPr>
        <w:t>from </w:t>
      </w:r>
      <w:r>
        <w:rPr>
          <w:w w:val="98"/>
        </w:rPr>
        <w:t>industry </w:t>
      </w:r>
      <w:r>
        <w:rPr>
          <w:w w:val="97"/>
        </w:rPr>
        <w:t>and </w:t>
      </w:r>
      <w:r>
        <w:rPr>
          <w:w w:val="98"/>
        </w:rPr>
        <w:t>government </w:t>
      </w:r>
      <w:r>
        <w:rPr>
          <w:w w:val="95"/>
        </w:rPr>
        <w:t>in </w:t>
      </w:r>
      <w:r>
        <w:rPr>
          <w:w w:val="85"/>
        </w:rPr>
        <w:t>2016, </w:t>
      </w:r>
      <w:r>
        <w:rPr/>
        <w:t>which will result in positive impacts in the </w:t>
      </w:r>
      <w:r>
        <w:rPr>
          <w:w w:val="95"/>
        </w:rPr>
        <w:t>areas of:</w:t>
      </w:r>
    </w:p>
    <w:p>
      <w:pPr>
        <w:pStyle w:val="BodyText"/>
        <w:spacing w:line="244" w:lineRule="auto" w:before="55"/>
        <w:ind w:left="305" w:right="297" w:hanging="199"/>
      </w:pPr>
      <w:r>
        <w:rPr>
          <w:rFonts w:ascii="Century Gothic" w:hAnsi="Century Gothic"/>
          <w:b/>
          <w:w w:val="115"/>
        </w:rPr>
        <w:t>≥</w:t>
      </w:r>
      <w:r>
        <w:rPr>
          <w:rFonts w:ascii="Century Gothic" w:hAnsi="Century Gothic"/>
          <w:b/>
          <w:spacing w:val="-9"/>
          <w:w w:val="115"/>
        </w:rPr>
        <w:t> </w:t>
      </w:r>
      <w:r>
        <w:rPr>
          <w:w w:val="105"/>
        </w:rPr>
        <w:t>inequality</w:t>
      </w:r>
      <w:r>
        <w:rPr>
          <w:spacing w:val="-30"/>
          <w:w w:val="105"/>
        </w:rPr>
        <w:t> </w:t>
      </w:r>
      <w:r>
        <w:rPr>
          <w:w w:val="105"/>
        </w:rPr>
        <w:t>and</w:t>
      </w:r>
      <w:r>
        <w:rPr>
          <w:spacing w:val="-30"/>
          <w:w w:val="105"/>
        </w:rPr>
        <w:t> </w:t>
      </w:r>
      <w:r>
        <w:rPr>
          <w:w w:val="105"/>
        </w:rPr>
        <w:t>education</w:t>
      </w:r>
      <w:r>
        <w:rPr>
          <w:spacing w:val="-30"/>
          <w:w w:val="105"/>
        </w:rPr>
        <w:t> </w:t>
      </w:r>
      <w:r>
        <w:rPr>
          <w:w w:val="105"/>
        </w:rPr>
        <w:t>in</w:t>
      </w:r>
      <w:r>
        <w:rPr>
          <w:spacing w:val="-30"/>
          <w:w w:val="105"/>
        </w:rPr>
        <w:t> </w:t>
      </w:r>
      <w:r>
        <w:rPr>
          <w:w w:val="105"/>
        </w:rPr>
        <w:t>high-poverty </w:t>
      </w:r>
      <w:r>
        <w:rPr/>
        <w:t>contexts</w:t>
      </w:r>
      <w:r>
        <w:rPr>
          <w:spacing w:val="-17"/>
        </w:rPr>
        <w:t> </w:t>
      </w:r>
      <w:r>
        <w:rPr/>
        <w:t>and</w:t>
      </w:r>
      <w:r>
        <w:rPr>
          <w:spacing w:val="-17"/>
        </w:rPr>
        <w:t> </w:t>
      </w:r>
      <w:r>
        <w:rPr/>
        <w:t>vulnerable</w:t>
      </w:r>
      <w:r>
        <w:rPr>
          <w:spacing w:val="-17"/>
        </w:rPr>
        <w:t> </w:t>
      </w:r>
      <w:r>
        <w:rPr/>
        <w:t>communities</w:t>
      </w:r>
    </w:p>
    <w:p>
      <w:pPr>
        <w:pStyle w:val="BodyText"/>
        <w:spacing w:line="247" w:lineRule="auto" w:before="58"/>
        <w:ind w:left="305" w:hanging="199"/>
      </w:pPr>
      <w:r>
        <w:rPr>
          <w:rFonts w:ascii="Century Gothic" w:hAnsi="Century Gothic"/>
          <w:b/>
          <w:w w:val="115"/>
        </w:rPr>
        <w:t>≥ </w:t>
      </w:r>
      <w:r>
        <w:rPr/>
        <w:t>school-to-university pathways for refugee students, improving their access to and participation in tertiary education</w:t>
      </w:r>
    </w:p>
    <w:p>
      <w:pPr>
        <w:pStyle w:val="BodyText"/>
        <w:spacing w:line="247" w:lineRule="auto" w:before="57"/>
        <w:ind w:left="305" w:right="229" w:hanging="199"/>
      </w:pPr>
      <w:r>
        <w:rPr>
          <w:rFonts w:ascii="Century Gothic" w:hAnsi="Century Gothic"/>
          <w:b/>
          <w:w w:val="115"/>
        </w:rPr>
        <w:t>≥ </w:t>
      </w:r>
      <w:r>
        <w:rPr/>
        <w:t>teacher capacity in science, technology, engineering and mathematics (STEM); sustainability; early childhood education; and literacy</w:t>
      </w:r>
    </w:p>
    <w:p>
      <w:pPr>
        <w:pStyle w:val="BodyText"/>
        <w:spacing w:line="244" w:lineRule="auto" w:before="57"/>
        <w:ind w:left="305" w:right="341" w:hanging="199"/>
      </w:pPr>
      <w:r>
        <w:rPr>
          <w:rFonts w:ascii="Century Gothic" w:hAnsi="Century Gothic"/>
          <w:b/>
          <w:w w:val="115"/>
        </w:rPr>
        <w:t>≥ </w:t>
      </w:r>
      <w:r>
        <w:rPr/>
        <w:t>community capacity building for environmental and social sustainability.</w:t>
      </w:r>
    </w:p>
    <w:p>
      <w:pPr>
        <w:pStyle w:val="BodyText"/>
        <w:spacing w:before="4"/>
        <w:rPr>
          <w:sz w:val="14"/>
        </w:rPr>
      </w:pPr>
    </w:p>
    <w:p>
      <w:pPr>
        <w:pStyle w:val="BodyText"/>
        <w:spacing w:line="249" w:lineRule="auto"/>
        <w:ind w:left="107" w:right="110"/>
      </w:pPr>
      <w:r>
        <w:rPr>
          <w:w w:val="94"/>
        </w:rPr>
        <w:t>The </w:t>
      </w:r>
      <w:r>
        <w:rPr>
          <w:w w:val="98"/>
        </w:rPr>
        <w:t>School’s </w:t>
      </w:r>
      <w:r>
        <w:rPr>
          <w:w w:val="98"/>
        </w:rPr>
        <w:t>key </w:t>
      </w:r>
      <w:r>
        <w:rPr>
          <w:w w:val="97"/>
        </w:rPr>
        <w:t>funding </w:t>
      </w:r>
      <w:r>
        <w:rPr>
          <w:w w:val="97"/>
        </w:rPr>
        <w:t>partners </w:t>
      </w:r>
      <w:r>
        <w:rPr>
          <w:w w:val="95"/>
        </w:rPr>
        <w:t>in </w:t>
      </w:r>
      <w:r>
        <w:rPr>
          <w:w w:val="90"/>
        </w:rPr>
        <w:t>2016 </w:t>
      </w:r>
      <w:r>
        <w:rPr/>
        <w:t>included the NSW Department of Education, the Department of Foreign Affairs and Trade,</w:t>
      </w:r>
    </w:p>
    <w:p>
      <w:pPr>
        <w:pStyle w:val="BodyText"/>
        <w:spacing w:line="249" w:lineRule="auto"/>
        <w:ind w:left="107" w:right="346"/>
      </w:pPr>
      <w:r>
        <w:rPr/>
        <w:t>Western Sydney Institute, the University of Oxford, SydWest Multicultural Services,</w:t>
      </w:r>
    </w:p>
    <w:p>
      <w:pPr>
        <w:pStyle w:val="BodyText"/>
        <w:spacing w:line="249" w:lineRule="auto"/>
        <w:ind w:left="107" w:right="127"/>
      </w:pPr>
      <w:r>
        <w:rPr/>
        <w:t>Matific Pty Ltd, Collier Charitable Fund, the United Nations Children’s Fund (UNICEF), Junta Nacional de Jardines Infantiles, Dessarrollo y Educacion Incluya, Save the Children, the Australian Research Alliance for Children and Youth (ARACY), and Crown.</w:t>
      </w:r>
    </w:p>
    <w:p>
      <w:pPr>
        <w:pStyle w:val="BodyText"/>
        <w:rPr>
          <w:sz w:val="14"/>
        </w:rPr>
      </w:pPr>
    </w:p>
    <w:p>
      <w:pPr>
        <w:pStyle w:val="BodyText"/>
        <w:spacing w:line="249" w:lineRule="auto"/>
        <w:ind w:left="107" w:right="164"/>
      </w:pPr>
      <w:r>
        <w:rPr/>
        <w:t>The School’s HDR program, under the leadership of Dr Chwee Beng Lee, continued </w:t>
      </w:r>
      <w:r>
        <w:rPr>
          <w:w w:val="101"/>
        </w:rPr>
        <w:t>to </w:t>
      </w:r>
      <w:r>
        <w:rPr>
          <w:w w:val="99"/>
        </w:rPr>
        <w:t>support </w:t>
      </w:r>
      <w:r>
        <w:rPr>
          <w:w w:val="97"/>
        </w:rPr>
        <w:t>more </w:t>
      </w:r>
      <w:r>
        <w:rPr>
          <w:w w:val="97"/>
        </w:rPr>
        <w:t>than </w:t>
      </w:r>
      <w:r>
        <w:rPr>
          <w:w w:val="92"/>
        </w:rPr>
        <w:t>100 </w:t>
      </w:r>
      <w:r>
        <w:rPr>
          <w:w w:val="97"/>
        </w:rPr>
        <w:t>students </w:t>
      </w:r>
      <w:r>
        <w:rPr/>
        <w:t>completing masters degrees and doctoral</w:t>
      </w:r>
    </w:p>
    <w:p>
      <w:pPr>
        <w:spacing w:after="0" w:line="249" w:lineRule="auto"/>
        <w:sectPr>
          <w:type w:val="continuous"/>
          <w:pgSz w:w="11910" w:h="16840"/>
          <w:pgMar w:top="1580" w:bottom="280" w:left="800" w:right="800"/>
          <w:cols w:num="3" w:equalWidth="0">
            <w:col w:w="3308" w:space="131"/>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19"/>
      </w:pPr>
      <w:r>
        <w:rPr>
          <w:spacing w:val="1"/>
          <w:w w:val="93"/>
        </w:rPr>
        <w:t>studies.</w:t>
      </w:r>
      <w:r>
        <w:rPr>
          <w:w w:val="93"/>
        </w:rPr>
        <w:t> </w:t>
      </w: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spacing w:val="1"/>
          <w:w w:val="98"/>
        </w:rPr>
        <w:t>hosted</w:t>
      </w:r>
      <w:r>
        <w:rPr>
          <w:w w:val="98"/>
        </w:rPr>
        <w:t> </w:t>
      </w:r>
      <w:r>
        <w:rPr>
          <w:w w:val="97"/>
        </w:rPr>
        <w:t>four </w:t>
      </w:r>
      <w:r>
        <w:rPr/>
        <w:t>forums for </w:t>
      </w:r>
      <w:r>
        <w:rPr>
          <w:spacing w:val="2"/>
        </w:rPr>
        <w:t>HDR </w:t>
      </w:r>
      <w:r>
        <w:rPr/>
        <w:t>students at the Kingswood campus and two forums for academic staff. The student forums focused on helping students prepare for their confirmation of candidature, thesis submission and ethics application,</w:t>
      </w:r>
      <w:r>
        <w:rPr>
          <w:spacing w:val="-16"/>
        </w:rPr>
        <w:t> </w:t>
      </w:r>
      <w:r>
        <w:rPr/>
        <w:t>while</w:t>
      </w:r>
      <w:r>
        <w:rPr>
          <w:spacing w:val="-16"/>
        </w:rPr>
        <w:t> </w:t>
      </w:r>
      <w:r>
        <w:rPr/>
        <w:t>the</w:t>
      </w:r>
      <w:r>
        <w:rPr>
          <w:spacing w:val="-16"/>
        </w:rPr>
        <w:t> </w:t>
      </w:r>
      <w:r>
        <w:rPr/>
        <w:t>staff</w:t>
      </w:r>
      <w:r>
        <w:rPr>
          <w:spacing w:val="-16"/>
        </w:rPr>
        <w:t> </w:t>
      </w:r>
      <w:r>
        <w:rPr/>
        <w:t>forums</w:t>
      </w:r>
      <w:r>
        <w:rPr>
          <w:spacing w:val="-16"/>
        </w:rPr>
        <w:t> </w:t>
      </w:r>
      <w:r>
        <w:rPr/>
        <w:t>focused</w:t>
      </w:r>
      <w:r>
        <w:rPr>
          <w:spacing w:val="-16"/>
        </w:rPr>
        <w:t> </w:t>
      </w:r>
      <w:r>
        <w:rPr/>
        <w:t>on the</w:t>
      </w:r>
      <w:r>
        <w:rPr>
          <w:spacing w:val="-15"/>
        </w:rPr>
        <w:t> </w:t>
      </w:r>
      <w:r>
        <w:rPr/>
        <w:t>pedagogy</w:t>
      </w:r>
      <w:r>
        <w:rPr>
          <w:spacing w:val="-15"/>
        </w:rPr>
        <w:t> </w:t>
      </w:r>
      <w:r>
        <w:rPr/>
        <w:t>of</w:t>
      </w:r>
      <w:r>
        <w:rPr>
          <w:spacing w:val="-15"/>
        </w:rPr>
        <w:t> </w:t>
      </w:r>
      <w:r>
        <w:rPr/>
        <w:t>supervising</w:t>
      </w:r>
      <w:r>
        <w:rPr>
          <w:spacing w:val="-15"/>
        </w:rPr>
        <w:t> </w:t>
      </w:r>
      <w:r>
        <w:rPr/>
        <w:t>students.</w:t>
      </w:r>
      <w:r>
        <w:rPr>
          <w:spacing w:val="-15"/>
        </w:rPr>
        <w:t> </w:t>
      </w:r>
      <w:r>
        <w:rPr/>
        <w:t>These events</w:t>
      </w:r>
      <w:r>
        <w:rPr>
          <w:spacing w:val="-24"/>
        </w:rPr>
        <w:t> </w:t>
      </w:r>
      <w:r>
        <w:rPr/>
        <w:t>were</w:t>
      </w:r>
      <w:r>
        <w:rPr>
          <w:spacing w:val="-24"/>
        </w:rPr>
        <w:t> </w:t>
      </w:r>
      <w:r>
        <w:rPr/>
        <w:t>well</w:t>
      </w:r>
      <w:r>
        <w:rPr>
          <w:spacing w:val="-24"/>
        </w:rPr>
        <w:t> </w:t>
      </w:r>
      <w:r>
        <w:rPr/>
        <w:t>received.</w:t>
      </w:r>
    </w:p>
    <w:p>
      <w:pPr>
        <w:pStyle w:val="BodyText"/>
        <w:rPr>
          <w:sz w:val="14"/>
        </w:rPr>
      </w:pPr>
    </w:p>
    <w:p>
      <w:pPr>
        <w:pStyle w:val="BodyText"/>
        <w:spacing w:line="249" w:lineRule="auto"/>
        <w:ind w:left="107" w:right="-5"/>
      </w:pPr>
      <w:r>
        <w:rPr>
          <w:spacing w:val="1"/>
          <w:w w:val="97"/>
        </w:rPr>
        <w:t>During</w:t>
      </w:r>
      <w:r>
        <w:rPr>
          <w:spacing w:val="-9"/>
          <w:w w:val="97"/>
        </w:rPr>
        <w:t> </w:t>
      </w:r>
      <w:r>
        <w:rPr>
          <w:spacing w:val="2"/>
          <w:w w:val="85"/>
        </w:rPr>
        <w:t>2016,</w:t>
      </w:r>
      <w:r>
        <w:rPr>
          <w:spacing w:val="-3"/>
          <w:w w:val="85"/>
        </w:rPr>
        <w:t> </w:t>
      </w:r>
      <w:r>
        <w:rPr>
          <w:spacing w:val="2"/>
          <w:w w:val="82"/>
        </w:rPr>
        <w:t>10</w:t>
      </w:r>
      <w:r>
        <w:rPr>
          <w:spacing w:val="-1"/>
          <w:w w:val="82"/>
        </w:rPr>
        <w:t> </w:t>
      </w:r>
      <w:r>
        <w:rPr>
          <w:spacing w:val="1"/>
          <w:w w:val="97"/>
        </w:rPr>
        <w:t>students</w:t>
      </w:r>
      <w:r>
        <w:rPr>
          <w:spacing w:val="-9"/>
          <w:w w:val="97"/>
        </w:rPr>
        <w:t> </w:t>
      </w:r>
      <w:r>
        <w:rPr>
          <w:spacing w:val="1"/>
          <w:w w:val="99"/>
        </w:rPr>
        <w:t>completed</w:t>
      </w:r>
      <w:r>
        <w:rPr>
          <w:spacing w:val="-10"/>
          <w:w w:val="99"/>
        </w:rPr>
        <w:t> </w:t>
      </w:r>
      <w:r>
        <w:rPr>
          <w:spacing w:val="1"/>
          <w:w w:val="97"/>
        </w:rPr>
        <w:t>their</w:t>
      </w:r>
      <w:r>
        <w:rPr>
          <w:spacing w:val="-9"/>
          <w:w w:val="97"/>
        </w:rPr>
        <w:t> </w:t>
      </w:r>
      <w:r>
        <w:rPr>
          <w:spacing w:val="2"/>
          <w:w w:val="98"/>
        </w:rPr>
        <w:t>HDR</w:t>
      </w:r>
      <w:r>
        <w:rPr>
          <w:w w:val="98"/>
        </w:rPr>
        <w:t> </w:t>
      </w:r>
      <w:r>
        <w:rPr/>
        <w:t>studies with the School. Joelle Breault-Hood, a</w:t>
      </w:r>
      <w:r>
        <w:rPr>
          <w:spacing w:val="-17"/>
        </w:rPr>
        <w:t> </w:t>
      </w:r>
      <w:r>
        <w:rPr/>
        <w:t>PhD</w:t>
      </w:r>
      <w:r>
        <w:rPr>
          <w:spacing w:val="-17"/>
        </w:rPr>
        <w:t> </w:t>
      </w:r>
      <w:r>
        <w:rPr/>
        <w:t>student,</w:t>
      </w:r>
      <w:r>
        <w:rPr>
          <w:spacing w:val="-17"/>
        </w:rPr>
        <w:t> </w:t>
      </w:r>
      <w:r>
        <w:rPr/>
        <w:t>received</w:t>
      </w:r>
      <w:r>
        <w:rPr>
          <w:spacing w:val="-17"/>
        </w:rPr>
        <w:t> </w:t>
      </w:r>
      <w:r>
        <w:rPr/>
        <w:t>the</w:t>
      </w:r>
      <w:r>
        <w:rPr>
          <w:spacing w:val="-17"/>
        </w:rPr>
        <w:t> </w:t>
      </w:r>
      <w:r>
        <w:rPr/>
        <w:t>Dean</w:t>
      </w:r>
      <w:r>
        <w:rPr>
          <w:spacing w:val="-17"/>
        </w:rPr>
        <w:t> </w:t>
      </w:r>
      <w:r>
        <w:rPr/>
        <w:t>of</w:t>
      </w:r>
      <w:r>
        <w:rPr>
          <w:spacing w:val="-17"/>
        </w:rPr>
        <w:t> </w:t>
      </w:r>
      <w:r>
        <w:rPr/>
        <w:t>Graduate Studies Incentive Award for her outstanding performance, while Alfred Mupenzi received the Postgraduate Student Researcher Award from the Australian Association for Research in</w:t>
      </w:r>
      <w:r>
        <w:rPr>
          <w:spacing w:val="-26"/>
        </w:rPr>
        <w:t> </w:t>
      </w:r>
      <w:r>
        <w:rPr/>
        <w:t>Education.</w:t>
      </w:r>
    </w:p>
    <w:p>
      <w:pPr>
        <w:pStyle w:val="BodyText"/>
      </w:pPr>
    </w:p>
    <w:p>
      <w:pPr>
        <w:pStyle w:val="BodyText"/>
        <w:spacing w:before="1"/>
        <w:rPr>
          <w:sz w:val="13"/>
        </w:rPr>
      </w:pPr>
    </w:p>
    <w:p>
      <w:pPr>
        <w:spacing w:line="260" w:lineRule="exact" w:before="0"/>
        <w:ind w:left="107" w:right="-5" w:firstLine="0"/>
        <w:jc w:val="left"/>
        <w:rPr>
          <w:rFonts w:ascii="Gotham Narrow Bold"/>
          <w:b/>
          <w:sz w:val="24"/>
        </w:rPr>
      </w:pPr>
      <w:r>
        <w:rPr>
          <w:rFonts w:ascii="Gotham Narrow Bold"/>
          <w:b/>
          <w:spacing w:val="-3"/>
          <w:w w:val="95"/>
          <w:sz w:val="24"/>
        </w:rPr>
        <w:t>SCHOOL </w:t>
      </w:r>
      <w:r>
        <w:rPr>
          <w:rFonts w:ascii="Gotham Narrow Bold"/>
          <w:b/>
          <w:w w:val="95"/>
          <w:sz w:val="24"/>
        </w:rPr>
        <w:t>OF HUMANITIES</w:t>
      </w:r>
      <w:r>
        <w:rPr>
          <w:rFonts w:ascii="Gotham Narrow Bold"/>
          <w:b/>
          <w:spacing w:val="-19"/>
          <w:w w:val="95"/>
          <w:sz w:val="24"/>
        </w:rPr>
        <w:t> </w:t>
      </w:r>
      <w:r>
        <w:rPr>
          <w:rFonts w:ascii="Gotham Narrow Bold"/>
          <w:b/>
          <w:w w:val="95"/>
          <w:sz w:val="24"/>
        </w:rPr>
        <w:t>AND </w:t>
      </w:r>
      <w:r>
        <w:rPr>
          <w:rFonts w:ascii="Gotham Narrow Bold"/>
          <w:b/>
          <w:spacing w:val="-4"/>
          <w:w w:val="95"/>
          <w:sz w:val="24"/>
        </w:rPr>
        <w:t>COMMUNICATION</w:t>
      </w:r>
      <w:r>
        <w:rPr>
          <w:rFonts w:ascii="Gotham Narrow Bold"/>
          <w:b/>
          <w:spacing w:val="12"/>
          <w:w w:val="95"/>
          <w:sz w:val="24"/>
        </w:rPr>
        <w:t> </w:t>
      </w:r>
      <w:r>
        <w:rPr>
          <w:rFonts w:ascii="Gotham Narrow Bold"/>
          <w:b/>
          <w:w w:val="95"/>
          <w:sz w:val="24"/>
        </w:rPr>
        <w:t>ARTS</w:t>
      </w:r>
    </w:p>
    <w:p>
      <w:pPr>
        <w:pStyle w:val="BodyText"/>
        <w:spacing w:line="249" w:lineRule="auto" w:before="101"/>
        <w:ind w:left="107" w:right="-6"/>
      </w:pPr>
      <w:r>
        <w:rPr/>
        <w:t>The</w:t>
      </w:r>
      <w:r>
        <w:rPr>
          <w:spacing w:val="-16"/>
        </w:rPr>
        <w:t> </w:t>
      </w:r>
      <w:r>
        <w:rPr/>
        <w:t>School</w:t>
      </w:r>
      <w:r>
        <w:rPr>
          <w:spacing w:val="-16"/>
        </w:rPr>
        <w:t> </w:t>
      </w:r>
      <w:r>
        <w:rPr/>
        <w:t>of</w:t>
      </w:r>
      <w:r>
        <w:rPr>
          <w:spacing w:val="-16"/>
        </w:rPr>
        <w:t> </w:t>
      </w:r>
      <w:r>
        <w:rPr/>
        <w:t>Humanities</w:t>
      </w:r>
      <w:r>
        <w:rPr>
          <w:spacing w:val="-16"/>
        </w:rPr>
        <w:t> </w:t>
      </w:r>
      <w:r>
        <w:rPr/>
        <w:t>and</w:t>
      </w:r>
      <w:r>
        <w:rPr>
          <w:spacing w:val="-16"/>
        </w:rPr>
        <w:t> </w:t>
      </w:r>
      <w:r>
        <w:rPr/>
        <w:t>Communication </w:t>
      </w:r>
      <w:r>
        <w:rPr>
          <w:spacing w:val="2"/>
        </w:rPr>
        <w:t>Arts</w:t>
      </w:r>
      <w:r>
        <w:rPr>
          <w:spacing w:val="-14"/>
        </w:rPr>
        <w:t> </w:t>
      </w:r>
      <w:r>
        <w:rPr/>
        <w:t>is</w:t>
      </w:r>
      <w:r>
        <w:rPr>
          <w:spacing w:val="-14"/>
        </w:rPr>
        <w:t> </w:t>
      </w:r>
      <w:r>
        <w:rPr/>
        <w:t>highly</w:t>
      </w:r>
      <w:r>
        <w:rPr>
          <w:spacing w:val="-14"/>
        </w:rPr>
        <w:t> </w:t>
      </w:r>
      <w:r>
        <w:rPr/>
        <w:t>diverse,</w:t>
      </w:r>
      <w:r>
        <w:rPr>
          <w:spacing w:val="-14"/>
        </w:rPr>
        <w:t> </w:t>
      </w:r>
      <w:r>
        <w:rPr/>
        <w:t>offering</w:t>
      </w:r>
      <w:r>
        <w:rPr>
          <w:spacing w:val="-14"/>
        </w:rPr>
        <w:t> </w:t>
      </w:r>
      <w:r>
        <w:rPr/>
        <w:t>the</w:t>
      </w:r>
      <w:r>
        <w:rPr>
          <w:spacing w:val="-14"/>
        </w:rPr>
        <w:t> </w:t>
      </w:r>
      <w:r>
        <w:rPr/>
        <w:t>Bachelor</w:t>
      </w:r>
      <w:r>
        <w:rPr>
          <w:spacing w:val="-14"/>
        </w:rPr>
        <w:t> </w:t>
      </w:r>
      <w:r>
        <w:rPr/>
        <w:t>of </w:t>
      </w:r>
      <w:r>
        <w:rPr>
          <w:spacing w:val="2"/>
        </w:rPr>
        <w:t>Arts </w:t>
      </w:r>
      <w:r>
        <w:rPr/>
        <w:t>programs, Bachelor of Communication, Bachelor of Design (Visual Communication), Bachelor</w:t>
      </w:r>
      <w:r>
        <w:rPr>
          <w:spacing w:val="-22"/>
        </w:rPr>
        <w:t> </w:t>
      </w:r>
      <w:r>
        <w:rPr/>
        <w:t>of</w:t>
      </w:r>
      <w:r>
        <w:rPr>
          <w:spacing w:val="-22"/>
        </w:rPr>
        <w:t> </w:t>
      </w:r>
      <w:r>
        <w:rPr>
          <w:spacing w:val="2"/>
        </w:rPr>
        <w:t>Arts</w:t>
      </w:r>
      <w:r>
        <w:rPr>
          <w:spacing w:val="-22"/>
        </w:rPr>
        <w:t> </w:t>
      </w:r>
      <w:r>
        <w:rPr/>
        <w:t>(Interpreting</w:t>
      </w:r>
      <w:r>
        <w:rPr>
          <w:spacing w:val="-22"/>
        </w:rPr>
        <w:t> </w:t>
      </w:r>
      <w:r>
        <w:rPr/>
        <w:t>and</w:t>
      </w:r>
      <w:r>
        <w:rPr>
          <w:spacing w:val="-22"/>
        </w:rPr>
        <w:t> </w:t>
      </w:r>
      <w:r>
        <w:rPr/>
        <w:t>Translation) and Bachelor of Music; several double degrees;</w:t>
      </w:r>
      <w:r>
        <w:rPr>
          <w:spacing w:val="-22"/>
        </w:rPr>
        <w:t> </w:t>
      </w:r>
      <w:r>
        <w:rPr/>
        <w:t>and</w:t>
      </w:r>
      <w:r>
        <w:rPr>
          <w:spacing w:val="-22"/>
        </w:rPr>
        <w:t> </w:t>
      </w:r>
      <w:r>
        <w:rPr/>
        <w:t>coursework</w:t>
      </w:r>
      <w:r>
        <w:rPr>
          <w:spacing w:val="-22"/>
        </w:rPr>
        <w:t> </w:t>
      </w:r>
      <w:r>
        <w:rPr/>
        <w:t>masters</w:t>
      </w:r>
      <w:r>
        <w:rPr>
          <w:spacing w:val="-22"/>
        </w:rPr>
        <w:t> </w:t>
      </w:r>
      <w:r>
        <w:rPr/>
        <w:t>degrees</w:t>
      </w:r>
    </w:p>
    <w:p>
      <w:pPr>
        <w:pStyle w:val="BodyText"/>
        <w:spacing w:line="249" w:lineRule="auto"/>
        <w:ind w:left="107" w:right="111"/>
      </w:pPr>
      <w:r>
        <w:rPr/>
        <w:t>in</w:t>
      </w:r>
      <w:r>
        <w:rPr>
          <w:spacing w:val="-24"/>
        </w:rPr>
        <w:t> </w:t>
      </w:r>
      <w:r>
        <w:rPr/>
        <w:t>convergent</w:t>
      </w:r>
      <w:r>
        <w:rPr>
          <w:spacing w:val="-24"/>
        </w:rPr>
        <w:t> </w:t>
      </w:r>
      <w:r>
        <w:rPr/>
        <w:t>media,</w:t>
      </w:r>
      <w:r>
        <w:rPr>
          <w:spacing w:val="-24"/>
        </w:rPr>
        <w:t> </w:t>
      </w:r>
      <w:r>
        <w:rPr/>
        <w:t>creative</w:t>
      </w:r>
      <w:r>
        <w:rPr>
          <w:spacing w:val="-24"/>
        </w:rPr>
        <w:t> </w:t>
      </w:r>
      <w:r>
        <w:rPr/>
        <w:t>music</w:t>
      </w:r>
      <w:r>
        <w:rPr>
          <w:spacing w:val="-24"/>
        </w:rPr>
        <w:t> </w:t>
      </w:r>
      <w:r>
        <w:rPr/>
        <w:t>therapy, creative</w:t>
      </w:r>
      <w:r>
        <w:rPr>
          <w:spacing w:val="-24"/>
        </w:rPr>
        <w:t> </w:t>
      </w:r>
      <w:r>
        <w:rPr/>
        <w:t>writing,</w:t>
      </w:r>
      <w:r>
        <w:rPr>
          <w:spacing w:val="-24"/>
        </w:rPr>
        <w:t> </w:t>
      </w:r>
      <w:r>
        <w:rPr/>
        <w:t>interpreting</w:t>
      </w:r>
      <w:r>
        <w:rPr>
          <w:spacing w:val="-24"/>
        </w:rPr>
        <w:t> </w:t>
      </w:r>
      <w:r>
        <w:rPr/>
        <w:t>and</w:t>
      </w:r>
      <w:r>
        <w:rPr>
          <w:spacing w:val="-24"/>
        </w:rPr>
        <w:t> </w:t>
      </w:r>
      <w:r>
        <w:rPr/>
        <w:t>translation, and teaching English to speakers of other languages</w:t>
      </w:r>
      <w:r>
        <w:rPr>
          <w:spacing w:val="-24"/>
        </w:rPr>
        <w:t> </w:t>
      </w:r>
      <w:r>
        <w:rPr/>
        <w:t>(TESOL).</w:t>
      </w:r>
      <w:r>
        <w:rPr>
          <w:spacing w:val="-24"/>
        </w:rPr>
        <w:t> </w:t>
      </w:r>
      <w:r>
        <w:rPr/>
        <w:t>It</w:t>
      </w:r>
      <w:r>
        <w:rPr>
          <w:spacing w:val="-24"/>
        </w:rPr>
        <w:t> </w:t>
      </w:r>
      <w:r>
        <w:rPr/>
        <w:t>operates</w:t>
      </w:r>
      <w:r>
        <w:rPr>
          <w:spacing w:val="-24"/>
        </w:rPr>
        <w:t> </w:t>
      </w:r>
      <w:r>
        <w:rPr/>
        <w:t>across</w:t>
      </w:r>
    </w:p>
    <w:p>
      <w:pPr>
        <w:pStyle w:val="BodyText"/>
        <w:spacing w:line="192" w:lineRule="exact"/>
        <w:ind w:left="107" w:right="19"/>
      </w:pPr>
      <w:r>
        <w:rPr/>
        <w:t>three Western Sydney University campuses</w:t>
      </w:r>
    </w:p>
    <w:p>
      <w:pPr>
        <w:pStyle w:val="BodyText"/>
        <w:spacing w:line="249" w:lineRule="auto" w:before="7"/>
        <w:ind w:left="107" w:right="273"/>
      </w:pPr>
      <w:r>
        <w:rPr/>
        <w:t>– Bankstown, Parramatta and Penrith. The School hosts the Writing and Society Research Centre, the Digital Humanities</w:t>
      </w:r>
    </w:p>
    <w:p>
      <w:pPr>
        <w:pStyle w:val="BodyText"/>
        <w:spacing w:line="249" w:lineRule="auto"/>
        <w:ind w:left="107" w:right="-17"/>
      </w:pPr>
      <w:r>
        <w:rPr/>
        <w:t>Research Group, and the History at Western Sydney University and Philosophy at Western Sydney University RIF initiatives.</w:t>
      </w:r>
    </w:p>
    <w:p>
      <w:pPr>
        <w:pStyle w:val="BodyText"/>
        <w:spacing w:before="3"/>
        <w:rPr>
          <w:sz w:val="19"/>
        </w:rPr>
      </w:pPr>
    </w:p>
    <w:p>
      <w:pPr>
        <w:pStyle w:val="Heading7"/>
        <w:ind w:right="19"/>
      </w:pPr>
      <w:r>
        <w:rPr>
          <w:w w:val="95"/>
        </w:rPr>
        <w:t>LEARNING AND TEACHING</w:t>
      </w:r>
    </w:p>
    <w:p>
      <w:pPr>
        <w:spacing w:before="64"/>
        <w:ind w:left="107" w:right="19" w:firstLine="0"/>
        <w:jc w:val="left"/>
        <w:rPr>
          <w:rFonts w:ascii="Gotham Narrow Bold"/>
          <w:b/>
          <w:sz w:val="16"/>
        </w:rPr>
      </w:pPr>
      <w:r>
        <w:rPr>
          <w:rFonts w:ascii="Gotham Narrow Bold"/>
          <w:b/>
          <w:color w:val="615C58"/>
          <w:w w:val="95"/>
          <w:sz w:val="16"/>
        </w:rPr>
        <w:t>Blended Learning</w:t>
      </w:r>
    </w:p>
    <w:p>
      <w:pPr>
        <w:pStyle w:val="BodyText"/>
        <w:spacing w:line="249" w:lineRule="auto" w:before="86"/>
        <w:ind w:left="107" w:right="-3"/>
      </w:pPr>
      <w:r>
        <w:rPr/>
        <w:t>The</w:t>
      </w:r>
      <w:r>
        <w:rPr>
          <w:spacing w:val="-16"/>
        </w:rPr>
        <w:t> </w:t>
      </w:r>
      <w:r>
        <w:rPr/>
        <w:t>School</w:t>
      </w:r>
      <w:r>
        <w:rPr>
          <w:spacing w:val="-16"/>
        </w:rPr>
        <w:t> </w:t>
      </w:r>
      <w:r>
        <w:rPr/>
        <w:t>of</w:t>
      </w:r>
      <w:r>
        <w:rPr>
          <w:spacing w:val="-16"/>
        </w:rPr>
        <w:t> </w:t>
      </w:r>
      <w:r>
        <w:rPr/>
        <w:t>Humanities</w:t>
      </w:r>
      <w:r>
        <w:rPr>
          <w:spacing w:val="-16"/>
        </w:rPr>
        <w:t> </w:t>
      </w:r>
      <w:r>
        <w:rPr/>
        <w:t>and</w:t>
      </w:r>
      <w:r>
        <w:rPr>
          <w:spacing w:val="-16"/>
        </w:rPr>
        <w:t> </w:t>
      </w:r>
      <w:r>
        <w:rPr/>
        <w:t>Communication </w:t>
      </w:r>
      <w:r>
        <w:rPr>
          <w:spacing w:val="2"/>
        </w:rPr>
        <w:t>Arts </w:t>
      </w:r>
      <w:r>
        <w:rPr/>
        <w:t>is a leader in externalising its existing programs</w:t>
      </w:r>
      <w:r>
        <w:rPr>
          <w:spacing w:val="-15"/>
        </w:rPr>
        <w:t> </w:t>
      </w:r>
      <w:r>
        <w:rPr/>
        <w:t>for</w:t>
      </w:r>
      <w:r>
        <w:rPr>
          <w:spacing w:val="-15"/>
        </w:rPr>
        <w:t> </w:t>
      </w:r>
      <w:r>
        <w:rPr/>
        <w:t>a</w:t>
      </w:r>
      <w:r>
        <w:rPr>
          <w:spacing w:val="-15"/>
        </w:rPr>
        <w:t> </w:t>
      </w:r>
      <w:r>
        <w:rPr/>
        <w:t>fully</w:t>
      </w:r>
      <w:r>
        <w:rPr>
          <w:spacing w:val="-15"/>
        </w:rPr>
        <w:t> </w:t>
      </w:r>
      <w:r>
        <w:rPr/>
        <w:t>online</w:t>
      </w:r>
      <w:r>
        <w:rPr>
          <w:spacing w:val="-15"/>
        </w:rPr>
        <w:t> </w:t>
      </w:r>
      <w:r>
        <w:rPr/>
        <w:t>student</w:t>
      </w:r>
      <w:r>
        <w:rPr>
          <w:spacing w:val="-15"/>
        </w:rPr>
        <w:t> </w:t>
      </w:r>
      <w:r>
        <w:rPr/>
        <w:t>cohort.</w:t>
      </w:r>
    </w:p>
    <w:p>
      <w:pPr>
        <w:pStyle w:val="BodyText"/>
        <w:spacing w:line="249" w:lineRule="auto"/>
        <w:ind w:left="107" w:right="237"/>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spacing w:val="1"/>
          <w:w w:val="97"/>
        </w:rPr>
        <w:t>successfully</w:t>
      </w:r>
      <w:r>
        <w:rPr>
          <w:w w:val="97"/>
        </w:rPr>
        <w:t> </w:t>
      </w:r>
      <w:r>
        <w:rPr>
          <w:w w:val="98"/>
        </w:rPr>
        <w:t>introduced </w:t>
      </w:r>
      <w:r>
        <w:rPr/>
        <w:t>an online version of the Bachelor of Communication.</w:t>
      </w:r>
      <w:r>
        <w:rPr>
          <w:spacing w:val="-26"/>
        </w:rPr>
        <w:t> </w:t>
      </w:r>
      <w:r>
        <w:rPr/>
        <w:t>In</w:t>
      </w:r>
      <w:r>
        <w:rPr>
          <w:spacing w:val="-26"/>
        </w:rPr>
        <w:t> </w:t>
      </w:r>
      <w:r>
        <w:rPr>
          <w:spacing w:val="2"/>
        </w:rPr>
        <w:t>2016,</w:t>
      </w:r>
      <w:r>
        <w:rPr>
          <w:spacing w:val="-26"/>
        </w:rPr>
        <w:t> </w:t>
      </w:r>
      <w:r>
        <w:rPr/>
        <w:t>it</w:t>
      </w:r>
      <w:r>
        <w:rPr>
          <w:spacing w:val="-26"/>
        </w:rPr>
        <w:t> </w:t>
      </w:r>
      <w:r>
        <w:rPr/>
        <w:t>produced</w:t>
      </w:r>
      <w:r>
        <w:rPr>
          <w:spacing w:val="-26"/>
        </w:rPr>
        <w:t> </w:t>
      </w:r>
      <w:r>
        <w:rPr/>
        <w:t>more </w:t>
      </w:r>
      <w:r>
        <w:rPr>
          <w:spacing w:val="1"/>
          <w:w w:val="97"/>
        </w:rPr>
        <w:t>than</w:t>
      </w:r>
      <w:r>
        <w:rPr>
          <w:w w:val="97"/>
        </w:rPr>
        <w:t> </w:t>
      </w:r>
      <w:r>
        <w:rPr>
          <w:spacing w:val="2"/>
          <w:w w:val="91"/>
        </w:rPr>
        <w:t>1,000</w:t>
      </w:r>
      <w:r>
        <w:rPr>
          <w:w w:val="91"/>
        </w:rPr>
        <w:t> </w:t>
      </w:r>
      <w:r>
        <w:rPr>
          <w:spacing w:val="1"/>
          <w:w w:val="97"/>
        </w:rPr>
        <w:t>instructional</w:t>
      </w:r>
      <w:r>
        <w:rPr>
          <w:w w:val="97"/>
        </w:rPr>
        <w:t> </w:t>
      </w:r>
      <w:r>
        <w:rPr>
          <w:spacing w:val="1"/>
          <w:w w:val="97"/>
        </w:rPr>
        <w:t>lecture</w:t>
      </w:r>
      <w:r>
        <w:rPr>
          <w:spacing w:val="-17"/>
          <w:w w:val="97"/>
        </w:rPr>
        <w:t> </w:t>
      </w:r>
      <w:r>
        <w:rPr>
          <w:spacing w:val="1"/>
          <w:w w:val="99"/>
        </w:rPr>
        <w:t>‘pods’</w:t>
      </w:r>
    </w:p>
    <w:p>
      <w:pPr>
        <w:pStyle w:val="BodyText"/>
        <w:spacing w:line="249" w:lineRule="auto"/>
        <w:ind w:left="107" w:right="19"/>
      </w:pPr>
      <w:r>
        <w:rPr/>
        <w:t>of between 8 and 12 minutes, including animations and interactive web-based material,</w:t>
      </w:r>
      <w:r>
        <w:rPr>
          <w:spacing w:val="-22"/>
        </w:rPr>
        <w:t> </w:t>
      </w:r>
      <w:r>
        <w:rPr/>
        <w:t>along</w:t>
      </w:r>
      <w:r>
        <w:rPr>
          <w:spacing w:val="-22"/>
        </w:rPr>
        <w:t> </w:t>
      </w:r>
      <w:r>
        <w:rPr/>
        <w:t>with</w:t>
      </w:r>
      <w:r>
        <w:rPr>
          <w:spacing w:val="-22"/>
        </w:rPr>
        <w:t> </w:t>
      </w:r>
      <w:r>
        <w:rPr/>
        <w:t>apps</w:t>
      </w:r>
      <w:r>
        <w:rPr>
          <w:spacing w:val="-22"/>
        </w:rPr>
        <w:t> </w:t>
      </w:r>
      <w:r>
        <w:rPr/>
        <w:t>to</w:t>
      </w:r>
      <w:r>
        <w:rPr>
          <w:spacing w:val="-22"/>
        </w:rPr>
        <w:t> </w:t>
      </w:r>
      <w:r>
        <w:rPr/>
        <w:t>assist</w:t>
      </w:r>
      <w:r>
        <w:rPr>
          <w:spacing w:val="-22"/>
        </w:rPr>
        <w:t> </w:t>
      </w:r>
      <w:r>
        <w:rPr/>
        <w:t>learning.</w:t>
      </w:r>
    </w:p>
    <w:p>
      <w:pPr>
        <w:pStyle w:val="BodyText"/>
        <w:spacing w:before="1"/>
        <w:rPr>
          <w:sz w:val="20"/>
        </w:rPr>
      </w:pPr>
      <w:r>
        <w:rPr/>
        <w:br w:type="column"/>
      </w:r>
      <w:r>
        <w:rPr>
          <w:sz w:val="20"/>
        </w:rPr>
      </w:r>
    </w:p>
    <w:p>
      <w:pPr>
        <w:pStyle w:val="BodyText"/>
        <w:spacing w:line="249" w:lineRule="auto"/>
        <w:ind w:left="107" w:right="160"/>
      </w:pPr>
      <w:r>
        <w:rPr/>
        <w:t>In the same year, the School also revised the final 300-level units in the Bachelor of Communication so they could be offered in hybrid mode, and it continued converting</w:t>
      </w:r>
    </w:p>
    <w:p>
      <w:pPr>
        <w:pStyle w:val="BodyText"/>
        <w:spacing w:line="249" w:lineRule="auto"/>
        <w:ind w:left="107" w:right="-15"/>
      </w:pPr>
      <w:r>
        <w:rPr/>
        <w:t>the International Relations and Asian Studies major and the Islamic Studies major in the Bachelor of </w:t>
      </w:r>
      <w:r>
        <w:rPr>
          <w:spacing w:val="2"/>
        </w:rPr>
        <w:t>Arts </w:t>
      </w:r>
      <w:r>
        <w:rPr/>
        <w:t>degrees to hybrid mode. In addition,</w:t>
      </w:r>
      <w:r>
        <w:rPr>
          <w:spacing w:val="-16"/>
        </w:rPr>
        <w:t> </w:t>
      </w:r>
      <w:r>
        <w:rPr/>
        <w:t>the</w:t>
      </w:r>
      <w:r>
        <w:rPr>
          <w:spacing w:val="-16"/>
        </w:rPr>
        <w:t> </w:t>
      </w:r>
      <w:r>
        <w:rPr/>
        <w:t>School</w:t>
      </w:r>
      <w:r>
        <w:rPr>
          <w:spacing w:val="-16"/>
        </w:rPr>
        <w:t> </w:t>
      </w:r>
      <w:r>
        <w:rPr/>
        <w:t>revised</w:t>
      </w:r>
      <w:r>
        <w:rPr>
          <w:spacing w:val="-16"/>
        </w:rPr>
        <w:t> </w:t>
      </w:r>
      <w:r>
        <w:rPr/>
        <w:t>the</w:t>
      </w:r>
      <w:r>
        <w:rPr>
          <w:spacing w:val="-16"/>
        </w:rPr>
        <w:t> </w:t>
      </w:r>
      <w:r>
        <w:rPr/>
        <w:t>four</w:t>
      </w:r>
      <w:r>
        <w:rPr>
          <w:spacing w:val="-16"/>
        </w:rPr>
        <w:t> </w:t>
      </w:r>
      <w:r>
        <w:rPr/>
        <w:t>core</w:t>
      </w:r>
      <w:r>
        <w:rPr>
          <w:spacing w:val="-16"/>
        </w:rPr>
        <w:t> </w:t>
      </w:r>
      <w:r>
        <w:rPr/>
        <w:t>units in the Bachelor of </w:t>
      </w:r>
      <w:r>
        <w:rPr>
          <w:spacing w:val="2"/>
        </w:rPr>
        <w:t>Arts </w:t>
      </w:r>
      <w:r>
        <w:rPr/>
        <w:t>degrees for online/on- </w:t>
      </w:r>
      <w:r>
        <w:rPr>
          <w:spacing w:val="1"/>
          <w:w w:val="98"/>
        </w:rPr>
        <w:t>campus</w:t>
      </w:r>
      <w:r>
        <w:rPr>
          <w:w w:val="98"/>
        </w:rPr>
        <w:t> </w:t>
      </w:r>
      <w:r>
        <w:rPr>
          <w:w w:val="98"/>
        </w:rPr>
        <w:t>hybrid </w:t>
      </w:r>
      <w:r>
        <w:rPr>
          <w:spacing w:val="1"/>
          <w:w w:val="98"/>
        </w:rPr>
        <w:t>delivery</w:t>
      </w:r>
      <w:r>
        <w:rPr>
          <w:w w:val="98"/>
        </w:rPr>
        <w:t> </w:t>
      </w:r>
      <w:r>
        <w:rPr>
          <w:spacing w:val="1"/>
          <w:w w:val="98"/>
        </w:rPr>
        <w:t>from</w:t>
      </w:r>
      <w:r>
        <w:rPr>
          <w:spacing w:val="-20"/>
          <w:w w:val="98"/>
        </w:rPr>
        <w:t> </w:t>
      </w:r>
      <w:r>
        <w:rPr>
          <w:spacing w:val="-2"/>
          <w:w w:val="83"/>
        </w:rPr>
        <w:t>2017.</w:t>
      </w:r>
    </w:p>
    <w:p>
      <w:pPr>
        <w:pStyle w:val="BodyText"/>
        <w:spacing w:before="6"/>
        <w:rPr>
          <w:sz w:val="14"/>
        </w:rPr>
      </w:pPr>
    </w:p>
    <w:p>
      <w:pPr>
        <w:pStyle w:val="Heading7"/>
      </w:pPr>
      <w:r>
        <w:rPr>
          <w:color w:val="615C58"/>
          <w:w w:val="95"/>
        </w:rPr>
        <w:t>New Courses</w:t>
      </w:r>
    </w:p>
    <w:p>
      <w:pPr>
        <w:pStyle w:val="BodyText"/>
        <w:spacing w:line="249" w:lineRule="auto" w:before="86"/>
        <w:ind w:left="107" w:right="517"/>
      </w:pPr>
      <w:r>
        <w:rPr/>
        <w:t>The School continued to identify new markets</w:t>
      </w:r>
      <w:r>
        <w:rPr>
          <w:spacing w:val="-15"/>
        </w:rPr>
        <w:t> </w:t>
      </w:r>
      <w:r>
        <w:rPr/>
        <w:t>and</w:t>
      </w:r>
      <w:r>
        <w:rPr>
          <w:spacing w:val="-15"/>
        </w:rPr>
        <w:t> </w:t>
      </w:r>
      <w:r>
        <w:rPr/>
        <w:t>developed</w:t>
      </w:r>
      <w:r>
        <w:rPr>
          <w:spacing w:val="-15"/>
        </w:rPr>
        <w:t> </w:t>
      </w:r>
      <w:r>
        <w:rPr/>
        <w:t>a</w:t>
      </w:r>
      <w:r>
        <w:rPr>
          <w:spacing w:val="-15"/>
        </w:rPr>
        <w:t> </w:t>
      </w:r>
      <w:r>
        <w:rPr/>
        <w:t>range</w:t>
      </w:r>
      <w:r>
        <w:rPr>
          <w:spacing w:val="-15"/>
        </w:rPr>
        <w:t> </w:t>
      </w:r>
      <w:r>
        <w:rPr/>
        <w:t>of</w:t>
      </w:r>
      <w:r>
        <w:rPr>
          <w:spacing w:val="-15"/>
        </w:rPr>
        <w:t> </w:t>
      </w:r>
      <w:r>
        <w:rPr/>
        <w:t>new courses</w:t>
      </w:r>
      <w:r>
        <w:rPr>
          <w:spacing w:val="-15"/>
        </w:rPr>
        <w:t> </w:t>
      </w:r>
      <w:r>
        <w:rPr/>
        <w:t>that</w:t>
      </w:r>
      <w:r>
        <w:rPr>
          <w:spacing w:val="-15"/>
        </w:rPr>
        <w:t> </w:t>
      </w:r>
      <w:r>
        <w:rPr/>
        <w:t>brought</w:t>
      </w:r>
      <w:r>
        <w:rPr>
          <w:spacing w:val="-15"/>
        </w:rPr>
        <w:t> </w:t>
      </w:r>
      <w:r>
        <w:rPr/>
        <w:t>together</w:t>
      </w:r>
      <w:r>
        <w:rPr>
          <w:spacing w:val="-15"/>
        </w:rPr>
        <w:t> </w:t>
      </w:r>
      <w:r>
        <w:rPr/>
        <w:t>existing offerings in novel and interesting ways.</w:t>
      </w:r>
      <w:r>
        <w:rPr>
          <w:spacing w:val="-21"/>
        </w:rPr>
        <w:t> </w:t>
      </w:r>
      <w:r>
        <w:rPr/>
        <w:t>The</w:t>
      </w:r>
      <w:r>
        <w:rPr>
          <w:spacing w:val="-21"/>
        </w:rPr>
        <w:t> </w:t>
      </w:r>
      <w:r>
        <w:rPr/>
        <w:t>courses</w:t>
      </w:r>
      <w:r>
        <w:rPr>
          <w:spacing w:val="-21"/>
        </w:rPr>
        <w:t> </w:t>
      </w:r>
      <w:r>
        <w:rPr/>
        <w:t>(and</w:t>
      </w:r>
      <w:r>
        <w:rPr>
          <w:spacing w:val="-21"/>
        </w:rPr>
        <w:t> </w:t>
      </w:r>
      <w:r>
        <w:rPr/>
        <w:t>associated</w:t>
      </w:r>
      <w:r>
        <w:rPr>
          <w:spacing w:val="-21"/>
        </w:rPr>
        <w:t> </w:t>
      </w:r>
      <w:r>
        <w:rPr/>
        <w:t>exit </w:t>
      </w:r>
      <w:r>
        <w:rPr>
          <w:spacing w:val="-1"/>
          <w:w w:val="97"/>
        </w:rPr>
        <w:t>awards)</w:t>
      </w:r>
      <w:r>
        <w:rPr>
          <w:w w:val="97"/>
        </w:rPr>
        <w:t> </w:t>
      </w:r>
      <w:r>
        <w:rPr>
          <w:w w:val="99"/>
        </w:rPr>
        <w:t>approved </w:t>
      </w:r>
      <w:r>
        <w:rPr>
          <w:w w:val="95"/>
        </w:rPr>
        <w:t>in </w:t>
      </w:r>
      <w:r>
        <w:rPr>
          <w:spacing w:val="1"/>
          <w:w w:val="90"/>
        </w:rPr>
        <w:t>2016</w:t>
      </w:r>
      <w:r>
        <w:rPr>
          <w:spacing w:val="-15"/>
          <w:w w:val="90"/>
        </w:rPr>
        <w:t> </w:t>
      </w:r>
      <w:r>
        <w:rPr>
          <w:spacing w:val="1"/>
          <w:w w:val="94"/>
        </w:rPr>
        <w:t>included:</w:t>
      </w:r>
    </w:p>
    <w:p>
      <w:pPr>
        <w:pStyle w:val="BodyText"/>
        <w:spacing w:before="55"/>
        <w:ind w:left="107" w:right="-2"/>
      </w:pPr>
      <w:r>
        <w:rPr>
          <w:rFonts w:ascii="Century Gothic" w:hAnsi="Century Gothic"/>
          <w:b/>
          <w:w w:val="115"/>
        </w:rPr>
        <w:t>≥ </w:t>
      </w:r>
      <w:r>
        <w:rPr>
          <w:w w:val="105"/>
        </w:rPr>
        <w:t>Bachelor of Creative Industries</w:t>
      </w:r>
    </w:p>
    <w:p>
      <w:pPr>
        <w:pStyle w:val="BodyText"/>
        <w:spacing w:before="60"/>
        <w:ind w:left="107" w:right="-2"/>
      </w:pPr>
      <w:r>
        <w:rPr>
          <w:rFonts w:ascii="Century Gothic" w:hAnsi="Century Gothic"/>
          <w:b/>
          <w:w w:val="115"/>
        </w:rPr>
        <w:t>≥ </w:t>
      </w:r>
      <w:r>
        <w:rPr>
          <w:w w:val="105"/>
        </w:rPr>
        <w:t>Bachelor of Creative Industries (Music)</w:t>
      </w:r>
    </w:p>
    <w:p>
      <w:pPr>
        <w:pStyle w:val="BodyText"/>
        <w:spacing w:line="244" w:lineRule="auto" w:before="60"/>
        <w:ind w:left="305" w:right="245" w:hanging="199"/>
      </w:pPr>
      <w:r>
        <w:rPr>
          <w:rFonts w:ascii="Century Gothic" w:hAnsi="Century Gothic"/>
          <w:b/>
          <w:w w:val="115"/>
        </w:rPr>
        <w:t>≥</w:t>
      </w:r>
      <w:r>
        <w:rPr>
          <w:rFonts w:ascii="Century Gothic" w:hAnsi="Century Gothic"/>
          <w:b/>
          <w:spacing w:val="-8"/>
          <w:w w:val="115"/>
        </w:rPr>
        <w:t> </w:t>
      </w:r>
      <w:r>
        <w:rPr>
          <w:w w:val="105"/>
        </w:rPr>
        <w:t>Bachelor</w:t>
      </w:r>
      <w:r>
        <w:rPr>
          <w:spacing w:val="-29"/>
          <w:w w:val="105"/>
        </w:rPr>
        <w:t> </w:t>
      </w:r>
      <w:r>
        <w:rPr>
          <w:w w:val="105"/>
        </w:rPr>
        <w:t>of</w:t>
      </w:r>
      <w:r>
        <w:rPr>
          <w:spacing w:val="-29"/>
          <w:w w:val="105"/>
        </w:rPr>
        <w:t> </w:t>
      </w:r>
      <w:r>
        <w:rPr>
          <w:w w:val="105"/>
        </w:rPr>
        <w:t>Graphic</w:t>
      </w:r>
      <w:r>
        <w:rPr>
          <w:spacing w:val="-29"/>
          <w:w w:val="105"/>
        </w:rPr>
        <w:t> </w:t>
      </w:r>
      <w:r>
        <w:rPr>
          <w:w w:val="105"/>
        </w:rPr>
        <w:t>Design</w:t>
      </w:r>
      <w:r>
        <w:rPr>
          <w:spacing w:val="-29"/>
          <w:w w:val="105"/>
        </w:rPr>
        <w:t> </w:t>
      </w:r>
      <w:r>
        <w:rPr>
          <w:w w:val="105"/>
        </w:rPr>
        <w:t>(Pathway</w:t>
      </w:r>
      <w:r>
        <w:rPr>
          <w:spacing w:val="-29"/>
          <w:w w:val="105"/>
        </w:rPr>
        <w:t> </w:t>
      </w:r>
      <w:r>
        <w:rPr>
          <w:w w:val="105"/>
        </w:rPr>
        <w:t>to </w:t>
      </w:r>
      <w:r>
        <w:rPr/>
        <w:t>Teaching</w:t>
      </w:r>
      <w:r>
        <w:rPr>
          <w:spacing w:val="-33"/>
        </w:rPr>
        <w:t> </w:t>
      </w:r>
      <w:r>
        <w:rPr/>
        <w:t>Secondary)</w:t>
      </w:r>
    </w:p>
    <w:p>
      <w:pPr>
        <w:pStyle w:val="BodyText"/>
        <w:spacing w:line="244" w:lineRule="auto" w:before="58"/>
        <w:ind w:left="305" w:right="14" w:hanging="199"/>
      </w:pPr>
      <w:r>
        <w:rPr>
          <w:rFonts w:ascii="Century Gothic" w:hAnsi="Century Gothic"/>
          <w:b/>
          <w:w w:val="115"/>
        </w:rPr>
        <w:t>≥ </w:t>
      </w:r>
      <w:r>
        <w:rPr/>
        <w:t>Bachelor of Creative Industries/Bachelor of Communication</w:t>
      </w:r>
    </w:p>
    <w:p>
      <w:pPr>
        <w:pStyle w:val="BodyText"/>
        <w:spacing w:line="244" w:lineRule="auto" w:before="58"/>
        <w:ind w:left="305" w:right="202" w:hanging="199"/>
      </w:pPr>
      <w:r>
        <w:rPr>
          <w:rFonts w:ascii="Century Gothic" w:hAnsi="Century Gothic"/>
          <w:b/>
          <w:w w:val="115"/>
        </w:rPr>
        <w:t>≥ </w:t>
      </w:r>
      <w:r>
        <w:rPr/>
        <w:t>Bachelor of Creative Industries/Bachelor of Arts</w:t>
      </w:r>
    </w:p>
    <w:p>
      <w:pPr>
        <w:pStyle w:val="BodyText"/>
        <w:spacing w:line="244" w:lineRule="auto" w:before="58"/>
        <w:ind w:left="305" w:right="14" w:hanging="199"/>
      </w:pPr>
      <w:r>
        <w:rPr>
          <w:rFonts w:ascii="Century Gothic" w:hAnsi="Century Gothic"/>
          <w:b/>
          <w:w w:val="115"/>
        </w:rPr>
        <w:t>≥ </w:t>
      </w:r>
      <w:r>
        <w:rPr/>
        <w:t>Bachelor of Creative Industries/Bachelor of Design (Visual Communication)</w:t>
      </w:r>
    </w:p>
    <w:p>
      <w:pPr>
        <w:pStyle w:val="BodyText"/>
        <w:spacing w:line="244" w:lineRule="auto" w:before="58"/>
        <w:ind w:left="305" w:right="202" w:hanging="199"/>
      </w:pPr>
      <w:r>
        <w:rPr>
          <w:rFonts w:ascii="Century Gothic" w:hAnsi="Century Gothic"/>
          <w:b/>
          <w:w w:val="115"/>
        </w:rPr>
        <w:t>≥ </w:t>
      </w:r>
      <w:r>
        <w:rPr/>
        <w:t>Bachelor of Creative Industries/Bachelor of Music</w:t>
      </w:r>
    </w:p>
    <w:p>
      <w:pPr>
        <w:pStyle w:val="BodyText"/>
        <w:spacing w:before="58"/>
        <w:ind w:left="107" w:right="-2"/>
      </w:pPr>
      <w:r>
        <w:rPr>
          <w:rFonts w:ascii="Century Gothic" w:hAnsi="Century Gothic"/>
          <w:b/>
          <w:w w:val="115"/>
        </w:rPr>
        <w:t>≥ </w:t>
      </w:r>
      <w:r>
        <w:rPr>
          <w:w w:val="105"/>
        </w:rPr>
        <w:t>Master of Digital Humanities.</w:t>
      </w:r>
    </w:p>
    <w:p>
      <w:pPr>
        <w:pStyle w:val="BodyText"/>
        <w:spacing w:before="5"/>
        <w:rPr>
          <w:sz w:val="14"/>
        </w:rPr>
      </w:pPr>
    </w:p>
    <w:p>
      <w:pPr>
        <w:pStyle w:val="BodyText"/>
        <w:spacing w:line="249" w:lineRule="auto"/>
        <w:ind w:left="107" w:right="139"/>
      </w:pPr>
      <w:r>
        <w:rPr/>
        <w:t>In addition, the School augmented the range of major offerings in the Bachelor of Arts degree, drawing on majors from other programs in the School as well as from the School of Business and the School of Social Sciences and Psychology.</w:t>
      </w:r>
    </w:p>
    <w:p>
      <w:pPr>
        <w:pStyle w:val="BodyText"/>
        <w:spacing w:before="6"/>
        <w:rPr>
          <w:sz w:val="14"/>
        </w:rPr>
      </w:pPr>
    </w:p>
    <w:p>
      <w:pPr>
        <w:pStyle w:val="Heading7"/>
      </w:pPr>
      <w:r>
        <w:rPr>
          <w:color w:val="615C58"/>
          <w:w w:val="95"/>
        </w:rPr>
        <w:t>Learning and Teaching Awards</w:t>
      </w:r>
    </w:p>
    <w:p>
      <w:pPr>
        <w:pStyle w:val="BodyText"/>
        <w:spacing w:line="249" w:lineRule="auto" w:before="86"/>
        <w:ind w:left="107" w:right="327"/>
      </w:pPr>
      <w:r>
        <w:rPr/>
        <w:t>The School has a strong reputation for its innovation and scholarship in learning and teaching.</w:t>
      </w:r>
    </w:p>
    <w:p>
      <w:pPr>
        <w:pStyle w:val="BodyText"/>
        <w:rPr>
          <w:sz w:val="14"/>
        </w:rPr>
      </w:pPr>
    </w:p>
    <w:p>
      <w:pPr>
        <w:pStyle w:val="BodyText"/>
        <w:spacing w:line="249" w:lineRule="auto"/>
        <w:ind w:left="107" w:right="464"/>
      </w:pPr>
      <w:r>
        <w:rPr/>
        <w:t>In the Australian Awards for University Teaching, Associate Professor Satomi Kawaguchi and Dr Xiangdong Liu received a Citation for Outstanding Contribution to Student Learning for developing and delivering an inspiring Japanese language program.</w:t>
      </w:r>
    </w:p>
    <w:p>
      <w:pPr>
        <w:pStyle w:val="BodyText"/>
        <w:spacing w:before="7"/>
        <w:rPr>
          <w:sz w:val="20"/>
        </w:rPr>
      </w:pPr>
      <w:r>
        <w:rPr/>
        <w:br w:type="column"/>
      </w:r>
      <w:r>
        <w:rPr>
          <w:sz w:val="20"/>
        </w:rPr>
      </w:r>
    </w:p>
    <w:p>
      <w:pPr>
        <w:pStyle w:val="Heading7"/>
        <w:ind w:right="0"/>
      </w:pPr>
      <w:r>
        <w:rPr/>
        <w:t>ENGAGEMENT</w:t>
      </w:r>
    </w:p>
    <w:p>
      <w:pPr>
        <w:pStyle w:val="BodyText"/>
        <w:spacing w:line="249" w:lineRule="auto" w:before="58"/>
        <w:ind w:left="107" w:right="325"/>
      </w:pPr>
      <w:r>
        <w:rPr/>
        <w:t>The School continues to initiate activities and projects that engage the international</w:t>
      </w:r>
    </w:p>
    <w:p>
      <w:pPr>
        <w:pStyle w:val="BodyText"/>
        <w:spacing w:line="249" w:lineRule="auto"/>
        <w:ind w:left="107"/>
      </w:pPr>
      <w:r>
        <w:rPr/>
        <w:t>academic community and other stakeholders. </w:t>
      </w:r>
      <w:r>
        <w:rPr>
          <w:w w:val="97"/>
        </w:rPr>
        <w:t>Successes </w:t>
      </w:r>
      <w:r>
        <w:rPr>
          <w:w w:val="95"/>
        </w:rPr>
        <w:t>in </w:t>
      </w:r>
      <w:r>
        <w:rPr>
          <w:w w:val="90"/>
        </w:rPr>
        <w:t>2016 </w:t>
      </w:r>
      <w:r>
        <w:rPr>
          <w:w w:val="94"/>
        </w:rPr>
        <w:t>included:</w:t>
      </w:r>
    </w:p>
    <w:p>
      <w:pPr>
        <w:pStyle w:val="BodyText"/>
        <w:spacing w:line="247" w:lineRule="auto" w:before="55"/>
        <w:ind w:left="305" w:hanging="199"/>
      </w:pPr>
      <w:r>
        <w:rPr>
          <w:rFonts w:ascii="Century Gothic" w:hAnsi="Century Gothic"/>
          <w:b/>
          <w:w w:val="115"/>
        </w:rPr>
        <w:t>≥ </w:t>
      </w:r>
      <w:r>
        <w:rPr/>
        <w:t>At the Intersection: Pacific Climate Change and Resource Exploitation in West Papua conference, Parramatta campus, 3–4 November</w:t>
      </w:r>
    </w:p>
    <w:p>
      <w:pPr>
        <w:pStyle w:val="BodyText"/>
        <w:spacing w:line="244" w:lineRule="auto" w:before="57"/>
        <w:ind w:left="305" w:right="58" w:hanging="199"/>
      </w:pPr>
      <w:r>
        <w:rPr>
          <w:rFonts w:ascii="Century Gothic" w:hAnsi="Century Gothic"/>
          <w:b/>
          <w:w w:val="115"/>
        </w:rPr>
        <w:t>≥ </w:t>
      </w:r>
      <w:r>
        <w:rPr>
          <w:w w:val="105"/>
        </w:rPr>
        <w:t>Communication Campaigns Industry </w:t>
      </w:r>
      <w:r>
        <w:rPr/>
        <w:t>Showcase, Parramatta campus, 26 October</w:t>
      </w:r>
    </w:p>
    <w:p>
      <w:pPr>
        <w:pStyle w:val="BodyText"/>
        <w:spacing w:line="244" w:lineRule="auto" w:before="58"/>
        <w:ind w:left="305" w:right="677" w:hanging="199"/>
      </w:pPr>
      <w:r>
        <w:rPr>
          <w:rFonts w:ascii="Century Gothic" w:hAnsi="Century Gothic"/>
          <w:b/>
          <w:w w:val="115"/>
        </w:rPr>
        <w:t>≥</w:t>
      </w:r>
      <w:r>
        <w:rPr>
          <w:rFonts w:ascii="Century Gothic" w:hAnsi="Century Gothic"/>
          <w:b/>
          <w:spacing w:val="-24"/>
          <w:w w:val="115"/>
        </w:rPr>
        <w:t> </w:t>
      </w:r>
      <w:r>
        <w:rPr>
          <w:w w:val="105"/>
        </w:rPr>
        <w:t>Design</w:t>
      </w:r>
      <w:r>
        <w:rPr>
          <w:spacing w:val="-38"/>
          <w:w w:val="105"/>
        </w:rPr>
        <w:t> </w:t>
      </w:r>
      <w:r>
        <w:rPr>
          <w:w w:val="105"/>
        </w:rPr>
        <w:t>Graduate</w:t>
      </w:r>
      <w:r>
        <w:rPr>
          <w:spacing w:val="-38"/>
          <w:w w:val="105"/>
        </w:rPr>
        <w:t> </w:t>
      </w:r>
      <w:r>
        <w:rPr>
          <w:w w:val="105"/>
        </w:rPr>
        <w:t>Show,</w:t>
      </w:r>
      <w:r>
        <w:rPr>
          <w:spacing w:val="-38"/>
          <w:w w:val="105"/>
        </w:rPr>
        <w:t> </w:t>
      </w:r>
      <w:r>
        <w:rPr>
          <w:w w:val="105"/>
        </w:rPr>
        <w:t>Parramatta </w:t>
      </w:r>
      <w:r>
        <w:rPr>
          <w:spacing w:val="2"/>
        </w:rPr>
        <w:t>campus,</w:t>
      </w:r>
      <w:r>
        <w:rPr>
          <w:spacing w:val="-35"/>
        </w:rPr>
        <w:t> </w:t>
      </w:r>
      <w:r>
        <w:rPr/>
        <w:t>23–24</w:t>
      </w:r>
      <w:r>
        <w:rPr>
          <w:spacing w:val="-35"/>
        </w:rPr>
        <w:t> </w:t>
      </w:r>
      <w:r>
        <w:rPr/>
        <w:t>November</w:t>
      </w:r>
    </w:p>
    <w:p>
      <w:pPr>
        <w:pStyle w:val="BodyText"/>
        <w:spacing w:line="247" w:lineRule="auto" w:before="58"/>
        <w:ind w:left="305" w:hanging="199"/>
      </w:pPr>
      <w:r>
        <w:rPr>
          <w:rFonts w:ascii="Century Gothic" w:hAnsi="Century Gothic"/>
          <w:b/>
          <w:w w:val="115"/>
        </w:rPr>
        <w:t>≥ </w:t>
      </w:r>
      <w:r>
        <w:rPr/>
        <w:t>DocMedia Day (in partnership with the Antenna Documentary Film Festival), Parramatta campus, 14 October</w:t>
      </w:r>
    </w:p>
    <w:p>
      <w:pPr>
        <w:pStyle w:val="BodyText"/>
        <w:spacing w:line="247" w:lineRule="auto" w:before="57"/>
        <w:ind w:left="305" w:right="84" w:hanging="199"/>
      </w:pPr>
      <w:r>
        <w:rPr>
          <w:rFonts w:ascii="Century Gothic" w:hAnsi="Century Gothic"/>
          <w:b/>
          <w:w w:val="115"/>
        </w:rPr>
        <w:t>≥ </w:t>
      </w:r>
      <w:r>
        <w:rPr/>
        <w:t>Multilingual Repertoires and Multilingual Discourse conference, Parramatta campus, </w:t>
      </w:r>
      <w:r>
        <w:rPr>
          <w:w w:val="95"/>
        </w:rPr>
        <w:t>26–28 October.</w:t>
      </w:r>
    </w:p>
    <w:p>
      <w:pPr>
        <w:pStyle w:val="BodyText"/>
        <w:spacing w:before="8"/>
        <w:rPr>
          <w:sz w:val="14"/>
        </w:rPr>
      </w:pPr>
    </w:p>
    <w:p>
      <w:pPr>
        <w:pStyle w:val="Heading7"/>
        <w:ind w:right="0"/>
      </w:pPr>
      <w:r>
        <w:rPr>
          <w:color w:val="615C58"/>
          <w:w w:val="95"/>
        </w:rPr>
        <w:t>Digital Humanities</w:t>
      </w:r>
    </w:p>
    <w:p>
      <w:pPr>
        <w:pStyle w:val="BodyText"/>
        <w:spacing w:line="244" w:lineRule="auto" w:before="85"/>
        <w:ind w:left="305" w:hanging="199"/>
      </w:pPr>
      <w:r>
        <w:rPr>
          <w:rFonts w:ascii="Century Gothic" w:hAnsi="Century Gothic"/>
          <w:b/>
          <w:w w:val="115"/>
        </w:rPr>
        <w:t>≥ </w:t>
      </w:r>
      <w:r>
        <w:rPr/>
        <w:t>Digitizing Enlightenment Symposium, </w:t>
      </w:r>
      <w:r>
        <w:rPr>
          <w:w w:val="95"/>
        </w:rPr>
        <w:t>Parramatta campus, 12–13 July</w:t>
      </w:r>
    </w:p>
    <w:p>
      <w:pPr>
        <w:pStyle w:val="BodyText"/>
        <w:spacing w:before="10"/>
        <w:rPr>
          <w:sz w:val="14"/>
        </w:rPr>
      </w:pPr>
    </w:p>
    <w:p>
      <w:pPr>
        <w:pStyle w:val="Heading7"/>
        <w:ind w:right="0"/>
      </w:pPr>
      <w:r>
        <w:rPr>
          <w:color w:val="615C58"/>
          <w:w w:val="95"/>
        </w:rPr>
        <w:t>History at Western Sydney University</w:t>
      </w:r>
    </w:p>
    <w:p>
      <w:pPr>
        <w:pStyle w:val="BodyText"/>
        <w:spacing w:line="247" w:lineRule="auto" w:before="85"/>
        <w:ind w:left="305" w:right="110" w:hanging="199"/>
      </w:pPr>
      <w:r>
        <w:rPr>
          <w:rFonts w:ascii="Century Gothic" w:hAnsi="Century Gothic"/>
          <w:b/>
          <w:w w:val="115"/>
        </w:rPr>
        <w:t>≥  </w:t>
      </w:r>
      <w:r>
        <w:rPr/>
        <w:t>Professor Patrick Weil – Visiting Professor of</w:t>
      </w:r>
      <w:r>
        <w:rPr>
          <w:spacing w:val="-22"/>
        </w:rPr>
        <w:t> </w:t>
      </w:r>
      <w:r>
        <w:rPr/>
        <w:t>Law,</w:t>
      </w:r>
      <w:r>
        <w:rPr>
          <w:spacing w:val="-22"/>
        </w:rPr>
        <w:t> </w:t>
      </w:r>
      <w:r>
        <w:rPr/>
        <w:t>Oscar</w:t>
      </w:r>
      <w:r>
        <w:rPr>
          <w:spacing w:val="-22"/>
        </w:rPr>
        <w:t> </w:t>
      </w:r>
      <w:r>
        <w:rPr>
          <w:spacing w:val="2"/>
        </w:rPr>
        <w:t>M.</w:t>
      </w:r>
      <w:r>
        <w:rPr>
          <w:spacing w:val="-22"/>
        </w:rPr>
        <w:t> </w:t>
      </w:r>
      <w:r>
        <w:rPr/>
        <w:t>Ruebhausen</w:t>
      </w:r>
      <w:r>
        <w:rPr>
          <w:spacing w:val="-22"/>
        </w:rPr>
        <w:t> </w:t>
      </w:r>
      <w:r>
        <w:rPr/>
        <w:t>Distinguished Senior</w:t>
      </w:r>
      <w:r>
        <w:rPr>
          <w:spacing w:val="-21"/>
        </w:rPr>
        <w:t> </w:t>
      </w:r>
      <w:r>
        <w:rPr/>
        <w:t>Fellow,</w:t>
      </w:r>
      <w:r>
        <w:rPr>
          <w:spacing w:val="-21"/>
        </w:rPr>
        <w:t> </w:t>
      </w:r>
      <w:r>
        <w:rPr/>
        <w:t>Senior</w:t>
      </w:r>
      <w:r>
        <w:rPr>
          <w:spacing w:val="-21"/>
        </w:rPr>
        <w:t> </w:t>
      </w:r>
      <w:r>
        <w:rPr/>
        <w:t>Research</w:t>
      </w:r>
      <w:r>
        <w:rPr>
          <w:spacing w:val="-21"/>
        </w:rPr>
        <w:t> </w:t>
      </w:r>
      <w:r>
        <w:rPr/>
        <w:t>Scholar</w:t>
      </w:r>
    </w:p>
    <w:p>
      <w:pPr>
        <w:pStyle w:val="BodyText"/>
        <w:spacing w:line="249" w:lineRule="auto" w:before="1"/>
        <w:ind w:left="305" w:right="92"/>
      </w:pPr>
      <w:r>
        <w:rPr/>
        <w:t>in Law at Yale Law School, and Senior Research Fellow at the French National Center for Scientific Research at Université Paris </w:t>
      </w:r>
      <w:r>
        <w:rPr>
          <w:w w:val="95"/>
        </w:rPr>
        <w:t>1 </w:t>
      </w:r>
      <w:r>
        <w:rPr/>
        <w:t>Panthéon-Sorbonne – gave the</w:t>
      </w:r>
    </w:p>
    <w:p>
      <w:pPr>
        <w:pStyle w:val="BodyText"/>
        <w:spacing w:line="247" w:lineRule="auto"/>
        <w:ind w:left="305" w:right="219"/>
      </w:pPr>
      <w:r>
        <w:rPr/>
        <w:t>4th annual Europe Lecture at the State Library</w:t>
      </w:r>
      <w:r>
        <w:rPr>
          <w:spacing w:val="-16"/>
        </w:rPr>
        <w:t> </w:t>
      </w:r>
      <w:r>
        <w:rPr/>
        <w:t>of</w:t>
      </w:r>
      <w:r>
        <w:rPr>
          <w:spacing w:val="-16"/>
        </w:rPr>
        <w:t> </w:t>
      </w:r>
      <w:r>
        <w:rPr/>
        <w:t>NSW</w:t>
      </w:r>
      <w:r>
        <w:rPr>
          <w:spacing w:val="-16"/>
        </w:rPr>
        <w:t> </w:t>
      </w:r>
      <w:r>
        <w:rPr/>
        <w:t>in</w:t>
      </w:r>
      <w:r>
        <w:rPr>
          <w:spacing w:val="-16"/>
        </w:rPr>
        <w:t> </w:t>
      </w:r>
      <w:r>
        <w:rPr/>
        <w:t>July.</w:t>
      </w:r>
      <w:r>
        <w:rPr>
          <w:spacing w:val="-16"/>
        </w:rPr>
        <w:t> </w:t>
      </w:r>
      <w:r>
        <w:rPr/>
        <w:t>The</w:t>
      </w:r>
      <w:r>
        <w:rPr>
          <w:spacing w:val="-16"/>
        </w:rPr>
        <w:t> </w:t>
      </w:r>
      <w:r>
        <w:rPr/>
        <w:t>lecture,</w:t>
      </w:r>
      <w:r>
        <w:rPr>
          <w:spacing w:val="-16"/>
        </w:rPr>
        <w:t> </w:t>
      </w:r>
      <w:r>
        <w:rPr/>
        <w:t>on</w:t>
      </w:r>
      <w:r>
        <w:rPr>
          <w:spacing w:val="-16"/>
        </w:rPr>
        <w:t> </w:t>
      </w:r>
      <w:r>
        <w:rPr/>
        <w:t>the </w:t>
      </w:r>
      <w:r>
        <w:rPr>
          <w:w w:val="100"/>
        </w:rPr>
        <w:t>topic </w:t>
      </w:r>
      <w:r>
        <w:rPr>
          <w:spacing w:val="-1"/>
          <w:w w:val="100"/>
        </w:rPr>
        <w:t>‘After</w:t>
      </w:r>
      <w:r>
        <w:rPr>
          <w:w w:val="100"/>
        </w:rPr>
        <w:t> </w:t>
      </w:r>
      <w:r>
        <w:rPr>
          <w:w w:val="97"/>
        </w:rPr>
        <w:t>the </w:t>
      </w:r>
      <w:r>
        <w:rPr>
          <w:spacing w:val="1"/>
          <w:w w:val="88"/>
        </w:rPr>
        <w:t>2015</w:t>
      </w:r>
      <w:r>
        <w:rPr>
          <w:w w:val="88"/>
        </w:rPr>
        <w:t> </w:t>
      </w:r>
      <w:r>
        <w:rPr>
          <w:spacing w:val="1"/>
          <w:w w:val="97"/>
        </w:rPr>
        <w:t>Paris</w:t>
      </w:r>
      <w:r>
        <w:rPr>
          <w:w w:val="97"/>
        </w:rPr>
        <w:t> </w:t>
      </w:r>
      <w:r>
        <w:rPr>
          <w:spacing w:val="1"/>
          <w:w w:val="95"/>
        </w:rPr>
        <w:t>Attacks:</w:t>
      </w:r>
      <w:r>
        <w:rPr>
          <w:w w:val="95"/>
        </w:rPr>
        <w:t> </w:t>
      </w:r>
      <w:r>
        <w:rPr>
          <w:spacing w:val="1"/>
          <w:w w:val="99"/>
        </w:rPr>
        <w:t>What</w:t>
      </w:r>
      <w:r>
        <w:rPr>
          <w:w w:val="99"/>
        </w:rPr>
        <w:t> </w:t>
      </w:r>
      <w:r>
        <w:rPr/>
        <w:t>is</w:t>
      </w:r>
      <w:r>
        <w:rPr>
          <w:spacing w:val="-19"/>
        </w:rPr>
        <w:t> </w:t>
      </w:r>
      <w:r>
        <w:rPr/>
        <w:t>the</w:t>
      </w:r>
      <w:r>
        <w:rPr>
          <w:spacing w:val="-19"/>
        </w:rPr>
        <w:t> </w:t>
      </w:r>
      <w:r>
        <w:rPr/>
        <w:t>Future</w:t>
      </w:r>
      <w:r>
        <w:rPr>
          <w:spacing w:val="-19"/>
        </w:rPr>
        <w:t> </w:t>
      </w:r>
      <w:r>
        <w:rPr/>
        <w:t>of</w:t>
      </w:r>
      <w:r>
        <w:rPr>
          <w:spacing w:val="-19"/>
        </w:rPr>
        <w:t> </w:t>
      </w:r>
      <w:r>
        <w:rPr/>
        <w:t>the</w:t>
      </w:r>
      <w:r>
        <w:rPr>
          <w:spacing w:val="-19"/>
        </w:rPr>
        <w:t> </w:t>
      </w:r>
      <w:r>
        <w:rPr/>
        <w:t>French</w:t>
      </w:r>
      <w:r>
        <w:rPr>
          <w:spacing w:val="-19"/>
        </w:rPr>
        <w:t> </w:t>
      </w:r>
      <w:r>
        <w:rPr/>
        <w:t>Republic?’,</w:t>
      </w:r>
      <w:r>
        <w:rPr>
          <w:spacing w:val="-19"/>
        </w:rPr>
        <w:t> </w:t>
      </w:r>
      <w:r>
        <w:rPr/>
        <w:t>was </w:t>
      </w:r>
      <w:r>
        <w:rPr>
          <w:w w:val="95"/>
        </w:rPr>
        <w:t>recor</w:t>
      </w:r>
      <w:r>
        <w:rPr>
          <w:rFonts w:ascii="Century Gothic" w:hAnsi="Century Gothic"/>
          <w:i/>
          <w:w w:val="95"/>
        </w:rPr>
        <w:t>ded</w:t>
      </w:r>
      <w:r>
        <w:rPr>
          <w:rFonts w:ascii="Century Gothic" w:hAnsi="Century Gothic"/>
          <w:i/>
          <w:spacing w:val="-30"/>
          <w:w w:val="95"/>
        </w:rPr>
        <w:t> </w:t>
      </w:r>
      <w:r>
        <w:rPr>
          <w:rFonts w:ascii="Century Gothic" w:hAnsi="Century Gothic"/>
          <w:i/>
          <w:w w:val="95"/>
        </w:rPr>
        <w:t>and</w:t>
      </w:r>
      <w:r>
        <w:rPr>
          <w:rFonts w:ascii="Century Gothic" w:hAnsi="Century Gothic"/>
          <w:i/>
          <w:spacing w:val="-30"/>
          <w:w w:val="95"/>
        </w:rPr>
        <w:t> </w:t>
      </w:r>
      <w:r>
        <w:rPr>
          <w:rFonts w:ascii="Century Gothic" w:hAnsi="Century Gothic"/>
          <w:i/>
          <w:w w:val="95"/>
        </w:rPr>
        <w:t>broadcast</w:t>
      </w:r>
      <w:r>
        <w:rPr>
          <w:rFonts w:ascii="Century Gothic" w:hAnsi="Century Gothic"/>
          <w:i/>
          <w:spacing w:val="-30"/>
          <w:w w:val="95"/>
        </w:rPr>
        <w:t> </w:t>
      </w:r>
      <w:r>
        <w:rPr>
          <w:rFonts w:ascii="Century Gothic" w:hAnsi="Century Gothic"/>
          <w:i/>
          <w:w w:val="95"/>
        </w:rPr>
        <w:t>by</w:t>
      </w:r>
      <w:r>
        <w:rPr>
          <w:rFonts w:ascii="Century Gothic" w:hAnsi="Century Gothic"/>
          <w:i/>
          <w:spacing w:val="-30"/>
          <w:w w:val="95"/>
        </w:rPr>
        <w:t> </w:t>
      </w:r>
      <w:r>
        <w:rPr>
          <w:rFonts w:ascii="Century Gothic" w:hAnsi="Century Gothic"/>
          <w:i/>
          <w:w w:val="95"/>
        </w:rPr>
        <w:t>the</w:t>
      </w:r>
      <w:r>
        <w:rPr>
          <w:rFonts w:ascii="Century Gothic" w:hAnsi="Century Gothic"/>
          <w:i/>
          <w:spacing w:val="-30"/>
          <w:w w:val="95"/>
        </w:rPr>
        <w:t> </w:t>
      </w:r>
      <w:r>
        <w:rPr>
          <w:rFonts w:ascii="Century Gothic" w:hAnsi="Century Gothic"/>
          <w:i/>
          <w:spacing w:val="2"/>
          <w:w w:val="95"/>
        </w:rPr>
        <w:t>ABC’s</w:t>
      </w:r>
      <w:r>
        <w:rPr>
          <w:rFonts w:ascii="Century Gothic" w:hAnsi="Century Gothic"/>
          <w:i/>
          <w:spacing w:val="-30"/>
          <w:w w:val="95"/>
        </w:rPr>
        <w:t> </w:t>
      </w:r>
      <w:r>
        <w:rPr>
          <w:w w:val="95"/>
        </w:rPr>
        <w:t>Big Ideas</w:t>
      </w:r>
      <w:r>
        <w:rPr>
          <w:spacing w:val="11"/>
          <w:w w:val="95"/>
        </w:rPr>
        <w:t> </w:t>
      </w:r>
      <w:r>
        <w:rPr>
          <w:w w:val="95"/>
        </w:rPr>
        <w:t>program.</w:t>
      </w:r>
    </w:p>
    <w:p>
      <w:pPr>
        <w:pStyle w:val="BodyText"/>
        <w:spacing w:line="247" w:lineRule="auto" w:before="57"/>
        <w:ind w:left="305" w:right="212" w:hanging="199"/>
      </w:pPr>
      <w:r>
        <w:rPr>
          <w:rFonts w:ascii="Century Gothic" w:hAnsi="Century Gothic"/>
          <w:b/>
          <w:w w:val="115"/>
        </w:rPr>
        <w:t>≥ </w:t>
      </w:r>
      <w:r>
        <w:rPr/>
        <w:t>20th George Rudé Seminar in French History and Civilisation, Parramatta </w:t>
      </w:r>
      <w:r>
        <w:rPr>
          <w:w w:val="90"/>
        </w:rPr>
        <w:t>campus, 13–16 July.</w:t>
      </w:r>
    </w:p>
    <w:p>
      <w:pPr>
        <w:pStyle w:val="BodyText"/>
        <w:spacing w:before="8"/>
        <w:rPr>
          <w:sz w:val="14"/>
        </w:rPr>
      </w:pPr>
    </w:p>
    <w:p>
      <w:pPr>
        <w:pStyle w:val="Heading7"/>
        <w:ind w:right="0"/>
      </w:pPr>
      <w:r>
        <w:rPr>
          <w:color w:val="615C58"/>
          <w:w w:val="95"/>
        </w:rPr>
        <w:t>Philosophy at Western Sydney University</w:t>
      </w:r>
    </w:p>
    <w:p>
      <w:pPr>
        <w:pStyle w:val="BodyText"/>
        <w:spacing w:line="244" w:lineRule="auto" w:before="85"/>
        <w:ind w:left="305" w:right="212" w:hanging="199"/>
      </w:pPr>
      <w:r>
        <w:rPr>
          <w:rFonts w:ascii="Century Gothic" w:hAnsi="Century Gothic"/>
          <w:b/>
          <w:w w:val="115"/>
        </w:rPr>
        <w:t>≥ </w:t>
      </w:r>
      <w:r>
        <w:rPr/>
        <w:t>Professor Thomas Keenan – Director of the Human Rights Project and Associate</w:t>
      </w:r>
    </w:p>
    <w:p>
      <w:pPr>
        <w:pStyle w:val="BodyText"/>
        <w:spacing w:line="249" w:lineRule="auto" w:before="3"/>
        <w:ind w:left="305" w:right="36"/>
      </w:pPr>
      <w:r>
        <w:rPr/>
        <w:t>Professor of Comparative Literature at Bard College – delivered the ‘Thinking Out Loud’ lectures at the State Library of NSW on the topic ‘Claiming Human Rights’.</w:t>
      </w:r>
    </w:p>
    <w:p>
      <w:pPr>
        <w:pStyle w:val="BodyText"/>
        <w:spacing w:line="244" w:lineRule="auto" w:before="55"/>
        <w:ind w:left="305" w:hanging="199"/>
      </w:pPr>
      <w:r>
        <w:rPr>
          <w:rFonts w:ascii="Century Gothic" w:hAnsi="Century Gothic"/>
          <w:b/>
          <w:w w:val="115"/>
        </w:rPr>
        <w:t>≥ </w:t>
      </w:r>
      <w:r>
        <w:rPr/>
        <w:t>Professor Dennis Schmidt, Western Sydney University, delivered the 26th Sydney</w:t>
      </w:r>
    </w:p>
    <w:p>
      <w:pPr>
        <w:spacing w:after="0" w:line="244" w:lineRule="auto"/>
        <w:sectPr>
          <w:type w:val="continuous"/>
          <w:pgSz w:w="11910" w:h="16840"/>
          <w:pgMar w:top="1580" w:bottom="280" w:left="800" w:right="800"/>
          <w:cols w:num="3" w:equalWidth="0">
            <w:col w:w="3301" w:space="138"/>
            <w:col w:w="3320" w:space="119"/>
            <w:col w:w="3432"/>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46"/>
          <w:footerReference w:type="default" r:id="rId47"/>
          <w:pgSz w:w="11910" w:h="16840"/>
          <w:pgMar w:footer="472" w:header="496" w:top="680" w:bottom="660" w:left="800" w:right="800"/>
        </w:sectPr>
      </w:pPr>
    </w:p>
    <w:p>
      <w:pPr>
        <w:pStyle w:val="BodyText"/>
        <w:spacing w:before="11"/>
        <w:rPr>
          <w:rFonts w:ascii="Chronicle Text G1"/>
          <w:b w:val="0"/>
        </w:rPr>
      </w:pPr>
    </w:p>
    <w:p>
      <w:pPr>
        <w:pStyle w:val="BodyText"/>
        <w:spacing w:line="249" w:lineRule="auto"/>
        <w:ind w:left="305" w:right="30"/>
      </w:pPr>
      <w:r>
        <w:rPr/>
        <w:t>Seminar</w:t>
      </w:r>
      <w:r>
        <w:rPr>
          <w:spacing w:val="-14"/>
        </w:rPr>
        <w:t> </w:t>
      </w:r>
      <w:r>
        <w:rPr/>
        <w:t>for</w:t>
      </w:r>
      <w:r>
        <w:rPr>
          <w:spacing w:val="-14"/>
        </w:rPr>
        <w:t> </w:t>
      </w:r>
      <w:r>
        <w:rPr/>
        <w:t>the</w:t>
      </w:r>
      <w:r>
        <w:rPr>
          <w:spacing w:val="-14"/>
        </w:rPr>
        <w:t> </w:t>
      </w:r>
      <w:r>
        <w:rPr>
          <w:spacing w:val="2"/>
        </w:rPr>
        <w:t>Arts</w:t>
      </w:r>
      <w:r>
        <w:rPr>
          <w:spacing w:val="-14"/>
        </w:rPr>
        <w:t> </w:t>
      </w:r>
      <w:r>
        <w:rPr/>
        <w:t>and</w:t>
      </w:r>
      <w:r>
        <w:rPr>
          <w:spacing w:val="-14"/>
        </w:rPr>
        <w:t> </w:t>
      </w:r>
      <w:r>
        <w:rPr/>
        <w:t>Philosophy</w:t>
      </w:r>
      <w:r>
        <w:rPr>
          <w:spacing w:val="-14"/>
        </w:rPr>
        <w:t> </w:t>
      </w:r>
      <w:r>
        <w:rPr/>
        <w:t>on</w:t>
      </w:r>
      <w:r>
        <w:rPr>
          <w:spacing w:val="-14"/>
        </w:rPr>
        <w:t> </w:t>
      </w:r>
      <w:r>
        <w:rPr/>
        <w:t>the topic ‘What Do We Owe the </w:t>
      </w:r>
      <w:r>
        <w:rPr>
          <w:spacing w:val="2"/>
        </w:rPr>
        <w:t>Dead?’ </w:t>
      </w:r>
      <w:r>
        <w:rPr/>
        <w:t>at the State Library of NSW. The distinguished author</w:t>
      </w:r>
      <w:r>
        <w:rPr>
          <w:spacing w:val="-20"/>
        </w:rPr>
        <w:t> </w:t>
      </w:r>
      <w:r>
        <w:rPr/>
        <w:t>David</w:t>
      </w:r>
      <w:r>
        <w:rPr>
          <w:spacing w:val="-20"/>
        </w:rPr>
        <w:t> </w:t>
      </w:r>
      <w:r>
        <w:rPr/>
        <w:t>Malouf</w:t>
      </w:r>
      <w:r>
        <w:rPr>
          <w:spacing w:val="-20"/>
        </w:rPr>
        <w:t> </w:t>
      </w:r>
      <w:r>
        <w:rPr/>
        <w:t>was</w:t>
      </w:r>
      <w:r>
        <w:rPr>
          <w:spacing w:val="-20"/>
        </w:rPr>
        <w:t> </w:t>
      </w:r>
      <w:r>
        <w:rPr/>
        <w:t>the</w:t>
      </w:r>
      <w:r>
        <w:rPr>
          <w:spacing w:val="-20"/>
        </w:rPr>
        <w:t> </w:t>
      </w:r>
      <w:r>
        <w:rPr/>
        <w:t>respondent.</w:t>
      </w:r>
    </w:p>
    <w:p>
      <w:pPr>
        <w:pStyle w:val="BodyText"/>
        <w:spacing w:before="3"/>
        <w:rPr>
          <w:sz w:val="19"/>
        </w:rPr>
      </w:pPr>
    </w:p>
    <w:p>
      <w:pPr>
        <w:pStyle w:val="Heading7"/>
      </w:pPr>
      <w:r>
        <w:rPr>
          <w:w w:val="95"/>
        </w:rPr>
        <w:t>WRITING AND SOCIETY RESEARCH CENTRE</w:t>
      </w:r>
    </w:p>
    <w:p>
      <w:pPr>
        <w:pStyle w:val="BodyText"/>
        <w:spacing w:line="247" w:lineRule="auto" w:before="57"/>
        <w:ind w:left="305" w:right="-2" w:hanging="199"/>
      </w:pPr>
      <w:r>
        <w:rPr>
          <w:rFonts w:ascii="Century Gothic" w:hAnsi="Century Gothic"/>
          <w:b/>
          <w:w w:val="115"/>
        </w:rPr>
        <w:t>≥ </w:t>
      </w:r>
      <w:r>
        <w:rPr/>
        <w:t>‘Literature and Technology’, Australasian Association for Literature conference, </w:t>
      </w:r>
      <w:r>
        <w:rPr>
          <w:w w:val="95"/>
        </w:rPr>
        <w:t>Parramatta campus, 11–12 July</w:t>
      </w:r>
    </w:p>
    <w:p>
      <w:pPr>
        <w:pStyle w:val="BodyText"/>
        <w:spacing w:line="247" w:lineRule="auto" w:before="57"/>
        <w:ind w:left="305" w:right="149" w:hanging="199"/>
      </w:pPr>
      <w:r>
        <w:rPr>
          <w:rFonts w:ascii="Century Gothic" w:hAnsi="Century Gothic"/>
          <w:b/>
          <w:w w:val="115"/>
        </w:rPr>
        <w:t>≥ </w:t>
      </w:r>
      <w:r>
        <w:rPr/>
        <w:t>Australian Women’s Writing Symposium (in</w:t>
      </w:r>
      <w:r>
        <w:rPr>
          <w:spacing w:val="-14"/>
        </w:rPr>
        <w:t> </w:t>
      </w:r>
      <w:r>
        <w:rPr/>
        <w:t>collaboration</w:t>
      </w:r>
      <w:r>
        <w:rPr>
          <w:spacing w:val="-14"/>
        </w:rPr>
        <w:t> </w:t>
      </w:r>
      <w:r>
        <w:rPr/>
        <w:t>with</w:t>
      </w:r>
      <w:r>
        <w:rPr>
          <w:spacing w:val="-14"/>
        </w:rPr>
        <w:t> </w:t>
      </w:r>
      <w:r>
        <w:rPr/>
        <w:t>the</w:t>
      </w:r>
      <w:r>
        <w:rPr>
          <w:spacing w:val="-14"/>
        </w:rPr>
        <w:t> </w:t>
      </w:r>
      <w:r>
        <w:rPr/>
        <w:t>State</w:t>
      </w:r>
      <w:r>
        <w:rPr>
          <w:spacing w:val="-14"/>
        </w:rPr>
        <w:t> </w:t>
      </w:r>
      <w:r>
        <w:rPr/>
        <w:t>Library</w:t>
      </w:r>
      <w:r>
        <w:rPr>
          <w:spacing w:val="-14"/>
        </w:rPr>
        <w:t> </w:t>
      </w:r>
      <w:r>
        <w:rPr/>
        <w:t>of NSW</w:t>
      </w:r>
      <w:r>
        <w:rPr>
          <w:spacing w:val="-32"/>
        </w:rPr>
        <w:t> </w:t>
      </w:r>
      <w:r>
        <w:rPr/>
        <w:t>and</w:t>
      </w:r>
      <w:r>
        <w:rPr>
          <w:spacing w:val="-32"/>
        </w:rPr>
        <w:t> </w:t>
      </w:r>
      <w:r>
        <w:rPr/>
        <w:t>the</w:t>
      </w:r>
      <w:r>
        <w:rPr>
          <w:spacing w:val="-32"/>
        </w:rPr>
        <w:t> </w:t>
      </w:r>
      <w:r>
        <w:rPr>
          <w:rFonts w:ascii="Century Gothic" w:hAnsi="Century Gothic"/>
          <w:i/>
        </w:rPr>
        <w:t>Sydney</w:t>
      </w:r>
      <w:r>
        <w:rPr>
          <w:rFonts w:ascii="Century Gothic" w:hAnsi="Century Gothic"/>
          <w:i/>
          <w:spacing w:val="-27"/>
        </w:rPr>
        <w:t> </w:t>
      </w:r>
      <w:r>
        <w:rPr>
          <w:rFonts w:ascii="Century Gothic" w:hAnsi="Century Gothic"/>
          <w:i/>
        </w:rPr>
        <w:t>Review</w:t>
      </w:r>
      <w:r>
        <w:rPr>
          <w:rFonts w:ascii="Century Gothic" w:hAnsi="Century Gothic"/>
          <w:i/>
          <w:spacing w:val="-27"/>
        </w:rPr>
        <w:t> </w:t>
      </w:r>
      <w:r>
        <w:rPr>
          <w:rFonts w:ascii="Century Gothic" w:hAnsi="Century Gothic"/>
          <w:i/>
        </w:rPr>
        <w:t>of</w:t>
      </w:r>
      <w:r>
        <w:rPr>
          <w:rFonts w:ascii="Century Gothic" w:hAnsi="Century Gothic"/>
          <w:i/>
          <w:spacing w:val="-27"/>
        </w:rPr>
        <w:t> </w:t>
      </w:r>
      <w:r>
        <w:rPr>
          <w:rFonts w:ascii="Century Gothic" w:hAnsi="Century Gothic"/>
          <w:i/>
        </w:rPr>
        <w:t>Books</w:t>
      </w:r>
      <w:r>
        <w:rPr/>
        <w:t>), State</w:t>
      </w:r>
      <w:r>
        <w:rPr>
          <w:spacing w:val="-14"/>
        </w:rPr>
        <w:t> </w:t>
      </w:r>
      <w:r>
        <w:rPr/>
        <w:t>Library</w:t>
      </w:r>
      <w:r>
        <w:rPr>
          <w:spacing w:val="-14"/>
        </w:rPr>
        <w:t> </w:t>
      </w:r>
      <w:r>
        <w:rPr/>
        <w:t>of</w:t>
      </w:r>
      <w:r>
        <w:rPr>
          <w:spacing w:val="-14"/>
        </w:rPr>
        <w:t> </w:t>
      </w:r>
      <w:r>
        <w:rPr/>
        <w:t>NSW,</w:t>
      </w:r>
      <w:r>
        <w:rPr>
          <w:spacing w:val="-14"/>
        </w:rPr>
        <w:t> </w:t>
      </w:r>
      <w:r>
        <w:rPr/>
        <w:t>3</w:t>
      </w:r>
      <w:r>
        <w:rPr>
          <w:spacing w:val="-14"/>
        </w:rPr>
        <w:t> </w:t>
      </w:r>
      <w:r>
        <w:rPr/>
        <w:t>November</w:t>
      </w:r>
    </w:p>
    <w:p>
      <w:pPr>
        <w:pStyle w:val="BodyText"/>
        <w:spacing w:line="247" w:lineRule="auto" w:before="57"/>
        <w:ind w:left="305" w:right="-2" w:hanging="199"/>
      </w:pPr>
      <w:r>
        <w:rPr>
          <w:rFonts w:ascii="Century Gothic" w:hAnsi="Century Gothic"/>
          <w:b/>
          <w:w w:val="115"/>
        </w:rPr>
        <w:t>≥ </w:t>
      </w:r>
      <w:r>
        <w:rPr/>
        <w:t>Coetzee’s Other Worlds (a one-day workshop exploring the transnational dimensions of JM Coetzee’s writing), Bankstown campus, 7 December</w:t>
      </w:r>
    </w:p>
    <w:p>
      <w:pPr>
        <w:pStyle w:val="BodyText"/>
        <w:spacing w:line="247" w:lineRule="auto" w:before="57"/>
        <w:ind w:left="305" w:right="-2" w:hanging="199"/>
      </w:pPr>
      <w:r>
        <w:rPr>
          <w:rFonts w:ascii="Century Gothic" w:hAnsi="Century Gothic"/>
          <w:b/>
          <w:w w:val="115"/>
        </w:rPr>
        <w:t>≥ </w:t>
      </w:r>
      <w:r>
        <w:rPr/>
        <w:t>Historical Poetics Symposium, ‘a poem: historical poetics and the problem of exemplarity’, University of New South Wales and Bankstown campus, 13–15 December.</w:t>
      </w:r>
    </w:p>
    <w:p>
      <w:pPr>
        <w:pStyle w:val="BodyText"/>
        <w:spacing w:before="4"/>
        <w:rPr>
          <w:sz w:val="19"/>
        </w:rPr>
      </w:pPr>
    </w:p>
    <w:p>
      <w:pPr>
        <w:pStyle w:val="Heading7"/>
        <w:spacing w:before="1"/>
      </w:pPr>
      <w:r>
        <w:rPr/>
        <w:t>RESEARCH</w:t>
      </w:r>
    </w:p>
    <w:p>
      <w:pPr>
        <w:pStyle w:val="BodyText"/>
        <w:spacing w:line="249" w:lineRule="auto" w:before="58"/>
        <w:ind w:left="107" w:right="333"/>
      </w:pPr>
      <w:r>
        <w:rPr/>
        <w:t>The</w:t>
      </w:r>
      <w:r>
        <w:rPr>
          <w:spacing w:val="-18"/>
        </w:rPr>
        <w:t> </w:t>
      </w:r>
      <w:r>
        <w:rPr/>
        <w:t>School’s</w:t>
      </w:r>
      <w:r>
        <w:rPr>
          <w:spacing w:val="-18"/>
        </w:rPr>
        <w:t> </w:t>
      </w:r>
      <w:r>
        <w:rPr/>
        <w:t>success</w:t>
      </w:r>
      <w:r>
        <w:rPr>
          <w:spacing w:val="-18"/>
        </w:rPr>
        <w:t> </w:t>
      </w:r>
      <w:r>
        <w:rPr/>
        <w:t>in</w:t>
      </w:r>
      <w:r>
        <w:rPr>
          <w:spacing w:val="-18"/>
        </w:rPr>
        <w:t> </w:t>
      </w:r>
      <w:r>
        <w:rPr/>
        <w:t>research</w:t>
      </w:r>
      <w:r>
        <w:rPr>
          <w:spacing w:val="-18"/>
        </w:rPr>
        <w:t> </w:t>
      </w:r>
      <w:r>
        <w:rPr/>
        <w:t>grants</w:t>
      </w:r>
      <w:r>
        <w:rPr>
          <w:spacing w:val="-18"/>
        </w:rPr>
        <w:t> </w:t>
      </w:r>
      <w:r>
        <w:rPr/>
        <w:t>in </w:t>
      </w:r>
      <w:r>
        <w:rPr>
          <w:spacing w:val="1"/>
          <w:w w:val="90"/>
        </w:rPr>
        <w:t>2016</w:t>
      </w:r>
      <w:r>
        <w:rPr>
          <w:spacing w:val="7"/>
          <w:w w:val="90"/>
        </w:rPr>
        <w:t> </w:t>
      </w:r>
      <w:r>
        <w:rPr>
          <w:spacing w:val="1"/>
          <w:w w:val="94"/>
        </w:rPr>
        <w:t>included:</w:t>
      </w:r>
    </w:p>
    <w:p>
      <w:pPr>
        <w:pStyle w:val="BodyText"/>
        <w:spacing w:before="6"/>
        <w:rPr>
          <w:sz w:val="14"/>
        </w:rPr>
      </w:pPr>
    </w:p>
    <w:p>
      <w:pPr>
        <w:pStyle w:val="Heading7"/>
      </w:pPr>
      <w:r>
        <w:rPr>
          <w:color w:val="615C58"/>
          <w:w w:val="95"/>
        </w:rPr>
        <w:t>ARC Discovery Grants</w:t>
      </w:r>
    </w:p>
    <w:p>
      <w:pPr>
        <w:spacing w:line="247" w:lineRule="auto" w:before="85"/>
        <w:ind w:left="107" w:right="-4" w:firstLine="0"/>
        <w:jc w:val="left"/>
        <w:rPr>
          <w:sz w:val="16"/>
        </w:rPr>
      </w:pPr>
      <w:r>
        <w:rPr>
          <w:rFonts w:ascii="Century Gothic"/>
          <w:i/>
          <w:sz w:val="16"/>
        </w:rPr>
        <w:t>Other Worlds: Forms of World Literature </w:t>
      </w:r>
      <w:r>
        <w:rPr>
          <w:sz w:val="16"/>
        </w:rPr>
        <w:t>Professor</w:t>
      </w:r>
      <w:r>
        <w:rPr>
          <w:spacing w:val="-17"/>
          <w:sz w:val="16"/>
        </w:rPr>
        <w:t> </w:t>
      </w:r>
      <w:r>
        <w:rPr>
          <w:sz w:val="16"/>
        </w:rPr>
        <w:t>Anthony</w:t>
      </w:r>
      <w:r>
        <w:rPr>
          <w:spacing w:val="-17"/>
          <w:sz w:val="16"/>
        </w:rPr>
        <w:t> </w:t>
      </w:r>
      <w:r>
        <w:rPr>
          <w:sz w:val="16"/>
        </w:rPr>
        <w:t>Uhlmann,</w:t>
      </w:r>
      <w:r>
        <w:rPr>
          <w:spacing w:val="-17"/>
          <w:sz w:val="16"/>
        </w:rPr>
        <w:t> </w:t>
      </w:r>
      <w:r>
        <w:rPr>
          <w:sz w:val="16"/>
        </w:rPr>
        <w:t>Ms</w:t>
      </w:r>
      <w:r>
        <w:rPr>
          <w:spacing w:val="-17"/>
          <w:sz w:val="16"/>
        </w:rPr>
        <w:t> </w:t>
      </w:r>
      <w:r>
        <w:rPr>
          <w:sz w:val="16"/>
        </w:rPr>
        <w:t>Alexis</w:t>
      </w:r>
      <w:r>
        <w:rPr>
          <w:spacing w:val="-17"/>
          <w:sz w:val="16"/>
        </w:rPr>
        <w:t> </w:t>
      </w:r>
      <w:r>
        <w:rPr>
          <w:sz w:val="16"/>
        </w:rPr>
        <w:t>Wright, Dr Ben Etherington, Professor John Coetzee (Adelaide),</w:t>
      </w:r>
      <w:r>
        <w:rPr>
          <w:spacing w:val="-16"/>
          <w:sz w:val="16"/>
        </w:rPr>
        <w:t> </w:t>
      </w:r>
      <w:r>
        <w:rPr>
          <w:sz w:val="16"/>
        </w:rPr>
        <w:t>Professor</w:t>
      </w:r>
      <w:r>
        <w:rPr>
          <w:spacing w:val="-16"/>
          <w:sz w:val="16"/>
        </w:rPr>
        <w:t> </w:t>
      </w:r>
      <w:r>
        <w:rPr>
          <w:sz w:val="16"/>
        </w:rPr>
        <w:t>Nicholas</w:t>
      </w:r>
      <w:r>
        <w:rPr>
          <w:spacing w:val="-16"/>
          <w:sz w:val="16"/>
        </w:rPr>
        <w:t> </w:t>
      </w:r>
      <w:r>
        <w:rPr>
          <w:sz w:val="16"/>
        </w:rPr>
        <w:t>Jose</w:t>
      </w:r>
      <w:r>
        <w:rPr>
          <w:spacing w:val="-16"/>
          <w:sz w:val="16"/>
        </w:rPr>
        <w:t> </w:t>
      </w:r>
      <w:r>
        <w:rPr>
          <w:sz w:val="16"/>
        </w:rPr>
        <w:t>(Adelaide) and</w:t>
      </w:r>
      <w:r>
        <w:rPr>
          <w:spacing w:val="-13"/>
          <w:sz w:val="16"/>
        </w:rPr>
        <w:t> </w:t>
      </w:r>
      <w:r>
        <w:rPr>
          <w:sz w:val="16"/>
        </w:rPr>
        <w:t>Professor</w:t>
      </w:r>
      <w:r>
        <w:rPr>
          <w:spacing w:val="-13"/>
          <w:sz w:val="16"/>
        </w:rPr>
        <w:t> </w:t>
      </w:r>
      <w:r>
        <w:rPr>
          <w:sz w:val="16"/>
        </w:rPr>
        <w:t>Gail</w:t>
      </w:r>
      <w:r>
        <w:rPr>
          <w:spacing w:val="-13"/>
          <w:sz w:val="16"/>
        </w:rPr>
        <w:t> </w:t>
      </w:r>
      <w:r>
        <w:rPr>
          <w:sz w:val="16"/>
        </w:rPr>
        <w:t>Jones</w:t>
      </w:r>
    </w:p>
    <w:p>
      <w:pPr>
        <w:pStyle w:val="BodyText"/>
        <w:spacing w:before="1"/>
        <w:ind w:left="107" w:right="-2"/>
      </w:pPr>
      <w:r>
        <w:rPr>
          <w:rFonts w:ascii="Gotham Narrow Book"/>
          <w:b w:val="0"/>
        </w:rPr>
        <w:t>Administering organisation: </w:t>
      </w:r>
      <w:r>
        <w:rPr/>
        <w:t>Western Sydney University</w:t>
      </w:r>
    </w:p>
    <w:p>
      <w:pPr>
        <w:pStyle w:val="BodyText"/>
        <w:spacing w:before="7"/>
        <w:ind w:left="107" w:right="-2"/>
      </w:pPr>
      <w:r>
        <w:rPr>
          <w:rFonts w:ascii="Gotham Narrow Book"/>
          <w:b w:val="0"/>
        </w:rPr>
        <w:t>Total funding: </w:t>
      </w:r>
      <w:r>
        <w:rPr/>
        <w:t>$572,000</w:t>
      </w:r>
    </w:p>
    <w:p>
      <w:pPr>
        <w:pStyle w:val="BodyText"/>
        <w:spacing w:before="9"/>
        <w:rPr>
          <w:sz w:val="14"/>
        </w:rPr>
      </w:pPr>
    </w:p>
    <w:p>
      <w:pPr>
        <w:spacing w:line="249" w:lineRule="auto" w:before="0"/>
        <w:ind w:left="107" w:right="-2" w:firstLine="0"/>
        <w:jc w:val="left"/>
        <w:rPr>
          <w:rFonts w:ascii="Gotham Narrow Book"/>
          <w:b w:val="0"/>
          <w:i/>
          <w:sz w:val="16"/>
        </w:rPr>
      </w:pPr>
      <w:r>
        <w:rPr>
          <w:rFonts w:ascii="Gotham Narrow Book"/>
          <w:b w:val="0"/>
          <w:i/>
          <w:sz w:val="16"/>
        </w:rPr>
        <w:t>Spinoza and Literature for Life: A Practical </w:t>
      </w:r>
      <w:r>
        <w:rPr>
          <w:rFonts w:ascii="Gotham Narrow Book"/>
          <w:b w:val="0"/>
          <w:i/>
          <w:sz w:val="16"/>
        </w:rPr>
        <w:t>Theory of Art</w:t>
      </w:r>
    </w:p>
    <w:p>
      <w:pPr>
        <w:pStyle w:val="BodyText"/>
        <w:spacing w:line="249" w:lineRule="auto"/>
        <w:ind w:left="107" w:right="565"/>
      </w:pPr>
      <w:r>
        <w:rPr/>
        <w:t>Professor Moira Gatens (Sydney) and Professor Anthony Uhlmann</w:t>
      </w:r>
    </w:p>
    <w:p>
      <w:pPr>
        <w:pStyle w:val="BodyText"/>
        <w:spacing w:line="198" w:lineRule="exact"/>
        <w:ind w:left="107" w:right="-2"/>
      </w:pPr>
      <w:r>
        <w:rPr>
          <w:rFonts w:ascii="Gotham Narrow Book"/>
          <w:b w:val="0"/>
        </w:rPr>
        <w:t>Total funding: </w:t>
      </w:r>
      <w:r>
        <w:rPr/>
        <w:t>$280,000</w:t>
      </w:r>
    </w:p>
    <w:p>
      <w:pPr>
        <w:pStyle w:val="BodyText"/>
        <w:spacing w:before="9"/>
        <w:rPr>
          <w:sz w:val="14"/>
        </w:rPr>
      </w:pPr>
    </w:p>
    <w:p>
      <w:pPr>
        <w:pStyle w:val="Heading7"/>
      </w:pPr>
      <w:r>
        <w:rPr>
          <w:color w:val="615C58"/>
          <w:w w:val="95"/>
        </w:rPr>
        <w:t>Non-ARC Funding</w:t>
      </w:r>
    </w:p>
    <w:p>
      <w:pPr>
        <w:pStyle w:val="BodyText"/>
        <w:spacing w:line="244" w:lineRule="auto" w:before="85"/>
        <w:ind w:left="305" w:right="146" w:hanging="199"/>
      </w:pPr>
      <w:r>
        <w:rPr>
          <w:rFonts w:ascii="Century Gothic" w:hAnsi="Century Gothic"/>
          <w:b/>
          <w:w w:val="115"/>
        </w:rPr>
        <w:t>≥</w:t>
      </w:r>
      <w:r>
        <w:rPr>
          <w:rFonts w:ascii="Century Gothic" w:hAnsi="Century Gothic"/>
          <w:b/>
          <w:spacing w:val="-9"/>
          <w:w w:val="115"/>
        </w:rPr>
        <w:t> </w:t>
      </w:r>
      <w:r>
        <w:rPr>
          <w:w w:val="105"/>
        </w:rPr>
        <w:t>The</w:t>
      </w:r>
      <w:r>
        <w:rPr>
          <w:spacing w:val="-30"/>
          <w:w w:val="105"/>
        </w:rPr>
        <w:t> </w:t>
      </w:r>
      <w:r>
        <w:rPr>
          <w:w w:val="105"/>
        </w:rPr>
        <w:t>Australia</w:t>
      </w:r>
      <w:r>
        <w:rPr>
          <w:spacing w:val="-30"/>
          <w:w w:val="105"/>
        </w:rPr>
        <w:t> </w:t>
      </w:r>
      <w:r>
        <w:rPr>
          <w:w w:val="105"/>
        </w:rPr>
        <w:t>Council</w:t>
      </w:r>
      <w:r>
        <w:rPr>
          <w:spacing w:val="-30"/>
          <w:w w:val="105"/>
        </w:rPr>
        <w:t> </w:t>
      </w:r>
      <w:r>
        <w:rPr>
          <w:w w:val="105"/>
        </w:rPr>
        <w:t>for</w:t>
      </w:r>
      <w:r>
        <w:rPr>
          <w:spacing w:val="-30"/>
          <w:w w:val="105"/>
        </w:rPr>
        <w:t> </w:t>
      </w:r>
      <w:r>
        <w:rPr>
          <w:w w:val="105"/>
        </w:rPr>
        <w:t>the</w:t>
      </w:r>
      <w:r>
        <w:rPr>
          <w:spacing w:val="-30"/>
          <w:w w:val="105"/>
        </w:rPr>
        <w:t> </w:t>
      </w:r>
      <w:r>
        <w:rPr>
          <w:spacing w:val="3"/>
          <w:w w:val="105"/>
        </w:rPr>
        <w:t>Arts,</w:t>
      </w:r>
      <w:r>
        <w:rPr>
          <w:spacing w:val="-30"/>
          <w:w w:val="105"/>
        </w:rPr>
        <w:t> </w:t>
      </w:r>
      <w:r>
        <w:rPr>
          <w:w w:val="105"/>
        </w:rPr>
        <w:t>project funding</w:t>
      </w:r>
      <w:r>
        <w:rPr>
          <w:spacing w:val="-32"/>
          <w:w w:val="105"/>
        </w:rPr>
        <w:t> </w:t>
      </w:r>
      <w:r>
        <w:rPr>
          <w:w w:val="105"/>
        </w:rPr>
        <w:t>of</w:t>
      </w:r>
      <w:r>
        <w:rPr>
          <w:spacing w:val="-32"/>
          <w:w w:val="105"/>
        </w:rPr>
        <w:t> </w:t>
      </w:r>
      <w:r>
        <w:rPr>
          <w:spacing w:val="3"/>
          <w:w w:val="105"/>
        </w:rPr>
        <w:t>$40,000</w:t>
      </w:r>
    </w:p>
    <w:p>
      <w:pPr>
        <w:pStyle w:val="BodyText"/>
        <w:spacing w:line="244" w:lineRule="auto" w:before="58"/>
        <w:ind w:left="305" w:right="-2" w:hanging="199"/>
      </w:pPr>
      <w:r>
        <w:rPr>
          <w:rFonts w:ascii="Century Gothic" w:hAnsi="Century Gothic"/>
          <w:b/>
          <w:w w:val="115"/>
        </w:rPr>
        <w:t>≥ </w:t>
      </w:r>
      <w:r>
        <w:rPr/>
        <w:t>Copyright Agency, Emerging Critics </w:t>
      </w:r>
      <w:r>
        <w:rPr>
          <w:w w:val="95"/>
        </w:rPr>
        <w:t>Fellowships, </w:t>
      </w:r>
      <w:r>
        <w:rPr>
          <w:w w:val="97"/>
        </w:rPr>
        <w:t>$10,000</w:t>
      </w:r>
    </w:p>
    <w:p>
      <w:pPr>
        <w:pStyle w:val="BodyText"/>
        <w:spacing w:before="58"/>
        <w:ind w:left="107" w:right="-2"/>
      </w:pPr>
      <w:r>
        <w:rPr>
          <w:rFonts w:ascii="Century Gothic" w:hAnsi="Century Gothic"/>
          <w:b/>
          <w:w w:val="115"/>
        </w:rPr>
        <w:t>≥ </w:t>
      </w:r>
      <w:r>
        <w:rPr>
          <w:w w:val="105"/>
        </w:rPr>
        <w:t>Arts NSW, Writing NSW series, $33,000</w:t>
      </w:r>
    </w:p>
    <w:p>
      <w:pPr>
        <w:spacing w:line="244" w:lineRule="auto" w:before="60"/>
        <w:ind w:left="305" w:right="-2" w:hanging="199"/>
        <w:jc w:val="left"/>
        <w:rPr>
          <w:sz w:val="16"/>
        </w:rPr>
      </w:pPr>
      <w:r>
        <w:rPr>
          <w:rFonts w:ascii="Century Gothic" w:hAnsi="Century Gothic"/>
          <w:b/>
          <w:w w:val="115"/>
          <w:sz w:val="16"/>
        </w:rPr>
        <w:t>≥ </w:t>
      </w:r>
      <w:r>
        <w:rPr>
          <w:sz w:val="16"/>
        </w:rPr>
        <w:t>The Australia Council for the </w:t>
      </w:r>
      <w:r>
        <w:rPr>
          <w:spacing w:val="2"/>
          <w:sz w:val="16"/>
        </w:rPr>
        <w:t>Arts</w:t>
      </w:r>
      <w:r>
        <w:rPr>
          <w:spacing w:val="-35"/>
          <w:sz w:val="16"/>
        </w:rPr>
        <w:t> </w:t>
      </w:r>
      <w:r>
        <w:rPr>
          <w:sz w:val="16"/>
        </w:rPr>
        <w:t>awarded </w:t>
      </w:r>
      <w:r>
        <w:rPr>
          <w:rFonts w:ascii="Century Gothic" w:hAnsi="Century Gothic"/>
          <w:i/>
          <w:sz w:val="16"/>
        </w:rPr>
        <w:t>Sydney</w:t>
      </w:r>
      <w:r>
        <w:rPr>
          <w:rFonts w:ascii="Century Gothic" w:hAnsi="Century Gothic"/>
          <w:i/>
          <w:spacing w:val="-31"/>
          <w:sz w:val="16"/>
        </w:rPr>
        <w:t> </w:t>
      </w:r>
      <w:r>
        <w:rPr>
          <w:rFonts w:ascii="Century Gothic" w:hAnsi="Century Gothic"/>
          <w:i/>
          <w:sz w:val="16"/>
        </w:rPr>
        <w:t>Review</w:t>
      </w:r>
      <w:r>
        <w:rPr>
          <w:rFonts w:ascii="Century Gothic" w:hAnsi="Century Gothic"/>
          <w:i/>
          <w:spacing w:val="-31"/>
          <w:sz w:val="16"/>
        </w:rPr>
        <w:t> </w:t>
      </w:r>
      <w:r>
        <w:rPr>
          <w:rFonts w:ascii="Century Gothic" w:hAnsi="Century Gothic"/>
          <w:i/>
          <w:sz w:val="16"/>
        </w:rPr>
        <w:t>of</w:t>
      </w:r>
      <w:r>
        <w:rPr>
          <w:rFonts w:ascii="Century Gothic" w:hAnsi="Century Gothic"/>
          <w:i/>
          <w:spacing w:val="-31"/>
          <w:sz w:val="16"/>
        </w:rPr>
        <w:t> </w:t>
      </w:r>
      <w:r>
        <w:rPr>
          <w:rFonts w:ascii="Century Gothic" w:hAnsi="Century Gothic"/>
          <w:i/>
          <w:sz w:val="16"/>
        </w:rPr>
        <w:t>Books</w:t>
      </w:r>
      <w:r>
        <w:rPr>
          <w:rFonts w:ascii="Century Gothic" w:hAnsi="Century Gothic"/>
          <w:i/>
          <w:spacing w:val="-31"/>
          <w:sz w:val="16"/>
        </w:rPr>
        <w:t> </w:t>
      </w:r>
      <w:r>
        <w:rPr>
          <w:sz w:val="16"/>
        </w:rPr>
        <w:t>key</w:t>
      </w:r>
      <w:r>
        <w:rPr>
          <w:spacing w:val="-36"/>
          <w:sz w:val="16"/>
        </w:rPr>
        <w:t> </w:t>
      </w:r>
      <w:r>
        <w:rPr>
          <w:sz w:val="16"/>
        </w:rPr>
        <w:t>organisation status,</w:t>
      </w:r>
      <w:r>
        <w:rPr>
          <w:spacing w:val="-30"/>
          <w:sz w:val="16"/>
        </w:rPr>
        <w:t> </w:t>
      </w:r>
      <w:r>
        <w:rPr>
          <w:spacing w:val="2"/>
          <w:sz w:val="16"/>
        </w:rPr>
        <w:t>$320,000</w:t>
      </w:r>
      <w:r>
        <w:rPr>
          <w:spacing w:val="-30"/>
          <w:sz w:val="16"/>
        </w:rPr>
        <w:t> </w:t>
      </w:r>
      <w:r>
        <w:rPr>
          <w:sz w:val="16"/>
        </w:rPr>
        <w:t>for</w:t>
      </w:r>
      <w:r>
        <w:rPr>
          <w:spacing w:val="-30"/>
          <w:sz w:val="16"/>
        </w:rPr>
        <w:t> </w:t>
      </w:r>
      <w:r>
        <w:rPr>
          <w:sz w:val="16"/>
        </w:rPr>
        <w:t>2017–20</w:t>
      </w:r>
    </w:p>
    <w:p>
      <w:pPr>
        <w:pStyle w:val="BodyText"/>
        <w:spacing w:before="8"/>
      </w:pPr>
      <w:r>
        <w:rPr/>
        <w:br w:type="column"/>
      </w:r>
      <w:r>
        <w:rPr/>
      </w:r>
    </w:p>
    <w:p>
      <w:pPr>
        <w:pStyle w:val="BodyText"/>
        <w:spacing w:line="244" w:lineRule="auto" w:before="1"/>
        <w:ind w:left="305" w:right="20" w:hanging="199"/>
      </w:pPr>
      <w:r>
        <w:rPr>
          <w:rFonts w:ascii="Century Gothic" w:hAnsi="Century Gothic"/>
          <w:b/>
          <w:w w:val="115"/>
        </w:rPr>
        <w:t>≥ </w:t>
      </w:r>
      <w:r>
        <w:rPr/>
        <w:t>Copyright Agency, Emerging Critics </w:t>
      </w:r>
      <w:r>
        <w:rPr>
          <w:w w:val="95"/>
        </w:rPr>
        <w:t>Fellowships, </w:t>
      </w:r>
      <w:r>
        <w:rPr>
          <w:w w:val="94"/>
        </w:rPr>
        <w:t>$21,000 </w:t>
      </w:r>
      <w:r>
        <w:rPr>
          <w:w w:val="98"/>
        </w:rPr>
        <w:t>for </w:t>
      </w:r>
      <w:r>
        <w:rPr>
          <w:w w:val="85"/>
        </w:rPr>
        <w:t>2017–19</w:t>
      </w:r>
    </w:p>
    <w:p>
      <w:pPr>
        <w:pStyle w:val="BodyText"/>
        <w:spacing w:before="10"/>
        <w:rPr>
          <w:sz w:val="14"/>
        </w:rPr>
      </w:pPr>
    </w:p>
    <w:p>
      <w:pPr>
        <w:pStyle w:val="Heading7"/>
        <w:ind w:right="20"/>
      </w:pPr>
      <w:r>
        <w:rPr>
          <w:color w:val="615C58"/>
          <w:w w:val="95"/>
        </w:rPr>
        <w:t>Western Sydney Writing Projects</w:t>
      </w:r>
    </w:p>
    <w:p>
      <w:pPr>
        <w:pStyle w:val="BodyText"/>
        <w:spacing w:line="244" w:lineRule="auto" w:before="85"/>
        <w:ind w:left="305" w:right="29" w:hanging="199"/>
      </w:pPr>
      <w:r>
        <w:rPr>
          <w:rFonts w:ascii="Century Gothic" w:hAnsi="Century Gothic"/>
          <w:b/>
          <w:w w:val="115"/>
        </w:rPr>
        <w:t>≥ </w:t>
      </w:r>
      <w:r>
        <w:rPr/>
        <w:t>Arts NSW, ‘Public program and development for Western Sydney writers’,</w:t>
      </w:r>
    </w:p>
    <w:p>
      <w:pPr>
        <w:pStyle w:val="BodyText"/>
        <w:spacing w:before="3"/>
        <w:ind w:left="305" w:right="20"/>
      </w:pPr>
      <w:r>
        <w:rPr>
          <w:spacing w:val="1"/>
          <w:w w:val="99"/>
        </w:rPr>
        <w:t>$</w:t>
      </w:r>
      <w:r>
        <w:rPr>
          <w:spacing w:val="1"/>
          <w:w w:val="91"/>
        </w:rPr>
        <w:t>7</w:t>
      </w:r>
      <w:r>
        <w:rPr>
          <w:spacing w:val="4"/>
          <w:w w:val="95"/>
        </w:rPr>
        <w:t>5</w:t>
      </w:r>
      <w:r>
        <w:rPr>
          <w:spacing w:val="1"/>
          <w:w w:val="68"/>
        </w:rPr>
        <w:t>,</w:t>
      </w:r>
      <w:r>
        <w:rPr>
          <w:spacing w:val="4"/>
          <w:w w:val="111"/>
        </w:rPr>
        <w:t>00</w:t>
      </w:r>
      <w:r>
        <w:rPr>
          <w:w w:val="111"/>
        </w:rPr>
        <w:t>0</w:t>
      </w:r>
      <w:r>
        <w:rPr>
          <w:spacing w:val="-12"/>
        </w:rPr>
        <w:t> </w:t>
      </w:r>
      <w:r>
        <w:rPr>
          <w:w w:val="98"/>
        </w:rPr>
        <w:t>f</w:t>
      </w:r>
      <w:r>
        <w:rPr>
          <w:spacing w:val="2"/>
          <w:w w:val="100"/>
        </w:rPr>
        <w:t>o</w:t>
      </w:r>
      <w:r>
        <w:rPr>
          <w:w w:val="95"/>
        </w:rPr>
        <w:t>r</w:t>
      </w:r>
      <w:r>
        <w:rPr>
          <w:spacing w:val="-12"/>
        </w:rPr>
        <w:t> </w:t>
      </w:r>
      <w:r>
        <w:rPr>
          <w:spacing w:val="2"/>
          <w:w w:val="93"/>
        </w:rPr>
        <w:t>2</w:t>
      </w:r>
      <w:r>
        <w:rPr>
          <w:spacing w:val="1"/>
          <w:w w:val="111"/>
        </w:rPr>
        <w:t>0</w:t>
      </w:r>
      <w:r>
        <w:rPr>
          <w:spacing w:val="4"/>
          <w:w w:val="54"/>
        </w:rPr>
        <w:t>1</w:t>
      </w:r>
      <w:r>
        <w:rPr>
          <w:spacing w:val="5"/>
          <w:w w:val="101"/>
        </w:rPr>
        <w:t>6</w:t>
      </w:r>
      <w:r>
        <w:rPr>
          <w:spacing w:val="-1"/>
          <w:w w:val="89"/>
        </w:rPr>
        <w:t>–</w:t>
      </w:r>
      <w:r>
        <w:rPr>
          <w:spacing w:val="4"/>
          <w:w w:val="54"/>
        </w:rPr>
        <w:t>1</w:t>
      </w:r>
      <w:r>
        <w:rPr>
          <w:w w:val="98"/>
        </w:rPr>
        <w:t>8</w:t>
      </w:r>
    </w:p>
    <w:p>
      <w:pPr>
        <w:pStyle w:val="BodyText"/>
        <w:spacing w:line="244" w:lineRule="auto" w:before="62"/>
        <w:ind w:left="305" w:right="120" w:hanging="199"/>
      </w:pPr>
      <w:r>
        <w:rPr>
          <w:rFonts w:ascii="Century Gothic" w:hAnsi="Century Gothic"/>
          <w:b/>
          <w:w w:val="115"/>
        </w:rPr>
        <w:t>≥ </w:t>
      </w:r>
      <w:r>
        <w:rPr>
          <w:w w:val="105"/>
        </w:rPr>
        <w:t>WestWords, Western Sydney Young </w:t>
      </w:r>
      <w:r>
        <w:rPr/>
        <w:t>People’s Literature Development Project,</w:t>
      </w:r>
    </w:p>
    <w:p>
      <w:pPr>
        <w:pStyle w:val="BodyText"/>
        <w:spacing w:before="3"/>
        <w:ind w:left="305" w:right="20"/>
      </w:pPr>
      <w:r>
        <w:rPr/>
        <w:t>$26,500</w:t>
      </w:r>
    </w:p>
    <w:p>
      <w:pPr>
        <w:pStyle w:val="BodyText"/>
        <w:spacing w:line="247" w:lineRule="auto" w:before="62"/>
        <w:ind w:left="305" w:right="37" w:hanging="199"/>
      </w:pPr>
      <w:r>
        <w:rPr>
          <w:rFonts w:ascii="Century Gothic" w:hAnsi="Century Gothic"/>
          <w:b/>
          <w:w w:val="115"/>
        </w:rPr>
        <w:t>≥ </w:t>
      </w:r>
      <w:r>
        <w:rPr/>
        <w:t>Crown Resorts Foundation, Western Sydney Arts Initiative, ‘Creating Literature </w:t>
      </w:r>
      <w:r>
        <w:rPr>
          <w:w w:val="95"/>
        </w:rPr>
        <w:t>in </w:t>
      </w:r>
      <w:r>
        <w:rPr>
          <w:w w:val="98"/>
        </w:rPr>
        <w:t>Western </w:t>
      </w:r>
      <w:r>
        <w:rPr>
          <w:w w:val="95"/>
        </w:rPr>
        <w:t>Sydney’, </w:t>
      </w:r>
      <w:r>
        <w:rPr>
          <w:w w:val="95"/>
        </w:rPr>
        <w:t>$180,000 </w:t>
      </w:r>
      <w:r>
        <w:rPr>
          <w:w w:val="98"/>
        </w:rPr>
        <w:t>for </w:t>
      </w:r>
      <w:r>
        <w:rPr>
          <w:w w:val="82"/>
        </w:rPr>
        <w:t>2017–18.</w:t>
      </w:r>
    </w:p>
    <w:p>
      <w:pPr>
        <w:pStyle w:val="BodyText"/>
        <w:spacing w:before="4"/>
        <w:rPr>
          <w:sz w:val="19"/>
        </w:rPr>
      </w:pPr>
    </w:p>
    <w:p>
      <w:pPr>
        <w:pStyle w:val="Heading7"/>
        <w:spacing w:before="1"/>
        <w:ind w:right="20"/>
      </w:pPr>
      <w:r>
        <w:rPr>
          <w:w w:val="95"/>
        </w:rPr>
        <w:t>OTHER AWARDS AND PRIZES</w:t>
      </w:r>
    </w:p>
    <w:p>
      <w:pPr>
        <w:pStyle w:val="BodyText"/>
        <w:spacing w:line="247" w:lineRule="auto" w:before="57"/>
        <w:ind w:left="305" w:right="321" w:hanging="199"/>
        <w:jc w:val="both"/>
      </w:pPr>
      <w:r>
        <w:rPr>
          <w:rFonts w:ascii="Century Gothic" w:hAnsi="Century Gothic"/>
          <w:b/>
          <w:w w:val="145"/>
        </w:rPr>
        <w:t>≥ </w:t>
      </w:r>
      <w:r>
        <w:rPr>
          <w:spacing w:val="1"/>
          <w:w w:val="98"/>
        </w:rPr>
        <w:t>Nicole</w:t>
      </w:r>
      <w:r>
        <w:rPr>
          <w:w w:val="98"/>
        </w:rPr>
        <w:t> </w:t>
      </w:r>
      <w:r>
        <w:rPr>
          <w:spacing w:val="1"/>
          <w:w w:val="98"/>
        </w:rPr>
        <w:t>Bridges</w:t>
      </w:r>
      <w:r>
        <w:rPr>
          <w:w w:val="98"/>
        </w:rPr>
        <w:t> </w:t>
      </w:r>
      <w:r>
        <w:rPr>
          <w:w w:val="98"/>
        </w:rPr>
        <w:t>received </w:t>
      </w:r>
      <w:r>
        <w:rPr>
          <w:w w:val="97"/>
        </w:rPr>
        <w:t>the </w:t>
      </w:r>
      <w:r>
        <w:rPr>
          <w:spacing w:val="1"/>
          <w:w w:val="90"/>
        </w:rPr>
        <w:t>2016</w:t>
      </w:r>
      <w:r>
        <w:rPr>
          <w:w w:val="90"/>
        </w:rPr>
        <w:t> </w:t>
      </w:r>
      <w:r>
        <w:rPr>
          <w:spacing w:val="1"/>
          <w:w w:val="100"/>
        </w:rPr>
        <w:t>Vice-</w:t>
      </w:r>
      <w:r>
        <w:rPr>
          <w:w w:val="100"/>
        </w:rPr>
        <w:t> </w:t>
      </w:r>
      <w:r>
        <w:rPr/>
        <w:t>Chancellor’s Professional</w:t>
      </w:r>
      <w:r>
        <w:rPr>
          <w:spacing w:val="-38"/>
        </w:rPr>
        <w:t> </w:t>
      </w:r>
      <w:r>
        <w:rPr/>
        <w:t>Development </w:t>
      </w:r>
      <w:r>
        <w:rPr>
          <w:w w:val="105"/>
        </w:rPr>
        <w:t>Scholarship</w:t>
      </w:r>
    </w:p>
    <w:p>
      <w:pPr>
        <w:pStyle w:val="BodyText"/>
        <w:spacing w:line="247" w:lineRule="auto" w:before="57"/>
        <w:ind w:left="305" w:right="20" w:hanging="199"/>
      </w:pPr>
      <w:r>
        <w:rPr>
          <w:rFonts w:ascii="Century Gothic" w:hAnsi="Century Gothic"/>
          <w:b/>
          <w:w w:val="115"/>
        </w:rPr>
        <w:t>≥ </w:t>
      </w:r>
      <w:r>
        <w:rPr/>
        <w:t>Associate Professor Carol Liston received the History Council of NSW’s Annual History Citation in recognition of her contributions to researching and teaching history and heritage, and her service to community and local history organisations</w:t>
      </w:r>
    </w:p>
    <w:p>
      <w:pPr>
        <w:pStyle w:val="BodyText"/>
        <w:spacing w:line="244" w:lineRule="auto" w:before="57"/>
        <w:ind w:left="305" w:right="20" w:hanging="199"/>
        <w:rPr>
          <w:rFonts w:ascii="Century Gothic" w:hAnsi="Century Gothic"/>
          <w:i/>
        </w:rPr>
      </w:pPr>
      <w:r>
        <w:rPr>
          <w:rFonts w:ascii="Century Gothic" w:hAnsi="Century Gothic"/>
          <w:b/>
          <w:w w:val="145"/>
        </w:rPr>
        <w:t>≥ </w:t>
      </w:r>
      <w:r>
        <w:rPr>
          <w:w w:val="99"/>
        </w:rPr>
        <w:t>Alexis </w:t>
      </w:r>
      <w:r>
        <w:rPr>
          <w:w w:val="99"/>
        </w:rPr>
        <w:t>Wright </w:t>
      </w:r>
      <w:r>
        <w:rPr>
          <w:w w:val="99"/>
        </w:rPr>
        <w:t>won </w:t>
      </w:r>
      <w:r>
        <w:rPr>
          <w:w w:val="97"/>
        </w:rPr>
        <w:t>the </w:t>
      </w:r>
      <w:r>
        <w:rPr>
          <w:w w:val="90"/>
        </w:rPr>
        <w:t>2016 </w:t>
      </w:r>
      <w:r>
        <w:rPr>
          <w:w w:val="99"/>
        </w:rPr>
        <w:t>Kate </w:t>
      </w:r>
      <w:r>
        <w:rPr>
          <w:w w:val="96"/>
        </w:rPr>
        <w:t>Challis </w:t>
      </w:r>
      <w:r>
        <w:rPr/>
        <w:t>Award with her novel, </w:t>
      </w:r>
      <w:r>
        <w:rPr>
          <w:rFonts w:ascii="Century Gothic" w:hAnsi="Century Gothic"/>
          <w:i/>
        </w:rPr>
        <w:t>The Swan Book</w:t>
      </w:r>
    </w:p>
    <w:p>
      <w:pPr>
        <w:pStyle w:val="BodyText"/>
        <w:spacing w:line="247" w:lineRule="auto" w:before="56"/>
        <w:ind w:left="305" w:right="165" w:hanging="199"/>
      </w:pPr>
      <w:r>
        <w:rPr>
          <w:rFonts w:ascii="Century Gothic" w:hAnsi="Century Gothic"/>
          <w:b/>
          <w:w w:val="145"/>
        </w:rPr>
        <w:t>≥ </w:t>
      </w:r>
      <w:r>
        <w:rPr>
          <w:w w:val="96"/>
        </w:rPr>
        <w:t>Dr </w:t>
      </w:r>
      <w:r>
        <w:rPr>
          <w:w w:val="98"/>
        </w:rPr>
        <w:t>Fiona </w:t>
      </w:r>
      <w:r>
        <w:rPr>
          <w:w w:val="99"/>
        </w:rPr>
        <w:t>Wright </w:t>
      </w:r>
      <w:r>
        <w:rPr>
          <w:w w:val="99"/>
        </w:rPr>
        <w:t>won </w:t>
      </w:r>
      <w:r>
        <w:rPr>
          <w:w w:val="97"/>
        </w:rPr>
        <w:t>the </w:t>
      </w:r>
      <w:r>
        <w:rPr>
          <w:w w:val="90"/>
        </w:rPr>
        <w:t>2016 </w:t>
      </w:r>
      <w:r>
        <w:rPr>
          <w:w w:val="98"/>
        </w:rPr>
        <w:t>Nita </w:t>
      </w:r>
      <w:r>
        <w:rPr>
          <w:w w:val="104"/>
        </w:rPr>
        <w:t>B </w:t>
      </w:r>
      <w:r>
        <w:rPr/>
        <w:t>Kibble Literary Award and the University of Queensland Non-Fiction Book Award for her collection of essays, Small Acts of Disappearance.</w:t>
      </w:r>
    </w:p>
    <w:p>
      <w:pPr>
        <w:pStyle w:val="BodyText"/>
        <w:spacing w:before="4"/>
        <w:rPr>
          <w:sz w:val="19"/>
        </w:rPr>
      </w:pPr>
    </w:p>
    <w:p>
      <w:pPr>
        <w:pStyle w:val="Heading7"/>
        <w:spacing w:line="249" w:lineRule="auto" w:before="1"/>
        <w:ind w:right="970"/>
      </w:pPr>
      <w:r>
        <w:rPr/>
        <w:t>BOOKS AND OTHER </w:t>
      </w:r>
      <w:r>
        <w:rPr>
          <w:w w:val="95"/>
        </w:rPr>
        <w:t>RESEARCH PUBLICATIONS</w:t>
      </w:r>
    </w:p>
    <w:p>
      <w:pPr>
        <w:spacing w:line="244" w:lineRule="auto" w:before="49"/>
        <w:ind w:left="305" w:right="560" w:hanging="199"/>
        <w:jc w:val="both"/>
        <w:rPr>
          <w:sz w:val="16"/>
        </w:rPr>
      </w:pPr>
      <w:r>
        <w:rPr>
          <w:rFonts w:ascii="Century Gothic" w:hAnsi="Century Gothic"/>
          <w:b/>
          <w:w w:val="115"/>
          <w:sz w:val="16"/>
        </w:rPr>
        <w:t>≥</w:t>
      </w:r>
      <w:r>
        <w:rPr>
          <w:rFonts w:ascii="Century Gothic" w:hAnsi="Century Gothic"/>
          <w:b/>
          <w:spacing w:val="11"/>
          <w:w w:val="115"/>
          <w:sz w:val="16"/>
        </w:rPr>
        <w:t> </w:t>
      </w:r>
      <w:r>
        <w:rPr>
          <w:sz w:val="16"/>
        </w:rPr>
        <w:t>Professor</w:t>
      </w:r>
      <w:r>
        <w:rPr>
          <w:spacing w:val="-17"/>
          <w:sz w:val="16"/>
        </w:rPr>
        <w:t> </w:t>
      </w:r>
      <w:r>
        <w:rPr>
          <w:sz w:val="16"/>
        </w:rPr>
        <w:t>Brett</w:t>
      </w:r>
      <w:r>
        <w:rPr>
          <w:spacing w:val="-17"/>
          <w:sz w:val="16"/>
        </w:rPr>
        <w:t> </w:t>
      </w:r>
      <w:r>
        <w:rPr>
          <w:sz w:val="16"/>
        </w:rPr>
        <w:t>Bowden,</w:t>
      </w:r>
      <w:r>
        <w:rPr>
          <w:spacing w:val="-17"/>
          <w:sz w:val="16"/>
        </w:rPr>
        <w:t> </w:t>
      </w:r>
      <w:r>
        <w:rPr>
          <w:rFonts w:ascii="Century Gothic" w:hAnsi="Century Gothic"/>
          <w:i/>
          <w:sz w:val="16"/>
        </w:rPr>
        <w:t>Direct</w:t>
      </w:r>
      <w:r>
        <w:rPr>
          <w:rFonts w:ascii="Century Gothic" w:hAnsi="Century Gothic"/>
          <w:i/>
          <w:spacing w:val="-12"/>
          <w:sz w:val="16"/>
        </w:rPr>
        <w:t> </w:t>
      </w:r>
      <w:r>
        <w:rPr>
          <w:rFonts w:ascii="Century Gothic" w:hAnsi="Century Gothic"/>
          <w:i/>
          <w:sz w:val="16"/>
        </w:rPr>
        <w:t>Hit: </w:t>
      </w:r>
      <w:r>
        <w:rPr>
          <w:rFonts w:ascii="Century Gothic" w:hAnsi="Century Gothic"/>
          <w:i/>
          <w:w w:val="95"/>
          <w:sz w:val="16"/>
        </w:rPr>
        <w:t>The</w:t>
      </w:r>
      <w:r>
        <w:rPr>
          <w:rFonts w:ascii="Century Gothic" w:hAnsi="Century Gothic"/>
          <w:i/>
          <w:spacing w:val="-29"/>
          <w:w w:val="95"/>
          <w:sz w:val="16"/>
        </w:rPr>
        <w:t> </w:t>
      </w:r>
      <w:r>
        <w:rPr>
          <w:rFonts w:ascii="Century Gothic" w:hAnsi="Century Gothic"/>
          <w:i/>
          <w:w w:val="95"/>
          <w:sz w:val="16"/>
        </w:rPr>
        <w:t>Bombing</w:t>
      </w:r>
      <w:r>
        <w:rPr>
          <w:rFonts w:ascii="Century Gothic" w:hAnsi="Century Gothic"/>
          <w:i/>
          <w:spacing w:val="-29"/>
          <w:w w:val="95"/>
          <w:sz w:val="16"/>
        </w:rPr>
        <w:t> </w:t>
      </w:r>
      <w:r>
        <w:rPr>
          <w:rFonts w:ascii="Century Gothic" w:hAnsi="Century Gothic"/>
          <w:i/>
          <w:w w:val="95"/>
          <w:sz w:val="16"/>
        </w:rPr>
        <w:t>of</w:t>
      </w:r>
      <w:r>
        <w:rPr>
          <w:rFonts w:ascii="Century Gothic" w:hAnsi="Century Gothic"/>
          <w:i/>
          <w:spacing w:val="-29"/>
          <w:w w:val="95"/>
          <w:sz w:val="16"/>
        </w:rPr>
        <w:t> </w:t>
      </w:r>
      <w:r>
        <w:rPr>
          <w:rFonts w:ascii="Century Gothic" w:hAnsi="Century Gothic"/>
          <w:i/>
          <w:w w:val="95"/>
          <w:sz w:val="16"/>
        </w:rPr>
        <w:t>Darwin</w:t>
      </w:r>
      <w:r>
        <w:rPr>
          <w:rFonts w:ascii="Century Gothic" w:hAnsi="Century Gothic"/>
          <w:i/>
          <w:spacing w:val="-29"/>
          <w:w w:val="95"/>
          <w:sz w:val="16"/>
        </w:rPr>
        <w:t> </w:t>
      </w:r>
      <w:r>
        <w:rPr>
          <w:rFonts w:ascii="Century Gothic" w:hAnsi="Century Gothic"/>
          <w:i/>
          <w:w w:val="95"/>
          <w:sz w:val="16"/>
        </w:rPr>
        <w:t>Post</w:t>
      </w:r>
      <w:r>
        <w:rPr>
          <w:rFonts w:ascii="Century Gothic" w:hAnsi="Century Gothic"/>
          <w:i/>
          <w:spacing w:val="-29"/>
          <w:w w:val="95"/>
          <w:sz w:val="16"/>
        </w:rPr>
        <w:t> </w:t>
      </w:r>
      <w:r>
        <w:rPr>
          <w:rFonts w:ascii="Century Gothic" w:hAnsi="Century Gothic"/>
          <w:i/>
          <w:w w:val="95"/>
          <w:sz w:val="16"/>
        </w:rPr>
        <w:t>Office</w:t>
      </w:r>
      <w:r>
        <w:rPr>
          <w:w w:val="95"/>
          <w:sz w:val="16"/>
        </w:rPr>
        <w:t>, </w:t>
      </w:r>
      <w:r>
        <w:rPr>
          <w:sz w:val="16"/>
        </w:rPr>
        <w:t>Rosenberg</w:t>
      </w:r>
      <w:r>
        <w:rPr>
          <w:spacing w:val="-16"/>
          <w:sz w:val="16"/>
        </w:rPr>
        <w:t> </w:t>
      </w:r>
      <w:r>
        <w:rPr>
          <w:sz w:val="16"/>
        </w:rPr>
        <w:t>Publishing</w:t>
      </w:r>
    </w:p>
    <w:p>
      <w:pPr>
        <w:spacing w:line="244" w:lineRule="auto" w:before="58"/>
        <w:ind w:left="305" w:right="335" w:hanging="199"/>
        <w:jc w:val="left"/>
        <w:rPr>
          <w:sz w:val="16"/>
        </w:rPr>
      </w:pPr>
      <w:r>
        <w:rPr>
          <w:rFonts w:ascii="Century Gothic" w:hAnsi="Century Gothic"/>
          <w:b/>
          <w:w w:val="115"/>
          <w:sz w:val="16"/>
        </w:rPr>
        <w:t>≥</w:t>
      </w:r>
      <w:r>
        <w:rPr>
          <w:rFonts w:ascii="Century Gothic" w:hAnsi="Century Gothic"/>
          <w:b/>
          <w:spacing w:val="-14"/>
          <w:w w:val="115"/>
          <w:sz w:val="16"/>
        </w:rPr>
        <w:t> </w:t>
      </w:r>
      <w:r>
        <w:rPr>
          <w:sz w:val="16"/>
        </w:rPr>
        <w:t>Dr</w:t>
      </w:r>
      <w:r>
        <w:rPr>
          <w:spacing w:val="-30"/>
          <w:sz w:val="16"/>
        </w:rPr>
        <w:t> </w:t>
      </w:r>
      <w:r>
        <w:rPr>
          <w:sz w:val="16"/>
        </w:rPr>
        <w:t>Anne</w:t>
      </w:r>
      <w:r>
        <w:rPr>
          <w:spacing w:val="-30"/>
          <w:sz w:val="16"/>
        </w:rPr>
        <w:t> </w:t>
      </w:r>
      <w:r>
        <w:rPr>
          <w:sz w:val="16"/>
        </w:rPr>
        <w:t>Jamison,</w:t>
      </w:r>
      <w:r>
        <w:rPr>
          <w:spacing w:val="-30"/>
          <w:sz w:val="16"/>
        </w:rPr>
        <w:t> </w:t>
      </w:r>
      <w:r>
        <w:rPr>
          <w:rFonts w:ascii="Century Gothic" w:hAnsi="Century Gothic"/>
          <w:i/>
          <w:sz w:val="16"/>
        </w:rPr>
        <w:t>E.</w:t>
      </w:r>
      <w:r>
        <w:rPr>
          <w:rFonts w:ascii="Century Gothic" w:hAnsi="Century Gothic"/>
          <w:i/>
          <w:spacing w:val="-25"/>
          <w:sz w:val="16"/>
        </w:rPr>
        <w:t> </w:t>
      </w:r>
      <w:r>
        <w:rPr>
          <w:rFonts w:ascii="Century Gothic" w:hAnsi="Century Gothic"/>
          <w:i/>
          <w:sz w:val="16"/>
        </w:rPr>
        <w:t>Œ.</w:t>
      </w:r>
      <w:r>
        <w:rPr>
          <w:rFonts w:ascii="Century Gothic" w:hAnsi="Century Gothic"/>
          <w:i/>
          <w:spacing w:val="-25"/>
          <w:sz w:val="16"/>
        </w:rPr>
        <w:t> </w:t>
      </w:r>
      <w:r>
        <w:rPr>
          <w:rFonts w:ascii="Century Gothic" w:hAnsi="Century Gothic"/>
          <w:i/>
          <w:sz w:val="16"/>
        </w:rPr>
        <w:t>Somerville</w:t>
      </w:r>
      <w:r>
        <w:rPr>
          <w:rFonts w:ascii="Century Gothic" w:hAnsi="Century Gothic"/>
          <w:i/>
          <w:spacing w:val="-25"/>
          <w:sz w:val="16"/>
        </w:rPr>
        <w:t> </w:t>
      </w:r>
      <w:r>
        <w:rPr>
          <w:rFonts w:ascii="Century Gothic" w:hAnsi="Century Gothic"/>
          <w:i/>
          <w:sz w:val="16"/>
        </w:rPr>
        <w:t>and </w:t>
      </w:r>
      <w:r>
        <w:rPr>
          <w:rFonts w:ascii="Century Gothic" w:hAnsi="Century Gothic"/>
          <w:i/>
          <w:w w:val="95"/>
          <w:sz w:val="16"/>
        </w:rPr>
        <w:t>Martin Ross: Female Authorship and Literary</w:t>
      </w:r>
      <w:r>
        <w:rPr>
          <w:rFonts w:ascii="Century Gothic" w:hAnsi="Century Gothic"/>
          <w:i/>
          <w:spacing w:val="-18"/>
          <w:w w:val="95"/>
          <w:sz w:val="16"/>
        </w:rPr>
        <w:t> </w:t>
      </w:r>
      <w:r>
        <w:rPr>
          <w:rFonts w:ascii="Century Gothic" w:hAnsi="Century Gothic"/>
          <w:i/>
          <w:w w:val="95"/>
          <w:sz w:val="16"/>
        </w:rPr>
        <w:t>Collaboration</w:t>
      </w:r>
      <w:r>
        <w:rPr>
          <w:w w:val="95"/>
          <w:sz w:val="16"/>
        </w:rPr>
        <w:t>,</w:t>
      </w:r>
      <w:r>
        <w:rPr>
          <w:spacing w:val="-23"/>
          <w:w w:val="95"/>
          <w:sz w:val="16"/>
        </w:rPr>
        <w:t> </w:t>
      </w:r>
      <w:r>
        <w:rPr>
          <w:w w:val="95"/>
          <w:sz w:val="16"/>
        </w:rPr>
        <w:t>Cork</w:t>
      </w:r>
      <w:r>
        <w:rPr>
          <w:spacing w:val="-23"/>
          <w:w w:val="95"/>
          <w:sz w:val="16"/>
        </w:rPr>
        <w:t> </w:t>
      </w:r>
      <w:r>
        <w:rPr>
          <w:w w:val="95"/>
          <w:sz w:val="16"/>
        </w:rPr>
        <w:t>University </w:t>
      </w:r>
      <w:r>
        <w:rPr>
          <w:sz w:val="16"/>
        </w:rPr>
        <w:t>Press</w:t>
      </w:r>
    </w:p>
    <w:p>
      <w:pPr>
        <w:spacing w:line="244" w:lineRule="auto" w:before="58"/>
        <w:ind w:left="305" w:right="7" w:hanging="199"/>
        <w:jc w:val="left"/>
        <w:rPr>
          <w:sz w:val="16"/>
        </w:rPr>
      </w:pPr>
      <w:r>
        <w:rPr>
          <w:rFonts w:ascii="Century Gothic" w:hAnsi="Century Gothic"/>
          <w:b/>
          <w:w w:val="115"/>
          <w:sz w:val="16"/>
        </w:rPr>
        <w:t>≥ </w:t>
      </w:r>
      <w:r>
        <w:rPr>
          <w:sz w:val="16"/>
        </w:rPr>
        <w:t>Dr Benjamin T Jones, </w:t>
      </w:r>
      <w:r>
        <w:rPr>
          <w:rFonts w:ascii="Century Gothic" w:hAnsi="Century Gothic"/>
          <w:i/>
          <w:sz w:val="16"/>
        </w:rPr>
        <w:t>Atheism for </w:t>
      </w:r>
      <w:r>
        <w:rPr>
          <w:rFonts w:ascii="Century Gothic" w:hAnsi="Century Gothic"/>
          <w:i/>
          <w:sz w:val="16"/>
        </w:rPr>
        <w:t>Christians: Are There Lessons for the </w:t>
      </w:r>
      <w:r>
        <w:rPr>
          <w:rFonts w:ascii="Century Gothic" w:hAnsi="Century Gothic"/>
          <w:i/>
          <w:w w:val="90"/>
          <w:sz w:val="16"/>
        </w:rPr>
        <w:t>Religious World from the Secular Tradition?, </w:t>
      </w:r>
      <w:r>
        <w:rPr>
          <w:sz w:val="16"/>
        </w:rPr>
        <w:t>Wipf and Stock</w:t>
      </w:r>
    </w:p>
    <w:p>
      <w:pPr>
        <w:spacing w:line="244" w:lineRule="auto" w:before="58"/>
        <w:ind w:left="305" w:right="-1" w:hanging="199"/>
        <w:jc w:val="left"/>
        <w:rPr>
          <w:sz w:val="16"/>
        </w:rPr>
      </w:pPr>
      <w:r>
        <w:rPr>
          <w:rFonts w:ascii="Century Gothic" w:hAnsi="Century Gothic"/>
          <w:b/>
          <w:w w:val="95"/>
          <w:sz w:val="16"/>
        </w:rPr>
        <w:t>≥</w:t>
      </w:r>
      <w:r>
        <w:rPr>
          <w:rFonts w:ascii="Century Gothic" w:hAnsi="Century Gothic"/>
          <w:b/>
          <w:spacing w:val="13"/>
          <w:w w:val="95"/>
          <w:sz w:val="16"/>
        </w:rPr>
        <w:t> </w:t>
      </w:r>
      <w:r>
        <w:rPr>
          <w:w w:val="95"/>
          <w:sz w:val="16"/>
        </w:rPr>
        <w:t>Dr</w:t>
      </w:r>
      <w:r>
        <w:rPr>
          <w:spacing w:val="-18"/>
          <w:w w:val="95"/>
          <w:sz w:val="16"/>
        </w:rPr>
        <w:t> </w:t>
      </w:r>
      <w:r>
        <w:rPr>
          <w:w w:val="95"/>
          <w:sz w:val="16"/>
        </w:rPr>
        <w:t>Alex</w:t>
      </w:r>
      <w:r>
        <w:rPr>
          <w:spacing w:val="-18"/>
          <w:w w:val="95"/>
          <w:sz w:val="16"/>
        </w:rPr>
        <w:t> </w:t>
      </w:r>
      <w:r>
        <w:rPr>
          <w:w w:val="95"/>
          <w:sz w:val="16"/>
        </w:rPr>
        <w:t>Ling,</w:t>
      </w:r>
      <w:r>
        <w:rPr>
          <w:spacing w:val="-18"/>
          <w:w w:val="95"/>
          <w:sz w:val="16"/>
        </w:rPr>
        <w:t> </w:t>
      </w:r>
      <w:r>
        <w:rPr>
          <w:rFonts w:ascii="Century Gothic" w:hAnsi="Century Gothic"/>
          <w:i/>
          <w:w w:val="95"/>
          <w:sz w:val="16"/>
        </w:rPr>
        <w:t>Badiou</w:t>
      </w:r>
      <w:r>
        <w:rPr>
          <w:rFonts w:ascii="Century Gothic" w:hAnsi="Century Gothic"/>
          <w:i/>
          <w:spacing w:val="-13"/>
          <w:w w:val="95"/>
          <w:sz w:val="16"/>
        </w:rPr>
        <w:t> </w:t>
      </w:r>
      <w:r>
        <w:rPr>
          <w:rFonts w:ascii="Century Gothic" w:hAnsi="Century Gothic"/>
          <w:i/>
          <w:w w:val="95"/>
          <w:sz w:val="16"/>
        </w:rPr>
        <w:t>Reframed:</w:t>
      </w:r>
      <w:r>
        <w:rPr>
          <w:rFonts w:ascii="Century Gothic" w:hAnsi="Century Gothic"/>
          <w:i/>
          <w:spacing w:val="-13"/>
          <w:w w:val="95"/>
          <w:sz w:val="16"/>
        </w:rPr>
        <w:t> </w:t>
      </w:r>
      <w:r>
        <w:rPr>
          <w:rFonts w:ascii="Century Gothic" w:hAnsi="Century Gothic"/>
          <w:i/>
          <w:w w:val="95"/>
          <w:sz w:val="16"/>
        </w:rPr>
        <w:t>Interpreting </w:t>
      </w:r>
      <w:r>
        <w:rPr>
          <w:rFonts w:ascii="Century Gothic" w:hAnsi="Century Gothic"/>
          <w:i/>
          <w:w w:val="95"/>
          <w:sz w:val="16"/>
        </w:rPr>
        <w:t>Key</w:t>
      </w:r>
      <w:r>
        <w:rPr>
          <w:rFonts w:ascii="Century Gothic" w:hAnsi="Century Gothic"/>
          <w:i/>
          <w:spacing w:val="-14"/>
          <w:w w:val="95"/>
          <w:sz w:val="16"/>
        </w:rPr>
        <w:t> </w:t>
      </w:r>
      <w:r>
        <w:rPr>
          <w:rFonts w:ascii="Century Gothic" w:hAnsi="Century Gothic"/>
          <w:i/>
          <w:w w:val="95"/>
          <w:sz w:val="16"/>
        </w:rPr>
        <w:t>Thinkers</w:t>
      </w:r>
      <w:r>
        <w:rPr>
          <w:rFonts w:ascii="Century Gothic" w:hAnsi="Century Gothic"/>
          <w:i/>
          <w:spacing w:val="-14"/>
          <w:w w:val="95"/>
          <w:sz w:val="16"/>
        </w:rPr>
        <w:t> </w:t>
      </w:r>
      <w:r>
        <w:rPr>
          <w:rFonts w:ascii="Century Gothic" w:hAnsi="Century Gothic"/>
          <w:i/>
          <w:w w:val="95"/>
          <w:sz w:val="16"/>
        </w:rPr>
        <w:t>for</w:t>
      </w:r>
      <w:r>
        <w:rPr>
          <w:rFonts w:ascii="Century Gothic" w:hAnsi="Century Gothic"/>
          <w:i/>
          <w:spacing w:val="-14"/>
          <w:w w:val="95"/>
          <w:sz w:val="16"/>
        </w:rPr>
        <w:t> </w:t>
      </w:r>
      <w:r>
        <w:rPr>
          <w:rFonts w:ascii="Century Gothic" w:hAnsi="Century Gothic"/>
          <w:i/>
          <w:w w:val="95"/>
          <w:sz w:val="16"/>
        </w:rPr>
        <w:t>the</w:t>
      </w:r>
      <w:r>
        <w:rPr>
          <w:rFonts w:ascii="Century Gothic" w:hAnsi="Century Gothic"/>
          <w:i/>
          <w:spacing w:val="-14"/>
          <w:w w:val="95"/>
          <w:sz w:val="16"/>
        </w:rPr>
        <w:t> </w:t>
      </w:r>
      <w:r>
        <w:rPr>
          <w:rFonts w:ascii="Century Gothic" w:hAnsi="Century Gothic"/>
          <w:i/>
          <w:w w:val="95"/>
          <w:sz w:val="16"/>
        </w:rPr>
        <w:t>Arts</w:t>
      </w:r>
      <w:r>
        <w:rPr>
          <w:w w:val="95"/>
          <w:sz w:val="16"/>
        </w:rPr>
        <w:t>,</w:t>
      </w:r>
      <w:r>
        <w:rPr>
          <w:spacing w:val="-19"/>
          <w:w w:val="95"/>
          <w:sz w:val="16"/>
        </w:rPr>
        <w:t> </w:t>
      </w:r>
      <w:r>
        <w:rPr>
          <w:spacing w:val="3"/>
          <w:w w:val="95"/>
          <w:sz w:val="16"/>
        </w:rPr>
        <w:t>I.B.</w:t>
      </w:r>
      <w:r>
        <w:rPr>
          <w:spacing w:val="-19"/>
          <w:w w:val="95"/>
          <w:sz w:val="16"/>
        </w:rPr>
        <w:t> </w:t>
      </w:r>
      <w:r>
        <w:rPr>
          <w:w w:val="95"/>
          <w:sz w:val="16"/>
        </w:rPr>
        <w:t>Tauris</w:t>
      </w:r>
    </w:p>
    <w:p>
      <w:pPr>
        <w:spacing w:line="244" w:lineRule="auto" w:before="56"/>
        <w:ind w:left="305" w:right="462" w:hanging="199"/>
        <w:jc w:val="left"/>
        <w:rPr>
          <w:sz w:val="16"/>
        </w:rPr>
      </w:pPr>
      <w:r>
        <w:rPr>
          <w:rFonts w:ascii="Century Gothic" w:hAnsi="Century Gothic"/>
          <w:b/>
          <w:w w:val="115"/>
          <w:sz w:val="16"/>
        </w:rPr>
        <w:t>≥ </w:t>
      </w:r>
      <w:r>
        <w:rPr>
          <w:sz w:val="16"/>
        </w:rPr>
        <w:t>Dr Lorraine Sim, </w:t>
      </w:r>
      <w:r>
        <w:rPr>
          <w:rFonts w:ascii="Century Gothic" w:hAnsi="Century Gothic"/>
          <w:i/>
          <w:sz w:val="16"/>
        </w:rPr>
        <w:t>Ordinary Matters: </w:t>
      </w:r>
      <w:r>
        <w:rPr>
          <w:rFonts w:ascii="Century Gothic" w:hAnsi="Century Gothic"/>
          <w:i/>
          <w:w w:val="95"/>
          <w:sz w:val="16"/>
        </w:rPr>
        <w:t>Modernist Women’s Literature and Photography, </w:t>
      </w:r>
      <w:r>
        <w:rPr>
          <w:w w:val="95"/>
          <w:sz w:val="16"/>
        </w:rPr>
        <w:t>Bloomsbury Academic</w:t>
      </w:r>
    </w:p>
    <w:p>
      <w:pPr>
        <w:pStyle w:val="BodyText"/>
        <w:spacing w:before="8"/>
      </w:pPr>
      <w:r>
        <w:rPr/>
        <w:br w:type="column"/>
      </w:r>
      <w:r>
        <w:rPr/>
      </w:r>
    </w:p>
    <w:p>
      <w:pPr>
        <w:spacing w:line="244" w:lineRule="auto" w:before="0"/>
        <w:ind w:left="305" w:right="236" w:hanging="199"/>
        <w:jc w:val="left"/>
        <w:rPr>
          <w:sz w:val="16"/>
        </w:rPr>
      </w:pPr>
      <w:r>
        <w:rPr>
          <w:rFonts w:ascii="Century Gothic" w:hAnsi="Century Gothic"/>
          <w:b/>
          <w:w w:val="115"/>
          <w:sz w:val="16"/>
        </w:rPr>
        <w:t>≥</w:t>
      </w:r>
      <w:r>
        <w:rPr>
          <w:rFonts w:ascii="Century Gothic" w:hAnsi="Century Gothic"/>
          <w:b/>
          <w:spacing w:val="-28"/>
          <w:w w:val="115"/>
          <w:sz w:val="16"/>
        </w:rPr>
        <w:t> </w:t>
      </w:r>
      <w:r>
        <w:rPr>
          <w:sz w:val="16"/>
        </w:rPr>
        <w:t>Professor</w:t>
      </w:r>
      <w:r>
        <w:rPr>
          <w:spacing w:val="-38"/>
          <w:sz w:val="16"/>
        </w:rPr>
        <w:t> </w:t>
      </w:r>
      <w:r>
        <w:rPr>
          <w:sz w:val="16"/>
        </w:rPr>
        <w:t>Hazel</w:t>
      </w:r>
      <w:r>
        <w:rPr>
          <w:spacing w:val="-38"/>
          <w:sz w:val="16"/>
        </w:rPr>
        <w:t> </w:t>
      </w:r>
      <w:r>
        <w:rPr>
          <w:sz w:val="16"/>
        </w:rPr>
        <w:t>Smith,</w:t>
      </w:r>
      <w:r>
        <w:rPr>
          <w:spacing w:val="-38"/>
          <w:sz w:val="16"/>
        </w:rPr>
        <w:t> </w:t>
      </w:r>
      <w:r>
        <w:rPr>
          <w:rFonts w:ascii="Century Gothic" w:hAnsi="Century Gothic"/>
          <w:i/>
          <w:sz w:val="16"/>
        </w:rPr>
        <w:t>The</w:t>
      </w:r>
      <w:r>
        <w:rPr>
          <w:rFonts w:ascii="Century Gothic" w:hAnsi="Century Gothic"/>
          <w:i/>
          <w:spacing w:val="-32"/>
          <w:sz w:val="16"/>
        </w:rPr>
        <w:t> </w:t>
      </w:r>
      <w:r>
        <w:rPr>
          <w:rFonts w:ascii="Century Gothic" w:hAnsi="Century Gothic"/>
          <w:i/>
          <w:sz w:val="16"/>
        </w:rPr>
        <w:t>Contemporary </w:t>
      </w:r>
      <w:r>
        <w:rPr>
          <w:rFonts w:ascii="Century Gothic" w:hAnsi="Century Gothic"/>
          <w:i/>
          <w:spacing w:val="-1"/>
          <w:w w:val="90"/>
          <w:sz w:val="16"/>
        </w:rPr>
        <w:t>Literature-Music </w:t>
      </w:r>
      <w:r>
        <w:rPr>
          <w:rFonts w:ascii="Century Gothic" w:hAnsi="Century Gothic"/>
          <w:i/>
          <w:w w:val="90"/>
          <w:sz w:val="16"/>
        </w:rPr>
        <w:t>Relationship: Intermedia, </w:t>
      </w:r>
      <w:r>
        <w:rPr>
          <w:rFonts w:ascii="Century Gothic" w:hAnsi="Century Gothic"/>
          <w:i/>
          <w:sz w:val="16"/>
        </w:rPr>
        <w:t>Voice, Technology, Cross-Cultural </w:t>
      </w:r>
      <w:r>
        <w:rPr>
          <w:rFonts w:ascii="Century Gothic" w:hAnsi="Century Gothic"/>
          <w:i/>
          <w:w w:val="90"/>
          <w:sz w:val="16"/>
        </w:rPr>
        <w:t>Exchange</w:t>
      </w:r>
      <w:r>
        <w:rPr>
          <w:w w:val="90"/>
          <w:sz w:val="16"/>
        </w:rPr>
        <w:t>,</w:t>
      </w:r>
      <w:r>
        <w:rPr>
          <w:spacing w:val="18"/>
          <w:w w:val="90"/>
          <w:sz w:val="16"/>
        </w:rPr>
        <w:t> </w:t>
      </w:r>
      <w:r>
        <w:rPr>
          <w:w w:val="90"/>
          <w:sz w:val="16"/>
        </w:rPr>
        <w:t>Routledge</w:t>
      </w:r>
    </w:p>
    <w:p>
      <w:pPr>
        <w:pStyle w:val="BodyText"/>
        <w:spacing w:line="247" w:lineRule="auto" w:before="56"/>
        <w:ind w:left="305" w:right="441" w:hanging="199"/>
      </w:pPr>
      <w:r>
        <w:rPr>
          <w:rFonts w:ascii="Century Gothic" w:hAnsi="Century Gothic"/>
          <w:b/>
          <w:w w:val="115"/>
        </w:rPr>
        <w:t>≥ </w:t>
      </w:r>
      <w:r>
        <w:rPr/>
        <w:t>Associate Professor Mustapha Taibi and Associate Professor Uldis Ozolins, </w:t>
      </w:r>
      <w:r>
        <w:rPr>
          <w:rFonts w:ascii="Century Gothic" w:hAnsi="Century Gothic"/>
          <w:i/>
          <w:w w:val="95"/>
        </w:rPr>
        <w:t>Community Translation</w:t>
      </w:r>
      <w:r>
        <w:rPr>
          <w:w w:val="95"/>
        </w:rPr>
        <w:t>, Bloomsbury </w:t>
      </w:r>
      <w:r>
        <w:rPr/>
        <w:t>Academic</w:t>
      </w:r>
    </w:p>
    <w:p>
      <w:pPr>
        <w:spacing w:line="244" w:lineRule="auto" w:before="57"/>
        <w:ind w:left="305" w:right="180" w:hanging="199"/>
        <w:jc w:val="left"/>
        <w:rPr>
          <w:sz w:val="16"/>
        </w:rPr>
      </w:pPr>
      <w:r>
        <w:rPr>
          <w:rFonts w:ascii="Century Gothic" w:hAnsi="Century Gothic"/>
          <w:b/>
          <w:w w:val="115"/>
          <w:sz w:val="16"/>
        </w:rPr>
        <w:t>≥</w:t>
      </w:r>
      <w:r>
        <w:rPr>
          <w:rFonts w:ascii="Century Gothic" w:hAnsi="Century Gothic"/>
          <w:b/>
          <w:spacing w:val="-16"/>
          <w:w w:val="115"/>
          <w:sz w:val="16"/>
        </w:rPr>
        <w:t> </w:t>
      </w:r>
      <w:r>
        <w:rPr>
          <w:sz w:val="16"/>
        </w:rPr>
        <w:t>Dr</w:t>
      </w:r>
      <w:r>
        <w:rPr>
          <w:spacing w:val="-31"/>
          <w:sz w:val="16"/>
        </w:rPr>
        <w:t> </w:t>
      </w:r>
      <w:r>
        <w:rPr>
          <w:sz w:val="16"/>
        </w:rPr>
        <w:t>Kenny</w:t>
      </w:r>
      <w:r>
        <w:rPr>
          <w:spacing w:val="-31"/>
          <w:sz w:val="16"/>
        </w:rPr>
        <w:t> </w:t>
      </w:r>
      <w:r>
        <w:rPr>
          <w:sz w:val="16"/>
        </w:rPr>
        <w:t>Wang,</w:t>
      </w:r>
      <w:r>
        <w:rPr>
          <w:spacing w:val="-31"/>
          <w:sz w:val="16"/>
        </w:rPr>
        <w:t> </w:t>
      </w:r>
      <w:r>
        <w:rPr>
          <w:rFonts w:ascii="Century Gothic" w:hAnsi="Century Gothic"/>
          <w:i/>
          <w:sz w:val="16"/>
        </w:rPr>
        <w:t>The</w:t>
      </w:r>
      <w:r>
        <w:rPr>
          <w:rFonts w:ascii="Century Gothic" w:hAnsi="Century Gothic"/>
          <w:i/>
          <w:spacing w:val="-26"/>
          <w:sz w:val="16"/>
        </w:rPr>
        <w:t> </w:t>
      </w:r>
      <w:r>
        <w:rPr>
          <w:rFonts w:ascii="Century Gothic" w:hAnsi="Century Gothic"/>
          <w:i/>
          <w:sz w:val="16"/>
        </w:rPr>
        <w:t>Acquisition</w:t>
      </w:r>
      <w:r>
        <w:rPr>
          <w:rFonts w:ascii="Century Gothic" w:hAnsi="Century Gothic"/>
          <w:i/>
          <w:spacing w:val="-26"/>
          <w:sz w:val="16"/>
        </w:rPr>
        <w:t> </w:t>
      </w:r>
      <w:r>
        <w:rPr>
          <w:rFonts w:ascii="Century Gothic" w:hAnsi="Century Gothic"/>
          <w:i/>
          <w:sz w:val="16"/>
        </w:rPr>
        <w:t>of</w:t>
      </w:r>
      <w:r>
        <w:rPr>
          <w:rFonts w:ascii="Century Gothic" w:hAnsi="Century Gothic"/>
          <w:i/>
          <w:spacing w:val="-26"/>
          <w:sz w:val="16"/>
        </w:rPr>
        <w:t> </w:t>
      </w:r>
      <w:r>
        <w:rPr>
          <w:rFonts w:ascii="Century Gothic" w:hAnsi="Century Gothic"/>
          <w:i/>
          <w:sz w:val="16"/>
        </w:rPr>
        <w:t>Passive </w:t>
      </w:r>
      <w:r>
        <w:rPr>
          <w:rFonts w:ascii="Century Gothic" w:hAnsi="Century Gothic"/>
          <w:i/>
          <w:w w:val="95"/>
          <w:sz w:val="16"/>
        </w:rPr>
        <w:t>Constructions in </w:t>
      </w:r>
      <w:r>
        <w:rPr>
          <w:rFonts w:ascii="Century Gothic" w:hAnsi="Century Gothic"/>
          <w:i/>
          <w:spacing w:val="3"/>
          <w:w w:val="95"/>
          <w:sz w:val="16"/>
        </w:rPr>
        <w:t>L2 </w:t>
      </w:r>
      <w:r>
        <w:rPr>
          <w:rFonts w:ascii="Century Gothic" w:hAnsi="Century Gothic"/>
          <w:i/>
          <w:w w:val="95"/>
          <w:sz w:val="16"/>
        </w:rPr>
        <w:t>English by Mandarin Speakers</w:t>
      </w:r>
      <w:r>
        <w:rPr>
          <w:w w:val="95"/>
          <w:sz w:val="16"/>
        </w:rPr>
        <w:t>, LINCOM Academic</w:t>
      </w:r>
      <w:r>
        <w:rPr>
          <w:spacing w:val="27"/>
          <w:w w:val="95"/>
          <w:sz w:val="16"/>
        </w:rPr>
        <w:t> </w:t>
      </w:r>
      <w:r>
        <w:rPr>
          <w:w w:val="95"/>
          <w:sz w:val="16"/>
        </w:rPr>
        <w:t>Publishers</w:t>
      </w:r>
    </w:p>
    <w:p>
      <w:pPr>
        <w:pStyle w:val="BodyText"/>
      </w:pPr>
    </w:p>
    <w:p>
      <w:pPr>
        <w:pStyle w:val="Heading5"/>
        <w:spacing w:before="138"/>
      </w:pPr>
      <w:bookmarkStart w:name="_TOC_250038" w:id="16"/>
      <w:bookmarkEnd w:id="16"/>
      <w:r>
        <w:rPr>
          <w:w w:val="95"/>
        </w:rPr>
        <w:t>SCHOOL OF LAW</w:t>
      </w:r>
    </w:p>
    <w:p>
      <w:pPr>
        <w:pStyle w:val="BodyText"/>
        <w:spacing w:line="249" w:lineRule="auto" w:before="95"/>
        <w:ind w:left="107" w:right="212"/>
      </w:pP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w w:val="99"/>
        </w:rPr>
        <w:t>of </w:t>
      </w:r>
      <w:r>
        <w:rPr>
          <w:w w:val="99"/>
        </w:rPr>
        <w:t>Law </w:t>
      </w:r>
      <w:r>
        <w:rPr>
          <w:spacing w:val="1"/>
          <w:w w:val="98"/>
        </w:rPr>
        <w:t>celebrated</w:t>
      </w:r>
      <w:r>
        <w:rPr>
          <w:w w:val="98"/>
        </w:rPr>
        <w:t> </w:t>
      </w:r>
      <w:r>
        <w:rPr>
          <w:spacing w:val="2"/>
          <w:w w:val="73"/>
        </w:rPr>
        <w:t>21</w:t>
      </w:r>
      <w:r>
        <w:rPr>
          <w:w w:val="73"/>
        </w:rPr>
        <w:t> </w:t>
      </w:r>
      <w:r>
        <w:rPr/>
        <w:t>years</w:t>
      </w:r>
      <w:r>
        <w:rPr>
          <w:spacing w:val="-17"/>
        </w:rPr>
        <w:t> </w:t>
      </w:r>
      <w:r>
        <w:rPr/>
        <w:t>as</w:t>
      </w:r>
      <w:r>
        <w:rPr>
          <w:spacing w:val="-17"/>
        </w:rPr>
        <w:t> </w:t>
      </w:r>
      <w:r>
        <w:rPr/>
        <w:t>a</w:t>
      </w:r>
      <w:r>
        <w:rPr>
          <w:spacing w:val="-17"/>
        </w:rPr>
        <w:t> </w:t>
      </w:r>
      <w:r>
        <w:rPr/>
        <w:t>department.</w:t>
      </w:r>
      <w:r>
        <w:rPr>
          <w:spacing w:val="-17"/>
        </w:rPr>
        <w:t> </w:t>
      </w:r>
      <w:r>
        <w:rPr/>
        <w:t>The</w:t>
      </w:r>
      <w:r>
        <w:rPr>
          <w:spacing w:val="-17"/>
        </w:rPr>
        <w:t> </w:t>
      </w:r>
      <w:r>
        <w:rPr/>
        <w:t>Bachelor</w:t>
      </w:r>
      <w:r>
        <w:rPr>
          <w:spacing w:val="-17"/>
        </w:rPr>
        <w:t> </w:t>
      </w:r>
      <w:r>
        <w:rPr/>
        <w:t>of</w:t>
      </w:r>
      <w:r>
        <w:rPr>
          <w:spacing w:val="-17"/>
        </w:rPr>
        <w:t> </w:t>
      </w:r>
      <w:r>
        <w:rPr/>
        <w:t>Laws (LLB) was first taught at the Campbelltown campus</w:t>
      </w:r>
      <w:r>
        <w:rPr>
          <w:spacing w:val="-22"/>
        </w:rPr>
        <w:t> </w:t>
      </w:r>
      <w:r>
        <w:rPr/>
        <w:t>in</w:t>
      </w:r>
      <w:r>
        <w:rPr>
          <w:spacing w:val="-22"/>
        </w:rPr>
        <w:t> </w:t>
      </w:r>
      <w:r>
        <w:rPr>
          <w:spacing w:val="2"/>
        </w:rPr>
        <w:t>1995,</w:t>
      </w:r>
      <w:r>
        <w:rPr>
          <w:spacing w:val="-22"/>
        </w:rPr>
        <w:t> </w:t>
      </w:r>
      <w:r>
        <w:rPr/>
        <w:t>followed</w:t>
      </w:r>
      <w:r>
        <w:rPr>
          <w:spacing w:val="-22"/>
        </w:rPr>
        <w:t> </w:t>
      </w:r>
      <w:r>
        <w:rPr/>
        <w:t>by</w:t>
      </w:r>
      <w:r>
        <w:rPr>
          <w:spacing w:val="-22"/>
        </w:rPr>
        <w:t> </w:t>
      </w:r>
      <w:r>
        <w:rPr/>
        <w:t>its</w:t>
      </w:r>
      <w:r>
        <w:rPr>
          <w:spacing w:val="-22"/>
        </w:rPr>
        <w:t> </w:t>
      </w:r>
      <w:r>
        <w:rPr/>
        <w:t>launch</w:t>
      </w:r>
      <w:r>
        <w:rPr>
          <w:spacing w:val="-22"/>
        </w:rPr>
        <w:t> </w:t>
      </w:r>
      <w:r>
        <w:rPr/>
        <w:t>at</w:t>
      </w:r>
    </w:p>
    <w:p>
      <w:pPr>
        <w:pStyle w:val="BodyText"/>
        <w:spacing w:line="249" w:lineRule="auto"/>
        <w:ind w:left="107" w:right="432"/>
      </w:pPr>
      <w:r>
        <w:rPr/>
        <w:t>the</w:t>
      </w:r>
      <w:r>
        <w:rPr>
          <w:spacing w:val="-23"/>
        </w:rPr>
        <w:t> </w:t>
      </w:r>
      <w:r>
        <w:rPr/>
        <w:t>Parramatta</w:t>
      </w:r>
      <w:r>
        <w:rPr>
          <w:spacing w:val="-23"/>
        </w:rPr>
        <w:t> </w:t>
      </w:r>
      <w:r>
        <w:rPr/>
        <w:t>campus</w:t>
      </w:r>
      <w:r>
        <w:rPr>
          <w:spacing w:val="-23"/>
        </w:rPr>
        <w:t> </w:t>
      </w:r>
      <w:r>
        <w:rPr/>
        <w:t>in</w:t>
      </w:r>
      <w:r>
        <w:rPr>
          <w:spacing w:val="-23"/>
        </w:rPr>
        <w:t> </w:t>
      </w:r>
      <w:r>
        <w:rPr>
          <w:spacing w:val="2"/>
        </w:rPr>
        <w:t>1996.</w:t>
      </w:r>
      <w:r>
        <w:rPr>
          <w:spacing w:val="-23"/>
        </w:rPr>
        <w:t> </w:t>
      </w:r>
      <w:r>
        <w:rPr/>
        <w:t>Professor Robin</w:t>
      </w:r>
      <w:r>
        <w:rPr>
          <w:spacing w:val="-14"/>
        </w:rPr>
        <w:t> </w:t>
      </w:r>
      <w:r>
        <w:rPr/>
        <w:t>Woellner</w:t>
      </w:r>
      <w:r>
        <w:rPr>
          <w:spacing w:val="-14"/>
        </w:rPr>
        <w:t> </w:t>
      </w:r>
      <w:r>
        <w:rPr/>
        <w:t>was</w:t>
      </w:r>
      <w:r>
        <w:rPr>
          <w:spacing w:val="-14"/>
        </w:rPr>
        <w:t> </w:t>
      </w:r>
      <w:r>
        <w:rPr/>
        <w:t>the</w:t>
      </w:r>
      <w:r>
        <w:rPr>
          <w:spacing w:val="-14"/>
        </w:rPr>
        <w:t> </w:t>
      </w:r>
      <w:r>
        <w:rPr/>
        <w:t>first</w:t>
      </w:r>
      <w:r>
        <w:rPr>
          <w:spacing w:val="-14"/>
        </w:rPr>
        <w:t> </w:t>
      </w:r>
      <w:r>
        <w:rPr/>
        <w:t>Dean</w:t>
      </w:r>
      <w:r>
        <w:rPr>
          <w:spacing w:val="-14"/>
        </w:rPr>
        <w:t> </w:t>
      </w:r>
      <w:r>
        <w:rPr/>
        <w:t>of</w:t>
      </w:r>
      <w:r>
        <w:rPr>
          <w:spacing w:val="-14"/>
        </w:rPr>
        <w:t> </w:t>
      </w:r>
      <w:r>
        <w:rPr/>
        <w:t>Law at Campbelltown and Professor Razeen Sappideen</w:t>
      </w:r>
      <w:r>
        <w:rPr>
          <w:spacing w:val="-13"/>
        </w:rPr>
        <w:t> </w:t>
      </w:r>
      <w:r>
        <w:rPr/>
        <w:t>headed</w:t>
      </w:r>
      <w:r>
        <w:rPr>
          <w:spacing w:val="-13"/>
        </w:rPr>
        <w:t> </w:t>
      </w:r>
      <w:r>
        <w:rPr/>
        <w:t>the</w:t>
      </w:r>
      <w:r>
        <w:rPr>
          <w:spacing w:val="-13"/>
        </w:rPr>
        <w:t> </w:t>
      </w:r>
      <w:r>
        <w:rPr/>
        <w:t>department</w:t>
      </w:r>
      <w:r>
        <w:rPr>
          <w:spacing w:val="-13"/>
        </w:rPr>
        <w:t> </w:t>
      </w:r>
      <w:r>
        <w:rPr/>
        <w:t>in</w:t>
      </w:r>
    </w:p>
    <w:p>
      <w:pPr>
        <w:pStyle w:val="BodyText"/>
        <w:spacing w:line="249" w:lineRule="auto"/>
        <w:ind w:left="107" w:right="155"/>
      </w:pPr>
      <w:r>
        <w:rPr/>
        <w:t>Parramatta. At the amalgamation of the law </w:t>
      </w:r>
      <w:r>
        <w:rPr>
          <w:spacing w:val="1"/>
          <w:w w:val="97"/>
        </w:rPr>
        <w:t>schools</w:t>
      </w:r>
      <w:r>
        <w:rPr>
          <w:w w:val="97"/>
        </w:rPr>
        <w:t> </w:t>
      </w:r>
      <w:r>
        <w:rPr>
          <w:w w:val="95"/>
        </w:rPr>
        <w:t>in </w:t>
      </w:r>
      <w:r>
        <w:rPr>
          <w:spacing w:val="2"/>
          <w:w w:val="87"/>
        </w:rPr>
        <w:t>2001,</w:t>
      </w:r>
      <w:r>
        <w:rPr>
          <w:w w:val="87"/>
        </w:rPr>
        <w:t> </w:t>
      </w:r>
      <w:r>
        <w:rPr>
          <w:spacing w:val="1"/>
          <w:w w:val="97"/>
        </w:rPr>
        <w:t>Professor</w:t>
      </w:r>
      <w:r>
        <w:rPr>
          <w:w w:val="97"/>
        </w:rPr>
        <w:t> </w:t>
      </w:r>
      <w:r>
        <w:rPr>
          <w:w w:val="97"/>
        </w:rPr>
        <w:t>Woellner </w:t>
      </w:r>
      <w:r>
        <w:rPr>
          <w:spacing w:val="2"/>
          <w:w w:val="98"/>
        </w:rPr>
        <w:t>became</w:t>
      </w:r>
      <w:r>
        <w:rPr>
          <w:w w:val="98"/>
        </w:rPr>
        <w:t> </w:t>
      </w:r>
      <w:r>
        <w:rPr/>
        <w:t>Executive Dean of Business and Law and Professor Carolyn Sappideen became Head of</w:t>
      </w:r>
      <w:r>
        <w:rPr>
          <w:spacing w:val="-14"/>
        </w:rPr>
        <w:t> </w:t>
      </w:r>
      <w:r>
        <w:rPr/>
        <w:t>the</w:t>
      </w:r>
      <w:r>
        <w:rPr>
          <w:spacing w:val="-14"/>
        </w:rPr>
        <w:t> </w:t>
      </w:r>
      <w:r>
        <w:rPr/>
        <w:t>combined</w:t>
      </w:r>
      <w:r>
        <w:rPr>
          <w:spacing w:val="-14"/>
        </w:rPr>
        <w:t> </w:t>
      </w:r>
      <w:r>
        <w:rPr/>
        <w:t>School</w:t>
      </w:r>
      <w:r>
        <w:rPr>
          <w:spacing w:val="-14"/>
        </w:rPr>
        <w:t> </w:t>
      </w:r>
      <w:r>
        <w:rPr/>
        <w:t>of</w:t>
      </w:r>
      <w:r>
        <w:rPr>
          <w:spacing w:val="-14"/>
        </w:rPr>
        <w:t> </w:t>
      </w:r>
      <w:r>
        <w:rPr/>
        <w:t>Law,</w:t>
      </w:r>
      <w:r>
        <w:rPr>
          <w:spacing w:val="-14"/>
        </w:rPr>
        <w:t> </w:t>
      </w:r>
      <w:r>
        <w:rPr/>
        <w:t>covering</w:t>
      </w:r>
      <w:r>
        <w:rPr>
          <w:spacing w:val="-14"/>
        </w:rPr>
        <w:t> </w:t>
      </w:r>
      <w:r>
        <w:rPr/>
        <w:t>both </w:t>
      </w:r>
      <w:r>
        <w:rPr>
          <w:spacing w:val="2"/>
        </w:rPr>
        <w:t>campuses.</w:t>
      </w:r>
      <w:r>
        <w:rPr>
          <w:spacing w:val="-22"/>
        </w:rPr>
        <w:t> </w:t>
      </w:r>
      <w:r>
        <w:rPr/>
        <w:t>In</w:t>
      </w:r>
      <w:r>
        <w:rPr>
          <w:spacing w:val="-22"/>
        </w:rPr>
        <w:t> </w:t>
      </w:r>
      <w:r>
        <w:rPr/>
        <w:t>2007,</w:t>
      </w:r>
      <w:r>
        <w:rPr>
          <w:spacing w:val="-22"/>
        </w:rPr>
        <w:t> </w:t>
      </w:r>
      <w:r>
        <w:rPr/>
        <w:t>Professor</w:t>
      </w:r>
      <w:r>
        <w:rPr>
          <w:spacing w:val="-22"/>
        </w:rPr>
        <w:t> </w:t>
      </w:r>
      <w:r>
        <w:rPr/>
        <w:t>Michael</w:t>
      </w:r>
      <w:r>
        <w:rPr>
          <w:spacing w:val="-22"/>
        </w:rPr>
        <w:t> </w:t>
      </w:r>
      <w:r>
        <w:rPr/>
        <w:t>Adams took over as Head and then Dean of the School of</w:t>
      </w:r>
      <w:r>
        <w:rPr>
          <w:spacing w:val="-36"/>
        </w:rPr>
        <w:t> </w:t>
      </w:r>
      <w:r>
        <w:rPr/>
        <w:t>Law.</w:t>
      </w:r>
    </w:p>
    <w:p>
      <w:pPr>
        <w:pStyle w:val="BodyText"/>
        <w:rPr>
          <w:sz w:val="14"/>
        </w:rPr>
      </w:pPr>
    </w:p>
    <w:p>
      <w:pPr>
        <w:pStyle w:val="BodyText"/>
        <w:spacing w:line="249" w:lineRule="auto"/>
        <w:ind w:left="107" w:right="497"/>
      </w:pPr>
      <w:r>
        <w:rPr/>
        <w:t>All</w:t>
      </w:r>
      <w:r>
        <w:rPr>
          <w:spacing w:val="-19"/>
        </w:rPr>
        <w:t> </w:t>
      </w:r>
      <w:r>
        <w:rPr/>
        <w:t>four</w:t>
      </w:r>
      <w:r>
        <w:rPr>
          <w:spacing w:val="-19"/>
        </w:rPr>
        <w:t> </w:t>
      </w:r>
      <w:r>
        <w:rPr/>
        <w:t>deans</w:t>
      </w:r>
      <w:r>
        <w:rPr>
          <w:spacing w:val="-19"/>
        </w:rPr>
        <w:t> </w:t>
      </w:r>
      <w:r>
        <w:rPr/>
        <w:t>attended</w:t>
      </w:r>
      <w:r>
        <w:rPr>
          <w:spacing w:val="-19"/>
        </w:rPr>
        <w:t> </w:t>
      </w:r>
      <w:r>
        <w:rPr/>
        <w:t>the</w:t>
      </w:r>
      <w:r>
        <w:rPr>
          <w:spacing w:val="-19"/>
        </w:rPr>
        <w:t> </w:t>
      </w:r>
      <w:r>
        <w:rPr/>
        <w:t>faculty’s</w:t>
      </w:r>
      <w:r>
        <w:rPr>
          <w:spacing w:val="-19"/>
        </w:rPr>
        <w:t> </w:t>
      </w:r>
      <w:r>
        <w:rPr>
          <w:spacing w:val="2"/>
        </w:rPr>
        <w:t>21st </w:t>
      </w:r>
      <w:r>
        <w:rPr/>
        <w:t>birthday celebration, which was held on </w:t>
      </w:r>
      <w:r>
        <w:rPr>
          <w:spacing w:val="1"/>
          <w:w w:val="78"/>
        </w:rPr>
        <w:t>14</w:t>
      </w:r>
      <w:r>
        <w:rPr>
          <w:w w:val="78"/>
        </w:rPr>
        <w:t> </w:t>
      </w:r>
      <w:r>
        <w:rPr>
          <w:spacing w:val="1"/>
          <w:w w:val="100"/>
        </w:rPr>
        <w:t>July</w:t>
      </w:r>
      <w:r>
        <w:rPr>
          <w:w w:val="100"/>
        </w:rPr>
        <w:t> </w:t>
      </w:r>
      <w:r>
        <w:rPr>
          <w:spacing w:val="1"/>
          <w:w w:val="90"/>
        </w:rPr>
        <w:t>2016</w:t>
      </w:r>
      <w:r>
        <w:rPr>
          <w:w w:val="90"/>
        </w:rPr>
        <w:t> </w:t>
      </w:r>
      <w:r>
        <w:rPr>
          <w:spacing w:val="-1"/>
          <w:w w:val="101"/>
        </w:rPr>
        <w:t>to</w:t>
      </w:r>
      <w:r>
        <w:rPr>
          <w:w w:val="101"/>
        </w:rPr>
        <w:t> </w:t>
      </w:r>
      <w:r>
        <w:rPr>
          <w:spacing w:val="1"/>
          <w:w w:val="98"/>
        </w:rPr>
        <w:t>coincide</w:t>
      </w:r>
      <w:r>
        <w:rPr>
          <w:w w:val="98"/>
        </w:rPr>
        <w:t> </w:t>
      </w:r>
      <w:r>
        <w:rPr>
          <w:w w:val="98"/>
        </w:rPr>
        <w:t>with </w:t>
      </w:r>
      <w:r>
        <w:rPr>
          <w:w w:val="97"/>
        </w:rPr>
        <w:t>the </w:t>
      </w:r>
      <w:r>
        <w:rPr>
          <w:w w:val="97"/>
        </w:rPr>
        <w:t>awards </w:t>
      </w:r>
      <w:r>
        <w:rPr/>
        <w:t>ceremony</w:t>
      </w:r>
      <w:r>
        <w:rPr>
          <w:spacing w:val="-17"/>
        </w:rPr>
        <w:t> </w:t>
      </w:r>
      <w:r>
        <w:rPr/>
        <w:t>for</w:t>
      </w:r>
      <w:r>
        <w:rPr>
          <w:spacing w:val="-17"/>
        </w:rPr>
        <w:t> </w:t>
      </w:r>
      <w:r>
        <w:rPr/>
        <w:t>the</w:t>
      </w:r>
      <w:r>
        <w:rPr>
          <w:spacing w:val="-17"/>
        </w:rPr>
        <w:t> </w:t>
      </w:r>
      <w:r>
        <w:rPr/>
        <w:t>School</w:t>
      </w:r>
      <w:r>
        <w:rPr>
          <w:spacing w:val="-17"/>
        </w:rPr>
        <w:t> </w:t>
      </w:r>
      <w:r>
        <w:rPr/>
        <w:t>of</w:t>
      </w:r>
      <w:r>
        <w:rPr>
          <w:spacing w:val="-17"/>
        </w:rPr>
        <w:t> </w:t>
      </w:r>
      <w:r>
        <w:rPr/>
        <w:t>Law.</w:t>
      </w:r>
      <w:r>
        <w:rPr>
          <w:spacing w:val="-17"/>
        </w:rPr>
        <w:t> </w:t>
      </w:r>
      <w:r>
        <w:rPr/>
        <w:t>Current</w:t>
      </w:r>
    </w:p>
    <w:p>
      <w:pPr>
        <w:pStyle w:val="BodyText"/>
        <w:spacing w:line="249" w:lineRule="auto"/>
        <w:ind w:left="107" w:right="203"/>
      </w:pPr>
      <w:r>
        <w:rPr/>
        <w:t>students and former alumni, including Deng Adut, NSW Australian of the Year, were among the guest speakers.</w:t>
      </w:r>
    </w:p>
    <w:p>
      <w:pPr>
        <w:pStyle w:val="BodyText"/>
        <w:rPr>
          <w:sz w:val="14"/>
        </w:rPr>
      </w:pPr>
    </w:p>
    <w:p>
      <w:pPr>
        <w:pStyle w:val="BodyText"/>
        <w:spacing w:line="249" w:lineRule="auto"/>
        <w:ind w:left="107" w:right="401"/>
      </w:pPr>
      <w:r>
        <w:rPr>
          <w:spacing w:val="1"/>
          <w:w w:val="97"/>
        </w:rPr>
        <w:t>Throughout</w:t>
      </w:r>
      <w:r>
        <w:rPr>
          <w:w w:val="97"/>
        </w:rPr>
        <w:t> </w:t>
      </w:r>
      <w:r>
        <w:rPr>
          <w:spacing w:val="2"/>
          <w:w w:val="85"/>
        </w:rPr>
        <w:t>2016,</w:t>
      </w:r>
      <w:r>
        <w:rPr>
          <w:w w:val="85"/>
        </w:rPr>
        <w:t> </w:t>
      </w:r>
      <w:r>
        <w:rPr>
          <w:w w:val="97"/>
        </w:rPr>
        <w:t>the </w:t>
      </w:r>
      <w:r>
        <w:rPr>
          <w:spacing w:val="1"/>
          <w:w w:val="98"/>
        </w:rPr>
        <w:t>School</w:t>
      </w:r>
      <w:r>
        <w:rPr>
          <w:w w:val="98"/>
        </w:rPr>
        <w:t> </w:t>
      </w:r>
      <w:r>
        <w:rPr>
          <w:w w:val="99"/>
        </w:rPr>
        <w:t>of </w:t>
      </w:r>
      <w:r>
        <w:rPr>
          <w:w w:val="99"/>
        </w:rPr>
        <w:t>Law </w:t>
      </w:r>
      <w:r>
        <w:rPr/>
        <w:t>conducted</w:t>
      </w:r>
      <w:r>
        <w:rPr>
          <w:spacing w:val="-17"/>
        </w:rPr>
        <w:t> </w:t>
      </w:r>
      <w:r>
        <w:rPr/>
        <w:t>a</w:t>
      </w:r>
      <w:r>
        <w:rPr>
          <w:spacing w:val="-17"/>
        </w:rPr>
        <w:t> </w:t>
      </w:r>
      <w:r>
        <w:rPr/>
        <w:t>major</w:t>
      </w:r>
      <w:r>
        <w:rPr>
          <w:spacing w:val="-17"/>
        </w:rPr>
        <w:t> </w:t>
      </w:r>
      <w:r>
        <w:rPr/>
        <w:t>review</w:t>
      </w:r>
      <w:r>
        <w:rPr>
          <w:spacing w:val="-17"/>
        </w:rPr>
        <w:t> </w:t>
      </w:r>
      <w:r>
        <w:rPr/>
        <w:t>of</w:t>
      </w:r>
      <w:r>
        <w:rPr>
          <w:spacing w:val="-17"/>
        </w:rPr>
        <w:t> </w:t>
      </w:r>
      <w:r>
        <w:rPr/>
        <w:t>the</w:t>
      </w:r>
      <w:r>
        <w:rPr>
          <w:spacing w:val="-17"/>
        </w:rPr>
        <w:t> </w:t>
      </w:r>
      <w:r>
        <w:rPr/>
        <w:t>first-year LLB curriculum, focusing on innovation and</w:t>
      </w:r>
      <w:r>
        <w:rPr>
          <w:spacing w:val="-19"/>
        </w:rPr>
        <w:t> </w:t>
      </w:r>
      <w:r>
        <w:rPr/>
        <w:t>retention</w:t>
      </w:r>
      <w:r>
        <w:rPr>
          <w:spacing w:val="-19"/>
        </w:rPr>
        <w:t> </w:t>
      </w:r>
      <w:r>
        <w:rPr/>
        <w:t>of</w:t>
      </w:r>
      <w:r>
        <w:rPr>
          <w:spacing w:val="-19"/>
        </w:rPr>
        <w:t> </w:t>
      </w:r>
      <w:r>
        <w:rPr/>
        <w:t>law</w:t>
      </w:r>
      <w:r>
        <w:rPr>
          <w:spacing w:val="-19"/>
        </w:rPr>
        <w:t> </w:t>
      </w:r>
      <w:r>
        <w:rPr/>
        <w:t>students.</w:t>
      </w:r>
      <w:r>
        <w:rPr>
          <w:spacing w:val="-19"/>
        </w:rPr>
        <w:t> </w:t>
      </w:r>
      <w:r>
        <w:rPr/>
        <w:t>Dr</w:t>
      </w:r>
      <w:r>
        <w:rPr>
          <w:spacing w:val="-19"/>
        </w:rPr>
        <w:t> </w:t>
      </w:r>
      <w:r>
        <w:rPr/>
        <w:t>Michelle</w:t>
      </w:r>
    </w:p>
    <w:p>
      <w:pPr>
        <w:pStyle w:val="BodyText"/>
        <w:spacing w:line="249" w:lineRule="auto"/>
        <w:ind w:left="107" w:right="16"/>
      </w:pPr>
      <w:r>
        <w:rPr/>
        <w:t>Sanson, a former senior lecturer in law at the University of Technology Sydney and Western Sydney University, who now works for the United Nations, conducted the review. After extensive consultation, the School created and </w:t>
      </w:r>
      <w:r>
        <w:rPr>
          <w:w w:val="98"/>
        </w:rPr>
        <w:t>implemented </w:t>
      </w:r>
      <w:r>
        <w:rPr>
          <w:w w:val="94"/>
        </w:rPr>
        <w:t>a </w:t>
      </w:r>
      <w:r>
        <w:rPr>
          <w:w w:val="97"/>
        </w:rPr>
        <w:t>new </w:t>
      </w:r>
      <w:r>
        <w:rPr>
          <w:w w:val="97"/>
        </w:rPr>
        <w:t>first-year </w:t>
      </w:r>
      <w:r>
        <w:rPr>
          <w:w w:val="98"/>
        </w:rPr>
        <w:t>model </w:t>
      </w:r>
      <w:r>
        <w:rPr>
          <w:w w:val="98"/>
        </w:rPr>
        <w:t>for </w:t>
      </w:r>
      <w:r>
        <w:rPr>
          <w:w w:val="83"/>
        </w:rPr>
        <w:t>2017. </w:t>
      </w:r>
      <w:r>
        <w:rPr/>
        <w:t>Key features include a new fundamentals of law subject, which is directly linked to criminal law. Students must pass both subjects before progressing to legal analysis and critique, which is connected to the law of torts.</w:t>
      </w:r>
    </w:p>
    <w:p>
      <w:pPr>
        <w:spacing w:after="0" w:line="249" w:lineRule="auto"/>
        <w:sectPr>
          <w:type w:val="continuous"/>
          <w:pgSz w:w="11910" w:h="16840"/>
          <w:pgMar w:top="1580" w:bottom="280" w:left="800" w:right="800"/>
          <w:cols w:num="3" w:equalWidth="0">
            <w:col w:w="3320" w:space="119"/>
            <w:col w:w="3317" w:space="122"/>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69"/>
      </w:pPr>
      <w:r>
        <w:rPr/>
        <w:t>Additionally,</w:t>
      </w:r>
      <w:r>
        <w:rPr>
          <w:spacing w:val="-16"/>
        </w:rPr>
        <w:t> </w:t>
      </w:r>
      <w:r>
        <w:rPr/>
        <w:t>85</w:t>
      </w:r>
      <w:r>
        <w:rPr>
          <w:spacing w:val="-16"/>
        </w:rPr>
        <w:t> </w:t>
      </w:r>
      <w:r>
        <w:rPr/>
        <w:t>per</w:t>
      </w:r>
      <w:r>
        <w:rPr>
          <w:spacing w:val="-16"/>
        </w:rPr>
        <w:t> </w:t>
      </w:r>
      <w:r>
        <w:rPr/>
        <w:t>cent</w:t>
      </w:r>
      <w:r>
        <w:rPr>
          <w:spacing w:val="-16"/>
        </w:rPr>
        <w:t> </w:t>
      </w:r>
      <w:r>
        <w:rPr/>
        <w:t>of</w:t>
      </w:r>
      <w:r>
        <w:rPr>
          <w:spacing w:val="-16"/>
        </w:rPr>
        <w:t> </w:t>
      </w:r>
      <w:r>
        <w:rPr/>
        <w:t>law</w:t>
      </w:r>
      <w:r>
        <w:rPr>
          <w:spacing w:val="-16"/>
        </w:rPr>
        <w:t> </w:t>
      </w:r>
      <w:r>
        <w:rPr/>
        <w:t>students</w:t>
      </w:r>
      <w:r>
        <w:rPr>
          <w:spacing w:val="-16"/>
        </w:rPr>
        <w:t> </w:t>
      </w:r>
      <w:r>
        <w:rPr/>
        <w:t>are studying for a combined degree, and the fundamentals</w:t>
      </w:r>
      <w:r>
        <w:rPr>
          <w:spacing w:val="-17"/>
        </w:rPr>
        <w:t> </w:t>
      </w:r>
      <w:r>
        <w:rPr/>
        <w:t>of</w:t>
      </w:r>
      <w:r>
        <w:rPr>
          <w:spacing w:val="-17"/>
        </w:rPr>
        <w:t> </w:t>
      </w:r>
      <w:r>
        <w:rPr/>
        <w:t>law</w:t>
      </w:r>
      <w:r>
        <w:rPr>
          <w:spacing w:val="-17"/>
        </w:rPr>
        <w:t> </w:t>
      </w:r>
      <w:r>
        <w:rPr/>
        <w:t>subject</w:t>
      </w:r>
      <w:r>
        <w:rPr>
          <w:spacing w:val="-17"/>
        </w:rPr>
        <w:t> </w:t>
      </w:r>
      <w:r>
        <w:rPr/>
        <w:t>works</w:t>
      </w:r>
      <w:r>
        <w:rPr>
          <w:spacing w:val="-17"/>
        </w:rPr>
        <w:t> </w:t>
      </w:r>
      <w:r>
        <w:rPr/>
        <w:t>well</w:t>
      </w:r>
      <w:r>
        <w:rPr>
          <w:spacing w:val="-17"/>
        </w:rPr>
        <w:t> </w:t>
      </w:r>
      <w:r>
        <w:rPr/>
        <w:t>with all</w:t>
      </w:r>
      <w:r>
        <w:rPr>
          <w:spacing w:val="-35"/>
        </w:rPr>
        <w:t> </w:t>
      </w:r>
      <w:r>
        <w:rPr/>
        <w:t>curricula.</w:t>
      </w:r>
    </w:p>
    <w:p>
      <w:pPr>
        <w:pStyle w:val="BodyText"/>
        <w:rPr>
          <w:sz w:val="14"/>
        </w:rPr>
      </w:pPr>
    </w:p>
    <w:p>
      <w:pPr>
        <w:pStyle w:val="BodyText"/>
        <w:spacing w:line="249" w:lineRule="auto"/>
        <w:ind w:left="107" w:right="-1"/>
      </w:pPr>
      <w:r>
        <w:rPr/>
        <w:t>The</w:t>
      </w:r>
      <w:r>
        <w:rPr>
          <w:spacing w:val="-19"/>
        </w:rPr>
        <w:t> </w:t>
      </w:r>
      <w:r>
        <w:rPr/>
        <w:t>other</w:t>
      </w:r>
      <w:r>
        <w:rPr>
          <w:spacing w:val="-19"/>
        </w:rPr>
        <w:t> </w:t>
      </w:r>
      <w:r>
        <w:rPr/>
        <w:t>major</w:t>
      </w:r>
      <w:r>
        <w:rPr>
          <w:spacing w:val="-19"/>
        </w:rPr>
        <w:t> </w:t>
      </w:r>
      <w:r>
        <w:rPr/>
        <w:t>innovation</w:t>
      </w:r>
      <w:r>
        <w:rPr>
          <w:spacing w:val="-19"/>
        </w:rPr>
        <w:t> </w:t>
      </w:r>
      <w:r>
        <w:rPr/>
        <w:t>was</w:t>
      </w:r>
      <w:r>
        <w:rPr>
          <w:spacing w:val="-19"/>
        </w:rPr>
        <w:t> </w:t>
      </w:r>
      <w:r>
        <w:rPr/>
        <w:t>to</w:t>
      </w:r>
      <w:r>
        <w:rPr>
          <w:spacing w:val="-19"/>
        </w:rPr>
        <w:t> </w:t>
      </w:r>
      <w:r>
        <w:rPr/>
        <w:t>move</w:t>
      </w:r>
      <w:r>
        <w:rPr>
          <w:spacing w:val="-19"/>
        </w:rPr>
        <w:t> </w:t>
      </w:r>
      <w:r>
        <w:rPr/>
        <w:t>to</w:t>
      </w:r>
      <w:r>
        <w:rPr>
          <w:spacing w:val="-19"/>
        </w:rPr>
        <w:t> </w:t>
      </w:r>
      <w:r>
        <w:rPr/>
        <w:t>the </w:t>
      </w:r>
      <w:r>
        <w:rPr>
          <w:spacing w:val="1"/>
          <w:w w:val="98"/>
        </w:rPr>
        <w:t>‘flipped</w:t>
      </w:r>
      <w:r>
        <w:rPr>
          <w:w w:val="98"/>
        </w:rPr>
        <w:t> </w:t>
      </w:r>
      <w:r>
        <w:rPr>
          <w:spacing w:val="1"/>
          <w:w w:val="97"/>
        </w:rPr>
        <w:t>classroom’</w:t>
      </w:r>
      <w:r>
        <w:rPr>
          <w:w w:val="97"/>
        </w:rPr>
        <w:t> </w:t>
      </w:r>
      <w:r>
        <w:rPr>
          <w:spacing w:val="1"/>
          <w:w w:val="98"/>
        </w:rPr>
        <w:t>model</w:t>
      </w:r>
      <w:r>
        <w:rPr>
          <w:w w:val="98"/>
        </w:rPr>
        <w:t> </w:t>
      </w:r>
      <w:r>
        <w:rPr>
          <w:w w:val="95"/>
        </w:rPr>
        <w:t>in </w:t>
      </w:r>
      <w:r>
        <w:rPr>
          <w:spacing w:val="-2"/>
          <w:w w:val="83"/>
        </w:rPr>
        <w:t>2017.</w:t>
      </w:r>
      <w:r>
        <w:rPr>
          <w:w w:val="83"/>
        </w:rPr>
        <w:t> </w:t>
      </w:r>
      <w:r>
        <w:rPr>
          <w:w w:val="83"/>
        </w:rPr>
        <w:t>It </w:t>
      </w:r>
      <w:r>
        <w:rPr>
          <w:spacing w:val="1"/>
          <w:w w:val="97"/>
        </w:rPr>
        <w:t>replaces</w:t>
      </w:r>
      <w:r>
        <w:rPr>
          <w:w w:val="97"/>
        </w:rPr>
        <w:t> </w:t>
      </w:r>
      <w:r>
        <w:rPr/>
        <w:t>the three-hour face-to-face seminar model with</w:t>
      </w:r>
      <w:r>
        <w:rPr>
          <w:spacing w:val="-15"/>
        </w:rPr>
        <w:t> </w:t>
      </w:r>
      <w:r>
        <w:rPr/>
        <w:t>online</w:t>
      </w:r>
      <w:r>
        <w:rPr>
          <w:spacing w:val="-15"/>
        </w:rPr>
        <w:t> </w:t>
      </w:r>
      <w:r>
        <w:rPr/>
        <w:t>lectures</w:t>
      </w:r>
      <w:r>
        <w:rPr>
          <w:spacing w:val="-15"/>
        </w:rPr>
        <w:t> </w:t>
      </w:r>
      <w:r>
        <w:rPr/>
        <w:t>and</w:t>
      </w:r>
      <w:r>
        <w:rPr>
          <w:spacing w:val="-15"/>
        </w:rPr>
        <w:t> </w:t>
      </w:r>
      <w:r>
        <w:rPr/>
        <w:t>activities,</w:t>
      </w:r>
      <w:r>
        <w:rPr>
          <w:spacing w:val="-15"/>
        </w:rPr>
        <w:t> </w:t>
      </w:r>
      <w:r>
        <w:rPr/>
        <w:t>a</w:t>
      </w:r>
      <w:r>
        <w:rPr>
          <w:spacing w:val="-15"/>
        </w:rPr>
        <w:t> </w:t>
      </w:r>
      <w:r>
        <w:rPr/>
        <w:t>two-hour weekly</w:t>
      </w:r>
      <w:r>
        <w:rPr>
          <w:spacing w:val="-18"/>
        </w:rPr>
        <w:t> </w:t>
      </w:r>
      <w:r>
        <w:rPr/>
        <w:t>tutorial</w:t>
      </w:r>
      <w:r>
        <w:rPr>
          <w:spacing w:val="-18"/>
        </w:rPr>
        <w:t> </w:t>
      </w:r>
      <w:r>
        <w:rPr/>
        <w:t>and</w:t>
      </w:r>
      <w:r>
        <w:rPr>
          <w:spacing w:val="-18"/>
        </w:rPr>
        <w:t> </w:t>
      </w:r>
      <w:r>
        <w:rPr/>
        <w:t>small</w:t>
      </w:r>
      <w:r>
        <w:rPr>
          <w:spacing w:val="-18"/>
        </w:rPr>
        <w:t> </w:t>
      </w:r>
      <w:r>
        <w:rPr/>
        <w:t>class</w:t>
      </w:r>
      <w:r>
        <w:rPr>
          <w:spacing w:val="-18"/>
        </w:rPr>
        <w:t> </w:t>
      </w:r>
      <w:r>
        <w:rPr/>
        <w:t>sizes.</w:t>
      </w:r>
      <w:r>
        <w:rPr>
          <w:spacing w:val="-18"/>
        </w:rPr>
        <w:t> </w:t>
      </w:r>
      <w:r>
        <w:rPr/>
        <w:t>The</w:t>
      </w:r>
      <w:r>
        <w:rPr>
          <w:spacing w:val="-18"/>
        </w:rPr>
        <w:t> </w:t>
      </w:r>
      <w:r>
        <w:rPr/>
        <w:t>new Parramatta City </w:t>
      </w:r>
      <w:r>
        <w:rPr>
          <w:spacing w:val="2"/>
        </w:rPr>
        <w:t>campus, </w:t>
      </w:r>
      <w:r>
        <w:rPr/>
        <w:t>and Campbelltown and Parramatta </w:t>
      </w:r>
      <w:r>
        <w:rPr>
          <w:spacing w:val="2"/>
        </w:rPr>
        <w:t>campuses, </w:t>
      </w:r>
      <w:r>
        <w:rPr/>
        <w:t>all support this teaching</w:t>
      </w:r>
      <w:r>
        <w:rPr>
          <w:spacing w:val="-37"/>
        </w:rPr>
        <w:t> </w:t>
      </w:r>
      <w:r>
        <w:rPr>
          <w:spacing w:val="2"/>
        </w:rPr>
        <w:t>style.</w:t>
      </w:r>
    </w:p>
    <w:p>
      <w:pPr>
        <w:pStyle w:val="BodyText"/>
        <w:rPr>
          <w:sz w:val="14"/>
        </w:rPr>
      </w:pPr>
    </w:p>
    <w:p>
      <w:pPr>
        <w:pStyle w:val="BodyText"/>
        <w:spacing w:line="249" w:lineRule="auto"/>
        <w:ind w:left="107" w:right="379"/>
      </w:pPr>
      <w:r>
        <w:rPr>
          <w:spacing w:val="1"/>
          <w:w w:val="80"/>
        </w:rPr>
        <w:t>In</w:t>
      </w:r>
      <w:r>
        <w:rPr>
          <w:w w:val="80"/>
        </w:rPr>
        <w:t> </w:t>
      </w:r>
      <w:r>
        <w:rPr>
          <w:spacing w:val="1"/>
          <w:w w:val="97"/>
        </w:rPr>
        <w:t>spring</w:t>
      </w:r>
      <w:r>
        <w:rPr>
          <w:w w:val="97"/>
        </w:rPr>
        <w:t> </w:t>
      </w:r>
      <w:r>
        <w:rPr>
          <w:spacing w:val="2"/>
          <w:w w:val="85"/>
        </w:rPr>
        <w:t>2016,</w:t>
      </w:r>
      <w:r>
        <w:rPr>
          <w:w w:val="85"/>
        </w:rPr>
        <w:t> </w:t>
      </w:r>
      <w:r>
        <w:rPr>
          <w:w w:val="97"/>
        </w:rPr>
        <w:t>the </w:t>
      </w:r>
      <w:r>
        <w:rPr>
          <w:spacing w:val="1"/>
          <w:w w:val="98"/>
        </w:rPr>
        <w:t>school</w:t>
      </w:r>
      <w:r>
        <w:rPr>
          <w:w w:val="98"/>
        </w:rPr>
        <w:t> </w:t>
      </w:r>
      <w:r>
        <w:rPr>
          <w:spacing w:val="1"/>
          <w:w w:val="97"/>
        </w:rPr>
        <w:t>launched</w:t>
      </w:r>
      <w:r>
        <w:rPr>
          <w:w w:val="97"/>
        </w:rPr>
        <w:t> </w:t>
      </w:r>
      <w:r>
        <w:rPr>
          <w:w w:val="97"/>
        </w:rPr>
        <w:t>the </w:t>
      </w:r>
      <w:r>
        <w:rPr/>
        <w:t>first</w:t>
      </w:r>
      <w:r>
        <w:rPr>
          <w:spacing w:val="-15"/>
        </w:rPr>
        <w:t> </w:t>
      </w:r>
      <w:r>
        <w:rPr/>
        <w:t>two</w:t>
      </w:r>
      <w:r>
        <w:rPr>
          <w:spacing w:val="-15"/>
        </w:rPr>
        <w:t> </w:t>
      </w:r>
      <w:r>
        <w:rPr/>
        <w:t>units</w:t>
      </w:r>
      <w:r>
        <w:rPr>
          <w:spacing w:val="-15"/>
        </w:rPr>
        <w:t> </w:t>
      </w:r>
      <w:r>
        <w:rPr/>
        <w:t>of</w:t>
      </w:r>
      <w:r>
        <w:rPr>
          <w:spacing w:val="-15"/>
        </w:rPr>
        <w:t> </w:t>
      </w:r>
      <w:r>
        <w:rPr/>
        <w:t>the</w:t>
      </w:r>
      <w:r>
        <w:rPr>
          <w:spacing w:val="-15"/>
        </w:rPr>
        <w:t> </w:t>
      </w:r>
      <w:r>
        <w:rPr/>
        <w:t>new</w:t>
      </w:r>
      <w:r>
        <w:rPr>
          <w:spacing w:val="-15"/>
        </w:rPr>
        <w:t> </w:t>
      </w:r>
      <w:r>
        <w:rPr/>
        <w:t>Master</w:t>
      </w:r>
      <w:r>
        <w:rPr>
          <w:spacing w:val="-15"/>
        </w:rPr>
        <w:t> </w:t>
      </w:r>
      <w:r>
        <w:rPr/>
        <w:t>of</w:t>
      </w:r>
      <w:r>
        <w:rPr>
          <w:spacing w:val="-15"/>
        </w:rPr>
        <w:t> </w:t>
      </w:r>
      <w:r>
        <w:rPr/>
        <w:t>Laws (International Governance). Although the</w:t>
      </w:r>
      <w:r>
        <w:rPr>
          <w:spacing w:val="-17"/>
        </w:rPr>
        <w:t> </w:t>
      </w:r>
      <w:r>
        <w:rPr/>
        <w:t>cohort</w:t>
      </w:r>
      <w:r>
        <w:rPr>
          <w:spacing w:val="-17"/>
        </w:rPr>
        <w:t> </w:t>
      </w:r>
      <w:r>
        <w:rPr/>
        <w:t>was</w:t>
      </w:r>
      <w:r>
        <w:rPr>
          <w:spacing w:val="-17"/>
        </w:rPr>
        <w:t> </w:t>
      </w:r>
      <w:r>
        <w:rPr/>
        <w:t>small,</w:t>
      </w:r>
      <w:r>
        <w:rPr>
          <w:spacing w:val="-17"/>
        </w:rPr>
        <w:t> </w:t>
      </w:r>
      <w:r>
        <w:rPr/>
        <w:t>the</w:t>
      </w:r>
      <w:r>
        <w:rPr>
          <w:spacing w:val="-17"/>
        </w:rPr>
        <w:t> </w:t>
      </w:r>
      <w:r>
        <w:rPr/>
        <w:t>students</w:t>
      </w:r>
      <w:r>
        <w:rPr>
          <w:spacing w:val="-17"/>
        </w:rPr>
        <w:t> </w:t>
      </w:r>
      <w:r>
        <w:rPr/>
        <w:t>were outstanding</w:t>
      </w:r>
      <w:r>
        <w:rPr>
          <w:spacing w:val="-14"/>
        </w:rPr>
        <w:t> </w:t>
      </w:r>
      <w:r>
        <w:rPr/>
        <w:t>and</w:t>
      </w:r>
      <w:r>
        <w:rPr>
          <w:spacing w:val="-14"/>
        </w:rPr>
        <w:t> </w:t>
      </w:r>
      <w:r>
        <w:rPr/>
        <w:t>future</w:t>
      </w:r>
      <w:r>
        <w:rPr>
          <w:spacing w:val="-14"/>
        </w:rPr>
        <w:t> </w:t>
      </w:r>
      <w:r>
        <w:rPr/>
        <w:t>demand</w:t>
      </w:r>
      <w:r>
        <w:rPr>
          <w:spacing w:val="-14"/>
        </w:rPr>
        <w:t> </w:t>
      </w:r>
      <w:r>
        <w:rPr/>
        <w:t>from</w:t>
      </w:r>
    </w:p>
    <w:p>
      <w:pPr>
        <w:pStyle w:val="BodyText"/>
        <w:spacing w:line="249" w:lineRule="auto"/>
        <w:ind w:left="107" w:right="65"/>
      </w:pPr>
      <w:r>
        <w:rPr/>
        <w:t>domestic and international students looks excellent. The additional subjects have provided an opportunity for a new Master of Information Governance with the School of Computing, Engineering and Mathematics, and</w:t>
      </w:r>
      <w:r>
        <w:rPr>
          <w:spacing w:val="-15"/>
        </w:rPr>
        <w:t> </w:t>
      </w:r>
      <w:r>
        <w:rPr/>
        <w:t>the</w:t>
      </w:r>
      <w:r>
        <w:rPr>
          <w:spacing w:val="-15"/>
        </w:rPr>
        <w:t> </w:t>
      </w:r>
      <w:r>
        <w:rPr/>
        <w:t>School</w:t>
      </w:r>
      <w:r>
        <w:rPr>
          <w:spacing w:val="-15"/>
        </w:rPr>
        <w:t> </w:t>
      </w:r>
      <w:r>
        <w:rPr/>
        <w:t>of</w:t>
      </w:r>
      <w:r>
        <w:rPr>
          <w:spacing w:val="-15"/>
        </w:rPr>
        <w:t> </w:t>
      </w:r>
      <w:r>
        <w:rPr/>
        <w:t>Business</w:t>
      </w:r>
      <w:r>
        <w:rPr>
          <w:spacing w:val="-15"/>
        </w:rPr>
        <w:t> </w:t>
      </w:r>
      <w:r>
        <w:rPr/>
        <w:t>(to</w:t>
      </w:r>
      <w:r>
        <w:rPr>
          <w:spacing w:val="-15"/>
        </w:rPr>
        <w:t> </w:t>
      </w:r>
      <w:r>
        <w:rPr/>
        <w:t>be</w:t>
      </w:r>
      <w:r>
        <w:rPr>
          <w:spacing w:val="-15"/>
        </w:rPr>
        <w:t> </w:t>
      </w:r>
      <w:r>
        <w:rPr/>
        <w:t>launched</w:t>
      </w:r>
      <w:r>
        <w:rPr>
          <w:spacing w:val="-15"/>
        </w:rPr>
        <w:t> </w:t>
      </w:r>
      <w:r>
        <w:rPr/>
        <w:t>in </w:t>
      </w:r>
      <w:r>
        <w:rPr>
          <w:spacing w:val="1"/>
          <w:w w:val="100"/>
        </w:rPr>
        <w:t>July</w:t>
      </w:r>
      <w:r>
        <w:rPr>
          <w:spacing w:val="-5"/>
          <w:w w:val="100"/>
        </w:rPr>
        <w:t> </w:t>
      </w:r>
      <w:r>
        <w:rPr>
          <w:spacing w:val="1"/>
          <w:w w:val="85"/>
        </w:rPr>
        <w:t>2017).</w:t>
      </w:r>
    </w:p>
    <w:p>
      <w:pPr>
        <w:pStyle w:val="BodyText"/>
        <w:rPr>
          <w:sz w:val="14"/>
        </w:rPr>
      </w:pPr>
    </w:p>
    <w:p>
      <w:pPr>
        <w:pStyle w:val="BodyText"/>
        <w:spacing w:line="249" w:lineRule="auto"/>
        <w:ind w:left="107" w:right="31"/>
      </w:pPr>
      <w:r>
        <w:rPr/>
        <w:t>Five higher degree research (HDR) students </w:t>
      </w:r>
      <w:r>
        <w:rPr>
          <w:w w:val="98"/>
        </w:rPr>
        <w:t>graduated </w:t>
      </w:r>
      <w:r>
        <w:rPr>
          <w:w w:val="95"/>
        </w:rPr>
        <w:t>in </w:t>
      </w:r>
      <w:r>
        <w:rPr>
          <w:w w:val="97"/>
        </w:rPr>
        <w:t>law </w:t>
      </w:r>
      <w:r>
        <w:rPr>
          <w:w w:val="95"/>
        </w:rPr>
        <w:t>in </w:t>
      </w:r>
      <w:r>
        <w:rPr>
          <w:w w:val="85"/>
        </w:rPr>
        <w:t>2016, </w:t>
      </w:r>
      <w:r>
        <w:rPr>
          <w:w w:val="100"/>
        </w:rPr>
        <w:t>but </w:t>
      </w:r>
      <w:r>
        <w:rPr>
          <w:w w:val="97"/>
        </w:rPr>
        <w:t>new </w:t>
      </w:r>
      <w:r>
        <w:rPr>
          <w:w w:val="97"/>
        </w:rPr>
        <w:t>enrolments </w:t>
      </w:r>
      <w:r>
        <w:rPr/>
        <w:t>have increased the HDR load. The research culture is growing, with more appointments of academics with a PhD and an increase</w:t>
      </w:r>
    </w:p>
    <w:p>
      <w:pPr>
        <w:pStyle w:val="BodyText"/>
        <w:spacing w:line="249" w:lineRule="auto"/>
        <w:ind w:left="107" w:right="29"/>
      </w:pPr>
      <w:r>
        <w:rPr/>
        <w:t>in staff members winning small grants. The quantity and quality of publishing of journal articles</w:t>
      </w:r>
      <w:r>
        <w:rPr>
          <w:spacing w:val="-15"/>
        </w:rPr>
        <w:t> </w:t>
      </w:r>
      <w:r>
        <w:rPr/>
        <w:t>and</w:t>
      </w:r>
      <w:r>
        <w:rPr>
          <w:spacing w:val="-15"/>
        </w:rPr>
        <w:t> </w:t>
      </w:r>
      <w:r>
        <w:rPr/>
        <w:t>books</w:t>
      </w:r>
      <w:r>
        <w:rPr>
          <w:spacing w:val="-15"/>
        </w:rPr>
        <w:t> </w:t>
      </w:r>
      <w:r>
        <w:rPr/>
        <w:t>also</w:t>
      </w:r>
      <w:r>
        <w:rPr>
          <w:spacing w:val="-15"/>
        </w:rPr>
        <w:t> </w:t>
      </w:r>
      <w:r>
        <w:rPr/>
        <w:t>increased.</w:t>
      </w:r>
      <w:r>
        <w:rPr>
          <w:spacing w:val="-15"/>
        </w:rPr>
        <w:t> </w:t>
      </w:r>
      <w:r>
        <w:rPr/>
        <w:t>The</w:t>
      </w:r>
      <w:r>
        <w:rPr>
          <w:spacing w:val="-15"/>
        </w:rPr>
        <w:t> </w:t>
      </w:r>
      <w:r>
        <w:rPr/>
        <w:t>biggest </w:t>
      </w:r>
      <w:r>
        <w:rPr>
          <w:spacing w:val="1"/>
          <w:w w:val="96"/>
        </w:rPr>
        <w:t>project</w:t>
      </w:r>
      <w:r>
        <w:rPr>
          <w:w w:val="96"/>
        </w:rPr>
        <w:t> </w:t>
      </w:r>
      <w:r>
        <w:rPr>
          <w:w w:val="95"/>
        </w:rPr>
        <w:t>in </w:t>
      </w:r>
      <w:r>
        <w:rPr>
          <w:spacing w:val="1"/>
          <w:w w:val="90"/>
        </w:rPr>
        <w:t>2016</w:t>
      </w:r>
      <w:r>
        <w:rPr>
          <w:w w:val="90"/>
        </w:rPr>
        <w:t> </w:t>
      </w:r>
      <w:r>
        <w:rPr>
          <w:w w:val="96"/>
        </w:rPr>
        <w:t>was </w:t>
      </w:r>
      <w:r>
        <w:rPr>
          <w:w w:val="97"/>
        </w:rPr>
        <w:t>the </w:t>
      </w:r>
      <w:r>
        <w:rPr>
          <w:spacing w:val="1"/>
          <w:w w:val="97"/>
        </w:rPr>
        <w:t>establishment</w:t>
      </w:r>
      <w:r>
        <w:rPr>
          <w:w w:val="97"/>
        </w:rPr>
        <w:t> </w:t>
      </w:r>
      <w:r>
        <w:rPr>
          <w:w w:val="99"/>
        </w:rPr>
        <w:t>of </w:t>
      </w:r>
      <w:r>
        <w:rPr>
          <w:w w:val="97"/>
        </w:rPr>
        <w:t>the </w:t>
      </w:r>
      <w:r>
        <w:rPr/>
        <w:t>International Centre for Ocean Governance (ICOG), led by Associate Professor Daud </w:t>
      </w:r>
      <w:r>
        <w:rPr>
          <w:spacing w:val="2"/>
        </w:rPr>
        <w:t>Hassan</w:t>
      </w:r>
      <w:r>
        <w:rPr>
          <w:spacing w:val="-18"/>
        </w:rPr>
        <w:t> </w:t>
      </w:r>
      <w:r>
        <w:rPr/>
        <w:t>as</w:t>
      </w:r>
      <w:r>
        <w:rPr>
          <w:spacing w:val="-18"/>
        </w:rPr>
        <w:t> </w:t>
      </w:r>
      <w:r>
        <w:rPr/>
        <w:t>Director</w:t>
      </w:r>
      <w:r>
        <w:rPr>
          <w:spacing w:val="-18"/>
        </w:rPr>
        <w:t> </w:t>
      </w:r>
      <w:r>
        <w:rPr/>
        <w:t>and</w:t>
      </w:r>
      <w:r>
        <w:rPr>
          <w:spacing w:val="-18"/>
        </w:rPr>
        <w:t> </w:t>
      </w:r>
      <w:r>
        <w:rPr/>
        <w:t>Professor</w:t>
      </w:r>
      <w:r>
        <w:rPr>
          <w:spacing w:val="-18"/>
        </w:rPr>
        <w:t> </w:t>
      </w:r>
      <w:r>
        <w:rPr/>
        <w:t>Donna</w:t>
      </w:r>
      <w:r>
        <w:rPr>
          <w:spacing w:val="-18"/>
        </w:rPr>
        <w:t> </w:t>
      </w:r>
      <w:r>
        <w:rPr/>
        <w:t>Craig as</w:t>
      </w:r>
      <w:r>
        <w:rPr>
          <w:spacing w:val="-19"/>
        </w:rPr>
        <w:t> </w:t>
      </w:r>
      <w:r>
        <w:rPr/>
        <w:t>Deputy</w:t>
      </w:r>
      <w:r>
        <w:rPr>
          <w:spacing w:val="-19"/>
        </w:rPr>
        <w:t> </w:t>
      </w:r>
      <w:r>
        <w:rPr/>
        <w:t>Director.</w:t>
      </w:r>
      <w:r>
        <w:rPr>
          <w:spacing w:val="-19"/>
        </w:rPr>
        <w:t> </w:t>
      </w:r>
      <w:r>
        <w:rPr/>
        <w:t>Over</w:t>
      </w:r>
      <w:r>
        <w:rPr>
          <w:spacing w:val="-19"/>
        </w:rPr>
        <w:t> </w:t>
      </w:r>
      <w:r>
        <w:rPr/>
        <w:t>the</w:t>
      </w:r>
      <w:r>
        <w:rPr>
          <w:spacing w:val="-19"/>
        </w:rPr>
        <w:t> </w:t>
      </w:r>
      <w:r>
        <w:rPr/>
        <w:t>next</w:t>
      </w:r>
      <w:r>
        <w:rPr>
          <w:spacing w:val="-19"/>
        </w:rPr>
        <w:t> </w:t>
      </w:r>
      <w:r>
        <w:rPr/>
        <w:t>three</w:t>
      </w:r>
      <w:r>
        <w:rPr>
          <w:spacing w:val="-19"/>
        </w:rPr>
        <w:t> </w:t>
      </w:r>
      <w:r>
        <w:rPr/>
        <w:t>years, ICOG will train </w:t>
      </w:r>
      <w:r>
        <w:rPr>
          <w:spacing w:val="2"/>
        </w:rPr>
        <w:t>400 </w:t>
      </w:r>
      <w:r>
        <w:rPr/>
        <w:t>Bangladeshi judges, as well as Master of Laws and PhD students, in environmental</w:t>
      </w:r>
      <w:r>
        <w:rPr>
          <w:spacing w:val="-23"/>
        </w:rPr>
        <w:t> </w:t>
      </w:r>
      <w:r>
        <w:rPr/>
        <w:t>law</w:t>
      </w:r>
      <w:r>
        <w:rPr>
          <w:spacing w:val="-23"/>
        </w:rPr>
        <w:t> </w:t>
      </w:r>
      <w:r>
        <w:rPr/>
        <w:t>relating</w:t>
      </w:r>
      <w:r>
        <w:rPr>
          <w:spacing w:val="-23"/>
        </w:rPr>
        <w:t> </w:t>
      </w:r>
      <w:r>
        <w:rPr/>
        <w:t>to</w:t>
      </w:r>
      <w:r>
        <w:rPr>
          <w:spacing w:val="-23"/>
        </w:rPr>
        <w:t> </w:t>
      </w:r>
      <w:r>
        <w:rPr/>
        <w:t>the</w:t>
      </w:r>
      <w:r>
        <w:rPr>
          <w:spacing w:val="-23"/>
        </w:rPr>
        <w:t> </w:t>
      </w:r>
      <w:r>
        <w:rPr/>
        <w:t>seas.</w:t>
      </w:r>
    </w:p>
    <w:p>
      <w:pPr>
        <w:pStyle w:val="BodyText"/>
        <w:rPr>
          <w:sz w:val="14"/>
        </w:rPr>
      </w:pPr>
    </w:p>
    <w:p>
      <w:pPr>
        <w:pStyle w:val="BodyText"/>
        <w:spacing w:line="249" w:lineRule="auto"/>
        <w:ind w:left="107" w:right="310"/>
      </w:pPr>
      <w:r>
        <w:rPr/>
        <w:t>The Parramatta Community Justice Clinic (PCJC) goes from strength to strength. In partnership with the Western Sydney Community Legal Centre (formerly the</w:t>
      </w:r>
    </w:p>
    <w:p>
      <w:pPr>
        <w:pStyle w:val="BodyText"/>
        <w:spacing w:line="249" w:lineRule="auto"/>
        <w:ind w:left="107" w:right="-2"/>
      </w:pPr>
      <w:r>
        <w:rPr/>
        <w:t>Macquarie</w:t>
      </w:r>
      <w:r>
        <w:rPr>
          <w:spacing w:val="-20"/>
        </w:rPr>
        <w:t> </w:t>
      </w:r>
      <w:r>
        <w:rPr/>
        <w:t>Legal</w:t>
      </w:r>
      <w:r>
        <w:rPr>
          <w:spacing w:val="-20"/>
        </w:rPr>
        <w:t> </w:t>
      </w:r>
      <w:r>
        <w:rPr/>
        <w:t>Centre),</w:t>
      </w:r>
      <w:r>
        <w:rPr>
          <w:spacing w:val="-20"/>
        </w:rPr>
        <w:t> </w:t>
      </w:r>
      <w:r>
        <w:rPr/>
        <w:t>it</w:t>
      </w:r>
      <w:r>
        <w:rPr>
          <w:spacing w:val="-20"/>
        </w:rPr>
        <w:t> </w:t>
      </w:r>
      <w:r>
        <w:rPr/>
        <w:t>provided</w:t>
      </w:r>
      <w:r>
        <w:rPr>
          <w:spacing w:val="-20"/>
        </w:rPr>
        <w:t> </w:t>
      </w:r>
      <w:r>
        <w:rPr>
          <w:spacing w:val="2"/>
        </w:rPr>
        <w:t>148</w:t>
      </w:r>
      <w:r>
        <w:rPr>
          <w:spacing w:val="-20"/>
        </w:rPr>
        <w:t> </w:t>
      </w:r>
      <w:r>
        <w:rPr/>
        <w:t>law students</w:t>
      </w:r>
      <w:r>
        <w:rPr>
          <w:spacing w:val="-21"/>
        </w:rPr>
        <w:t> </w:t>
      </w:r>
      <w:r>
        <w:rPr/>
        <w:t>with</w:t>
      </w:r>
      <w:r>
        <w:rPr>
          <w:spacing w:val="-21"/>
        </w:rPr>
        <w:t> </w:t>
      </w:r>
      <w:r>
        <w:rPr/>
        <w:t>real-life</w:t>
      </w:r>
      <w:r>
        <w:rPr>
          <w:spacing w:val="-21"/>
        </w:rPr>
        <w:t> </w:t>
      </w:r>
      <w:r>
        <w:rPr/>
        <w:t>work</w:t>
      </w:r>
      <w:r>
        <w:rPr>
          <w:spacing w:val="-21"/>
        </w:rPr>
        <w:t> </w:t>
      </w:r>
      <w:r>
        <w:rPr/>
        <w:t>experience.</w:t>
      </w:r>
      <w:r>
        <w:rPr>
          <w:spacing w:val="-21"/>
        </w:rPr>
        <w:t> </w:t>
      </w:r>
      <w:r>
        <w:rPr/>
        <w:t>In</w:t>
      </w:r>
      <w:r>
        <w:rPr>
          <w:spacing w:val="-21"/>
        </w:rPr>
        <w:t> </w:t>
      </w:r>
      <w:r>
        <w:rPr/>
        <w:t>the process, the community received free legal advice</w:t>
      </w:r>
      <w:r>
        <w:rPr>
          <w:spacing w:val="-13"/>
        </w:rPr>
        <w:t> </w:t>
      </w:r>
      <w:r>
        <w:rPr/>
        <w:t>worth</w:t>
      </w:r>
      <w:r>
        <w:rPr>
          <w:spacing w:val="-13"/>
        </w:rPr>
        <w:t> </w:t>
      </w:r>
      <w:r>
        <w:rPr/>
        <w:t>more</w:t>
      </w:r>
      <w:r>
        <w:rPr>
          <w:spacing w:val="-13"/>
        </w:rPr>
        <w:t> </w:t>
      </w:r>
      <w:r>
        <w:rPr/>
        <w:t>than</w:t>
      </w:r>
      <w:r>
        <w:rPr>
          <w:spacing w:val="-13"/>
        </w:rPr>
        <w:t> </w:t>
      </w:r>
      <w:r>
        <w:rPr>
          <w:spacing w:val="2"/>
        </w:rPr>
        <w:t>$250,000.</w:t>
      </w:r>
      <w:r>
        <w:rPr>
          <w:spacing w:val="-13"/>
        </w:rPr>
        <w:t> </w:t>
      </w:r>
      <w:r>
        <w:rPr/>
        <w:t>The</w:t>
      </w:r>
      <w:r>
        <w:rPr>
          <w:spacing w:val="-13"/>
        </w:rPr>
        <w:t> </w:t>
      </w:r>
      <w:r>
        <w:rPr>
          <w:spacing w:val="3"/>
        </w:rPr>
        <w:t>PCJC </w:t>
      </w:r>
      <w:r>
        <w:rPr/>
        <w:t>also</w:t>
      </w:r>
      <w:r>
        <w:rPr>
          <w:spacing w:val="-13"/>
        </w:rPr>
        <w:t> </w:t>
      </w:r>
      <w:r>
        <w:rPr/>
        <w:t>provides</w:t>
      </w:r>
      <w:r>
        <w:rPr>
          <w:spacing w:val="-13"/>
        </w:rPr>
        <w:t> </w:t>
      </w:r>
      <w:r>
        <w:rPr/>
        <w:t>a</w:t>
      </w:r>
      <w:r>
        <w:rPr>
          <w:spacing w:val="-13"/>
        </w:rPr>
        <w:t> </w:t>
      </w:r>
      <w:r>
        <w:rPr/>
        <w:t>free</w:t>
      </w:r>
      <w:r>
        <w:rPr>
          <w:spacing w:val="-13"/>
        </w:rPr>
        <w:t> </w:t>
      </w:r>
      <w:r>
        <w:rPr/>
        <w:t>legal</w:t>
      </w:r>
      <w:r>
        <w:rPr>
          <w:spacing w:val="-13"/>
        </w:rPr>
        <w:t> </w:t>
      </w:r>
      <w:r>
        <w:rPr/>
        <w:t>service</w:t>
      </w:r>
      <w:r>
        <w:rPr>
          <w:spacing w:val="-13"/>
        </w:rPr>
        <w:t> </w:t>
      </w:r>
      <w:r>
        <w:rPr/>
        <w:t>to</w:t>
      </w:r>
      <w:r>
        <w:rPr>
          <w:spacing w:val="-13"/>
        </w:rPr>
        <w:t> </w:t>
      </w:r>
      <w:r>
        <w:rPr/>
        <w:t>all</w:t>
      </w:r>
      <w:r>
        <w:rPr>
          <w:spacing w:val="-13"/>
        </w:rPr>
        <w:t> </w:t>
      </w:r>
      <w:r>
        <w:rPr>
          <w:spacing w:val="2"/>
        </w:rPr>
        <w:t>45,000 </w:t>
      </w:r>
      <w:r>
        <w:rPr/>
        <w:t>Western</w:t>
      </w:r>
      <w:r>
        <w:rPr>
          <w:spacing w:val="-21"/>
        </w:rPr>
        <w:t> </w:t>
      </w:r>
      <w:r>
        <w:rPr/>
        <w:t>Sydney</w:t>
      </w:r>
      <w:r>
        <w:rPr>
          <w:spacing w:val="-21"/>
        </w:rPr>
        <w:t> </w:t>
      </w:r>
      <w:r>
        <w:rPr/>
        <w:t>University</w:t>
      </w:r>
      <w:r>
        <w:rPr>
          <w:spacing w:val="-21"/>
        </w:rPr>
        <w:t> </w:t>
      </w:r>
      <w:r>
        <w:rPr/>
        <w:t>students.</w:t>
      </w:r>
    </w:p>
    <w:p>
      <w:pPr>
        <w:pStyle w:val="BodyText"/>
        <w:spacing w:before="1"/>
        <w:rPr>
          <w:sz w:val="20"/>
        </w:rPr>
      </w:pPr>
      <w:r>
        <w:rPr/>
        <w:br w:type="column"/>
      </w:r>
      <w:r>
        <w:rPr>
          <w:sz w:val="20"/>
        </w:rPr>
      </w:r>
    </w:p>
    <w:p>
      <w:pPr>
        <w:pStyle w:val="BodyText"/>
        <w:spacing w:line="249" w:lineRule="auto"/>
        <w:ind w:left="107" w:right="-3"/>
      </w:pPr>
      <w:r>
        <w:rPr/>
        <w:t>School</w:t>
      </w:r>
      <w:r>
        <w:rPr>
          <w:spacing w:val="-12"/>
        </w:rPr>
        <w:t> </w:t>
      </w:r>
      <w:r>
        <w:rPr/>
        <w:t>of</w:t>
      </w:r>
      <w:r>
        <w:rPr>
          <w:spacing w:val="-12"/>
        </w:rPr>
        <w:t> </w:t>
      </w:r>
      <w:r>
        <w:rPr/>
        <w:t>Law</w:t>
      </w:r>
      <w:r>
        <w:rPr>
          <w:spacing w:val="-12"/>
        </w:rPr>
        <w:t> </w:t>
      </w:r>
      <w:r>
        <w:rPr/>
        <w:t>experts</w:t>
      </w:r>
      <w:r>
        <w:rPr>
          <w:spacing w:val="-12"/>
        </w:rPr>
        <w:t> </w:t>
      </w:r>
      <w:r>
        <w:rPr/>
        <w:t>provided</w:t>
      </w:r>
      <w:r>
        <w:rPr>
          <w:spacing w:val="-12"/>
        </w:rPr>
        <w:t> </w:t>
      </w:r>
      <w:r>
        <w:rPr/>
        <w:t>several</w:t>
      </w:r>
      <w:r>
        <w:rPr>
          <w:spacing w:val="-12"/>
        </w:rPr>
        <w:t> </w:t>
      </w:r>
      <w:r>
        <w:rPr/>
        <w:t>media commentaries,</w:t>
      </w:r>
      <w:r>
        <w:rPr>
          <w:spacing w:val="-15"/>
        </w:rPr>
        <w:t> </w:t>
      </w:r>
      <w:r>
        <w:rPr/>
        <w:t>including</w:t>
      </w:r>
      <w:r>
        <w:rPr>
          <w:spacing w:val="-15"/>
        </w:rPr>
        <w:t> </w:t>
      </w:r>
      <w:r>
        <w:rPr/>
        <w:t>Adjunct</w:t>
      </w:r>
      <w:r>
        <w:rPr>
          <w:spacing w:val="-15"/>
        </w:rPr>
        <w:t> </w:t>
      </w:r>
      <w:r>
        <w:rPr/>
        <w:t>Fellow</w:t>
      </w:r>
    </w:p>
    <w:p>
      <w:pPr>
        <w:pStyle w:val="BodyText"/>
        <w:spacing w:line="249" w:lineRule="auto"/>
        <w:ind w:left="107" w:right="41"/>
      </w:pPr>
      <w:r>
        <w:rPr/>
        <w:t>Sue</w:t>
      </w:r>
      <w:r>
        <w:rPr>
          <w:spacing w:val="-17"/>
        </w:rPr>
        <w:t> </w:t>
      </w:r>
      <w:r>
        <w:rPr/>
        <w:t>Field,</w:t>
      </w:r>
      <w:r>
        <w:rPr>
          <w:spacing w:val="-17"/>
        </w:rPr>
        <w:t> </w:t>
      </w:r>
      <w:r>
        <w:rPr/>
        <w:t>who</w:t>
      </w:r>
      <w:r>
        <w:rPr>
          <w:spacing w:val="-17"/>
        </w:rPr>
        <w:t> </w:t>
      </w:r>
      <w:r>
        <w:rPr/>
        <w:t>covered</w:t>
      </w:r>
      <w:r>
        <w:rPr>
          <w:spacing w:val="-17"/>
        </w:rPr>
        <w:t> </w:t>
      </w:r>
      <w:r>
        <w:rPr/>
        <w:t>Elder</w:t>
      </w:r>
      <w:r>
        <w:rPr>
          <w:spacing w:val="-17"/>
        </w:rPr>
        <w:t> </w:t>
      </w:r>
      <w:r>
        <w:rPr/>
        <w:t>law</w:t>
      </w:r>
      <w:r>
        <w:rPr>
          <w:spacing w:val="-17"/>
        </w:rPr>
        <w:t> </w:t>
      </w:r>
      <w:r>
        <w:rPr/>
        <w:t>issues,</w:t>
      </w:r>
      <w:r>
        <w:rPr>
          <w:spacing w:val="-17"/>
        </w:rPr>
        <w:t> </w:t>
      </w:r>
      <w:r>
        <w:rPr/>
        <w:t>and Professor Steven Freeland, who discussed space</w:t>
      </w:r>
      <w:r>
        <w:rPr>
          <w:spacing w:val="-19"/>
        </w:rPr>
        <w:t> </w:t>
      </w:r>
      <w:r>
        <w:rPr/>
        <w:t>law</w:t>
      </w:r>
      <w:r>
        <w:rPr>
          <w:spacing w:val="-19"/>
        </w:rPr>
        <w:t> </w:t>
      </w:r>
      <w:r>
        <w:rPr/>
        <w:t>and</w:t>
      </w:r>
      <w:r>
        <w:rPr>
          <w:spacing w:val="-19"/>
        </w:rPr>
        <w:t> </w:t>
      </w:r>
      <w:r>
        <w:rPr/>
        <w:t>human</w:t>
      </w:r>
      <w:r>
        <w:rPr>
          <w:spacing w:val="-19"/>
        </w:rPr>
        <w:t> </w:t>
      </w:r>
      <w:r>
        <w:rPr/>
        <w:t>rights</w:t>
      </w:r>
      <w:r>
        <w:rPr>
          <w:spacing w:val="-19"/>
        </w:rPr>
        <w:t> </w:t>
      </w:r>
      <w:r>
        <w:rPr/>
        <w:t>matters.</w:t>
      </w:r>
      <w:r>
        <w:rPr>
          <w:spacing w:val="-19"/>
        </w:rPr>
        <w:t> </w:t>
      </w:r>
      <w:r>
        <w:rPr/>
        <w:t>Several law</w:t>
      </w:r>
      <w:r>
        <w:rPr>
          <w:spacing w:val="-16"/>
        </w:rPr>
        <w:t> </w:t>
      </w:r>
      <w:r>
        <w:rPr/>
        <w:t>academics</w:t>
      </w:r>
      <w:r>
        <w:rPr>
          <w:spacing w:val="-16"/>
        </w:rPr>
        <w:t> </w:t>
      </w:r>
      <w:r>
        <w:rPr/>
        <w:t>published</w:t>
      </w:r>
      <w:r>
        <w:rPr>
          <w:spacing w:val="-16"/>
        </w:rPr>
        <w:t> </w:t>
      </w:r>
      <w:r>
        <w:rPr/>
        <w:t>in</w:t>
      </w:r>
      <w:r>
        <w:rPr>
          <w:spacing w:val="-16"/>
        </w:rPr>
        <w:t> </w:t>
      </w:r>
      <w:r>
        <w:rPr/>
        <w:t>The</w:t>
      </w:r>
      <w:r>
        <w:rPr>
          <w:spacing w:val="-16"/>
        </w:rPr>
        <w:t> </w:t>
      </w:r>
      <w:r>
        <w:rPr/>
        <w:t>Conversation and Dr Luke Beck provided expert evidence in</w:t>
      </w:r>
      <w:r>
        <w:rPr>
          <w:spacing w:val="-21"/>
        </w:rPr>
        <w:t> </w:t>
      </w:r>
      <w:r>
        <w:rPr/>
        <w:t>government</w:t>
      </w:r>
      <w:r>
        <w:rPr>
          <w:spacing w:val="-21"/>
        </w:rPr>
        <w:t> </w:t>
      </w:r>
      <w:r>
        <w:rPr/>
        <w:t>inquiries.</w:t>
      </w:r>
      <w:r>
        <w:rPr>
          <w:spacing w:val="-21"/>
        </w:rPr>
        <w:t> </w:t>
      </w:r>
      <w:r>
        <w:rPr>
          <w:spacing w:val="-3"/>
        </w:rPr>
        <w:t>Ten</w:t>
      </w:r>
      <w:r>
        <w:rPr>
          <w:spacing w:val="-21"/>
        </w:rPr>
        <w:t> </w:t>
      </w:r>
      <w:r>
        <w:rPr/>
        <w:t>members</w:t>
      </w:r>
      <w:r>
        <w:rPr>
          <w:spacing w:val="-21"/>
        </w:rPr>
        <w:t> </w:t>
      </w:r>
      <w:r>
        <w:rPr/>
        <w:t>of</w:t>
      </w:r>
    </w:p>
    <w:p>
      <w:pPr>
        <w:pStyle w:val="BodyText"/>
        <w:spacing w:line="249" w:lineRule="auto"/>
        <w:ind w:left="107" w:right="41"/>
      </w:pPr>
      <w:r>
        <w:rPr/>
        <w:t>the law school sit on major committees of the legal profession, including the NSW Bar Association, The Law Society of NSW, the Australian Academy of Law and the Law Council of Australia. The Kirby Cup mooting competition for local high schools was once </w:t>
      </w:r>
      <w:r>
        <w:rPr>
          <w:w w:val="96"/>
        </w:rPr>
        <w:t>again </w:t>
      </w:r>
      <w:r>
        <w:rPr>
          <w:w w:val="94"/>
        </w:rPr>
        <w:t>a </w:t>
      </w:r>
      <w:r>
        <w:rPr>
          <w:w w:val="98"/>
        </w:rPr>
        <w:t>great </w:t>
      </w:r>
      <w:r>
        <w:rPr>
          <w:w w:val="93"/>
        </w:rPr>
        <w:t>success, </w:t>
      </w:r>
      <w:r>
        <w:rPr>
          <w:w w:val="94"/>
        </w:rPr>
        <w:t>as </w:t>
      </w:r>
      <w:r>
        <w:rPr>
          <w:w w:val="96"/>
        </w:rPr>
        <w:t>was </w:t>
      </w:r>
      <w:r>
        <w:rPr>
          <w:w w:val="97"/>
        </w:rPr>
        <w:t>the </w:t>
      </w:r>
      <w:r>
        <w:rPr>
          <w:w w:val="97"/>
        </w:rPr>
        <w:t>year </w:t>
      </w:r>
      <w:r>
        <w:rPr>
          <w:w w:val="82"/>
        </w:rPr>
        <w:t>10 </w:t>
      </w:r>
      <w:r>
        <w:rPr/>
        <w:t>debating competition for NSW metropolitan schools.</w:t>
      </w:r>
    </w:p>
    <w:p>
      <w:pPr>
        <w:pStyle w:val="BodyText"/>
        <w:rPr>
          <w:sz w:val="14"/>
        </w:rPr>
      </w:pPr>
    </w:p>
    <w:p>
      <w:pPr>
        <w:pStyle w:val="BodyText"/>
        <w:spacing w:line="249" w:lineRule="auto"/>
        <w:ind w:left="107" w:right="81"/>
      </w:pPr>
      <w:r>
        <w:rPr/>
        <w:t>Once again, governance of the School of Law was overseen by an external advisory committee,</w:t>
      </w:r>
      <w:r>
        <w:rPr>
          <w:spacing w:val="-10"/>
        </w:rPr>
        <w:t> </w:t>
      </w:r>
      <w:r>
        <w:rPr/>
        <w:t>the</w:t>
      </w:r>
      <w:r>
        <w:rPr>
          <w:spacing w:val="-10"/>
        </w:rPr>
        <w:t> </w:t>
      </w:r>
      <w:r>
        <w:rPr/>
        <w:t>School</w:t>
      </w:r>
      <w:r>
        <w:rPr>
          <w:spacing w:val="-10"/>
        </w:rPr>
        <w:t> </w:t>
      </w:r>
      <w:r>
        <w:rPr/>
        <w:t>Academic</w:t>
      </w:r>
      <w:r>
        <w:rPr>
          <w:spacing w:val="-10"/>
        </w:rPr>
        <w:t> </w:t>
      </w:r>
      <w:r>
        <w:rPr/>
        <w:t>Committee and various subcommittees of learning and teaching,</w:t>
      </w:r>
      <w:r>
        <w:rPr>
          <w:spacing w:val="-21"/>
        </w:rPr>
        <w:t> </w:t>
      </w:r>
      <w:r>
        <w:rPr/>
        <w:t>research</w:t>
      </w:r>
      <w:r>
        <w:rPr>
          <w:spacing w:val="-21"/>
        </w:rPr>
        <w:t> </w:t>
      </w:r>
      <w:r>
        <w:rPr/>
        <w:t>and</w:t>
      </w:r>
      <w:r>
        <w:rPr>
          <w:spacing w:val="-21"/>
        </w:rPr>
        <w:t> </w:t>
      </w:r>
      <w:r>
        <w:rPr>
          <w:spacing w:val="3"/>
        </w:rPr>
        <w:t>HDR,</w:t>
      </w:r>
      <w:r>
        <w:rPr>
          <w:spacing w:val="-21"/>
        </w:rPr>
        <w:t> </w:t>
      </w:r>
      <w:r>
        <w:rPr/>
        <w:t>and</w:t>
      </w:r>
      <w:r>
        <w:rPr>
          <w:spacing w:val="-21"/>
        </w:rPr>
        <w:t> </w:t>
      </w:r>
      <w:r>
        <w:rPr/>
        <w:t>community engagement.</w:t>
      </w:r>
      <w:r>
        <w:rPr>
          <w:spacing w:val="-18"/>
        </w:rPr>
        <w:t> </w:t>
      </w:r>
      <w:r>
        <w:rPr/>
        <w:t>The</w:t>
      </w:r>
      <w:r>
        <w:rPr>
          <w:spacing w:val="-18"/>
        </w:rPr>
        <w:t> </w:t>
      </w:r>
      <w:r>
        <w:rPr/>
        <w:t>School</w:t>
      </w:r>
      <w:r>
        <w:rPr>
          <w:spacing w:val="-18"/>
        </w:rPr>
        <w:t> </w:t>
      </w:r>
      <w:r>
        <w:rPr/>
        <w:t>has</w:t>
      </w:r>
      <w:r>
        <w:rPr>
          <w:spacing w:val="-18"/>
        </w:rPr>
        <w:t> </w:t>
      </w:r>
      <w:r>
        <w:rPr/>
        <w:t>focused</w:t>
      </w:r>
      <w:r>
        <w:rPr>
          <w:spacing w:val="-18"/>
        </w:rPr>
        <w:t> </w:t>
      </w:r>
      <w:r>
        <w:rPr/>
        <w:t>on</w:t>
      </w:r>
    </w:p>
    <w:p>
      <w:pPr>
        <w:pStyle w:val="BodyText"/>
        <w:spacing w:line="249" w:lineRule="auto"/>
        <w:ind w:left="107" w:right="3"/>
      </w:pPr>
      <w:r>
        <w:rPr/>
        <w:t>internationalisation, including</w:t>
      </w:r>
      <w:r>
        <w:rPr>
          <w:spacing w:val="-40"/>
        </w:rPr>
        <w:t> </w:t>
      </w:r>
      <w:r>
        <w:rPr/>
        <w:t>Vice-Chancellor Barney Glover’s appointment of Dr June Wang as Associate Dean (International) for the School of Law. This led to trips to China, </w:t>
      </w:r>
      <w:r>
        <w:rPr>
          <w:spacing w:val="1"/>
          <w:w w:val="98"/>
        </w:rPr>
        <w:t>Hong</w:t>
      </w:r>
      <w:r>
        <w:rPr>
          <w:w w:val="98"/>
        </w:rPr>
        <w:t> </w:t>
      </w:r>
      <w:r>
        <w:rPr>
          <w:spacing w:val="1"/>
          <w:w w:val="94"/>
        </w:rPr>
        <w:t>Kong,</w:t>
      </w:r>
      <w:r>
        <w:rPr>
          <w:w w:val="94"/>
        </w:rPr>
        <w:t> </w:t>
      </w:r>
      <w:r>
        <w:rPr>
          <w:spacing w:val="-2"/>
          <w:w w:val="95"/>
        </w:rPr>
        <w:t>Taiwan</w:t>
      </w:r>
      <w:r>
        <w:rPr>
          <w:w w:val="95"/>
        </w:rPr>
        <w:t> </w:t>
      </w:r>
      <w:r>
        <w:rPr>
          <w:spacing w:val="1"/>
          <w:w w:val="97"/>
        </w:rPr>
        <w:t>and</w:t>
      </w:r>
      <w:r>
        <w:rPr>
          <w:w w:val="97"/>
        </w:rPr>
        <w:t> </w:t>
      </w:r>
      <w:r>
        <w:rPr>
          <w:spacing w:val="1"/>
          <w:w w:val="90"/>
        </w:rPr>
        <w:t>India</w:t>
      </w:r>
      <w:r>
        <w:rPr>
          <w:w w:val="90"/>
        </w:rPr>
        <w:t> </w:t>
      </w:r>
      <w:r>
        <w:rPr>
          <w:w w:val="95"/>
        </w:rPr>
        <w:t>in </w:t>
      </w:r>
      <w:r>
        <w:rPr>
          <w:spacing w:val="2"/>
          <w:w w:val="85"/>
        </w:rPr>
        <w:t>2016.</w:t>
      </w:r>
      <w:r>
        <w:rPr>
          <w:w w:val="85"/>
        </w:rPr>
        <w:t> </w:t>
      </w:r>
      <w:r>
        <w:rPr>
          <w:spacing w:val="2"/>
          <w:w w:val="97"/>
        </w:rPr>
        <w:t>Thirty</w:t>
      </w:r>
      <w:r>
        <w:rPr>
          <w:w w:val="97"/>
        </w:rPr>
        <w:t> </w:t>
      </w:r>
      <w:r>
        <w:rPr/>
        <w:t>students from China University of Political Science and Law studied at the Parramatta campus and 25 local students studied at Shanghai University under the Australian Government’s</w:t>
      </w:r>
      <w:r>
        <w:rPr>
          <w:spacing w:val="-15"/>
        </w:rPr>
        <w:t> </w:t>
      </w:r>
      <w:r>
        <w:rPr/>
        <w:t>New</w:t>
      </w:r>
      <w:r>
        <w:rPr>
          <w:spacing w:val="-15"/>
        </w:rPr>
        <w:t> </w:t>
      </w:r>
      <w:r>
        <w:rPr/>
        <w:t>Colombo</w:t>
      </w:r>
      <w:r>
        <w:rPr>
          <w:spacing w:val="-15"/>
        </w:rPr>
        <w:t> </w:t>
      </w:r>
      <w:r>
        <w:rPr/>
        <w:t>Plan.</w:t>
      </w:r>
    </w:p>
    <w:p>
      <w:pPr>
        <w:pStyle w:val="BodyText"/>
        <w:rPr>
          <w:sz w:val="14"/>
        </w:rPr>
      </w:pPr>
    </w:p>
    <w:p>
      <w:pPr>
        <w:pStyle w:val="BodyText"/>
        <w:spacing w:line="249" w:lineRule="auto"/>
        <w:ind w:left="107" w:right="550"/>
        <w:jc w:val="both"/>
      </w:pPr>
      <w:r>
        <w:rPr>
          <w:w w:val="94"/>
        </w:rPr>
        <w:t>Finally, </w:t>
      </w:r>
      <w:r>
        <w:rPr>
          <w:w w:val="95"/>
        </w:rPr>
        <w:t>in </w:t>
      </w:r>
      <w:r>
        <w:rPr>
          <w:spacing w:val="2"/>
          <w:w w:val="85"/>
        </w:rPr>
        <w:t>2016,</w:t>
      </w:r>
      <w:r>
        <w:rPr>
          <w:w w:val="85"/>
        </w:rPr>
        <w:t> </w:t>
      </w:r>
      <w:r>
        <w:rPr>
          <w:w w:val="97"/>
        </w:rPr>
        <w:t>the </w:t>
      </w:r>
      <w:r>
        <w:rPr>
          <w:spacing w:val="1"/>
          <w:w w:val="98"/>
        </w:rPr>
        <w:t>School</w:t>
      </w:r>
      <w:r>
        <w:rPr>
          <w:w w:val="98"/>
        </w:rPr>
        <w:t> </w:t>
      </w:r>
      <w:r>
        <w:rPr>
          <w:spacing w:val="1"/>
          <w:w w:val="97"/>
        </w:rPr>
        <w:t>signed</w:t>
      </w:r>
      <w:r>
        <w:rPr>
          <w:spacing w:val="-32"/>
          <w:w w:val="97"/>
        </w:rPr>
        <w:t> </w:t>
      </w:r>
      <w:r>
        <w:rPr>
          <w:w w:val="97"/>
        </w:rPr>
        <w:t>new </w:t>
      </w:r>
      <w:r>
        <w:rPr/>
        <w:t>partnerships</w:t>
      </w:r>
      <w:r>
        <w:rPr>
          <w:spacing w:val="-22"/>
        </w:rPr>
        <w:t> </w:t>
      </w:r>
      <w:r>
        <w:rPr/>
        <w:t>with</w:t>
      </w:r>
      <w:r>
        <w:rPr>
          <w:spacing w:val="-22"/>
        </w:rPr>
        <w:t> </w:t>
      </w:r>
      <w:r>
        <w:rPr/>
        <w:t>Indian,</w:t>
      </w:r>
      <w:r>
        <w:rPr>
          <w:spacing w:val="-22"/>
        </w:rPr>
        <w:t> </w:t>
      </w:r>
      <w:r>
        <w:rPr/>
        <w:t>Chinese</w:t>
      </w:r>
      <w:r>
        <w:rPr>
          <w:spacing w:val="-22"/>
        </w:rPr>
        <w:t> </w:t>
      </w:r>
      <w:r>
        <w:rPr/>
        <w:t>and </w:t>
      </w:r>
      <w:r>
        <w:rPr>
          <w:w w:val="95"/>
        </w:rPr>
        <w:t>Bangladeshi</w:t>
      </w:r>
      <w:r>
        <w:rPr>
          <w:spacing w:val="45"/>
          <w:w w:val="95"/>
        </w:rPr>
        <w:t> </w:t>
      </w:r>
      <w:r>
        <w:rPr>
          <w:w w:val="95"/>
        </w:rPr>
        <w:t>universities.</w:t>
      </w:r>
    </w:p>
    <w:p>
      <w:pPr>
        <w:pStyle w:val="BodyText"/>
        <w:spacing w:before="7"/>
        <w:rPr>
          <w:sz w:val="19"/>
        </w:rPr>
      </w:pPr>
      <w:r>
        <w:rPr/>
        <w:br w:type="column"/>
      </w:r>
      <w:r>
        <w:rPr>
          <w:sz w:val="19"/>
        </w:rPr>
      </w:r>
    </w:p>
    <w:p>
      <w:pPr>
        <w:pStyle w:val="Heading5"/>
        <w:ind w:right="460"/>
      </w:pPr>
      <w:bookmarkStart w:name="_TOC_250037" w:id="17"/>
      <w:bookmarkEnd w:id="17"/>
      <w:r>
        <w:rPr>
          <w:w w:val="95"/>
        </w:rPr>
        <w:t>SCHOOL OF MEDICINE</w:t>
      </w:r>
    </w:p>
    <w:p>
      <w:pPr>
        <w:pStyle w:val="BodyText"/>
        <w:spacing w:line="249" w:lineRule="auto" w:before="95"/>
        <w:ind w:left="107" w:right="-1"/>
      </w:pPr>
      <w:r>
        <w:rPr>
          <w:w w:val="107"/>
        </w:rPr>
        <w:t>At </w:t>
      </w:r>
      <w:r>
        <w:rPr>
          <w:w w:val="97"/>
        </w:rPr>
        <w:t>the </w:t>
      </w:r>
      <w:r>
        <w:rPr>
          <w:w w:val="97"/>
        </w:rPr>
        <w:t>end </w:t>
      </w:r>
      <w:r>
        <w:rPr>
          <w:w w:val="99"/>
        </w:rPr>
        <w:t>of </w:t>
      </w:r>
      <w:r>
        <w:rPr>
          <w:w w:val="85"/>
        </w:rPr>
        <w:t>2016, </w:t>
      </w:r>
      <w:r>
        <w:rPr>
          <w:w w:val="97"/>
        </w:rPr>
        <w:t>the </w:t>
      </w:r>
      <w:r>
        <w:rPr>
          <w:w w:val="97"/>
        </w:rPr>
        <w:t>sixth </w:t>
      </w:r>
      <w:r>
        <w:rPr>
          <w:w w:val="96"/>
        </w:rPr>
        <w:t>class </w:t>
      </w:r>
      <w:r>
        <w:rPr>
          <w:w w:val="99"/>
        </w:rPr>
        <w:t>of </w:t>
      </w:r>
      <w:r>
        <w:rPr>
          <w:w w:val="97"/>
        </w:rPr>
        <w:t>graduates </w:t>
      </w:r>
      <w:r>
        <w:rPr/>
        <w:t>started their professional lives, taking our graduate cohort to 679 doctors, 18 of them from an Aboriginal or Torres Strait Islander background. The first cohorts are moving</w:t>
      </w:r>
    </w:p>
    <w:p>
      <w:pPr>
        <w:pStyle w:val="BodyText"/>
        <w:spacing w:line="249" w:lineRule="auto"/>
        <w:ind w:left="107" w:right="89"/>
      </w:pPr>
      <w:r>
        <w:rPr/>
        <w:t>into accredited specialist training, including in general practice, neurosurgery, dermatology and radiation oncology. School of Medicine graduates are now working as doctors</w:t>
      </w:r>
    </w:p>
    <w:p>
      <w:pPr>
        <w:pStyle w:val="BodyText"/>
        <w:spacing w:line="249" w:lineRule="auto"/>
        <w:ind w:left="107" w:right="250"/>
      </w:pPr>
      <w:r>
        <w:rPr/>
        <w:t>in civilian and military positions, ready to undertake paediatric and adult medicine training as well as active surgery work. Many are staying and training in Western Sydney, and a small group has begun rural career</w:t>
      </w:r>
      <w:r>
        <w:rPr>
          <w:spacing w:val="-18"/>
        </w:rPr>
        <w:t> </w:t>
      </w:r>
      <w:r>
        <w:rPr/>
        <w:t>training.</w:t>
      </w:r>
      <w:r>
        <w:rPr>
          <w:spacing w:val="-18"/>
        </w:rPr>
        <w:t> </w:t>
      </w:r>
      <w:r>
        <w:rPr/>
        <w:t>The</w:t>
      </w:r>
      <w:r>
        <w:rPr>
          <w:spacing w:val="-18"/>
        </w:rPr>
        <w:t> </w:t>
      </w:r>
      <w:r>
        <w:rPr/>
        <w:t>School</w:t>
      </w:r>
      <w:r>
        <w:rPr>
          <w:spacing w:val="-18"/>
        </w:rPr>
        <w:t> </w:t>
      </w:r>
      <w:r>
        <w:rPr/>
        <w:t>is</w:t>
      </w:r>
      <w:r>
        <w:rPr>
          <w:spacing w:val="-18"/>
        </w:rPr>
        <w:t> </w:t>
      </w:r>
      <w:r>
        <w:rPr/>
        <w:t>also</w:t>
      </w:r>
      <w:r>
        <w:rPr>
          <w:spacing w:val="-18"/>
        </w:rPr>
        <w:t> </w:t>
      </w:r>
      <w:r>
        <w:rPr/>
        <w:t>pleased</w:t>
      </w:r>
      <w:r>
        <w:rPr>
          <w:spacing w:val="-18"/>
        </w:rPr>
        <w:t> </w:t>
      </w:r>
      <w:r>
        <w:rPr/>
        <w:t>to</w:t>
      </w:r>
    </w:p>
    <w:p>
      <w:pPr>
        <w:pStyle w:val="BodyText"/>
        <w:spacing w:line="249" w:lineRule="auto"/>
        <w:ind w:left="107" w:right="90"/>
      </w:pPr>
      <w:r>
        <w:rPr/>
        <w:t>welcome back a number of past graduates as they become formally involved in its Medical Education Unit.</w:t>
      </w:r>
    </w:p>
    <w:p>
      <w:pPr>
        <w:pStyle w:val="BodyText"/>
        <w:rPr>
          <w:sz w:val="14"/>
        </w:rPr>
      </w:pPr>
    </w:p>
    <w:p>
      <w:pPr>
        <w:pStyle w:val="BodyText"/>
        <w:spacing w:line="249" w:lineRule="auto"/>
        <w:ind w:left="107" w:right="289"/>
      </w:pPr>
      <w:r>
        <w:rPr>
          <w:spacing w:val="-1"/>
          <w:w w:val="107"/>
        </w:rPr>
        <w:t>At</w:t>
      </w:r>
      <w:r>
        <w:rPr>
          <w:w w:val="107"/>
        </w:rPr>
        <w:t> </w:t>
      </w:r>
      <w:r>
        <w:rPr>
          <w:w w:val="97"/>
        </w:rPr>
        <w:t>the </w:t>
      </w:r>
      <w:r>
        <w:rPr>
          <w:spacing w:val="1"/>
          <w:w w:val="90"/>
        </w:rPr>
        <w:t>2016</w:t>
      </w:r>
      <w:r>
        <w:rPr>
          <w:w w:val="90"/>
        </w:rPr>
        <w:t> </w:t>
      </w:r>
      <w:r>
        <w:rPr>
          <w:spacing w:val="1"/>
          <w:w w:val="98"/>
        </w:rPr>
        <w:t>Vice-Chancellor’s</w:t>
      </w:r>
      <w:r>
        <w:rPr>
          <w:w w:val="98"/>
        </w:rPr>
        <w:t> </w:t>
      </w:r>
      <w:r>
        <w:rPr>
          <w:w w:val="95"/>
        </w:rPr>
        <w:t>Awards, </w:t>
      </w:r>
      <w:r>
        <w:rPr>
          <w:spacing w:val="1"/>
          <w:w w:val="96"/>
        </w:rPr>
        <w:t>Dr</w:t>
      </w:r>
      <w:r>
        <w:rPr>
          <w:w w:val="96"/>
        </w:rPr>
        <w:t> </w:t>
      </w:r>
      <w:r>
        <w:rPr/>
        <w:t>Brahm</w:t>
      </w:r>
      <w:r>
        <w:rPr>
          <w:spacing w:val="-18"/>
        </w:rPr>
        <w:t> </w:t>
      </w:r>
      <w:r>
        <w:rPr/>
        <w:t>Marjadi</w:t>
      </w:r>
      <w:r>
        <w:rPr>
          <w:spacing w:val="-18"/>
        </w:rPr>
        <w:t> </w:t>
      </w:r>
      <w:r>
        <w:rPr/>
        <w:t>was</w:t>
      </w:r>
      <w:r>
        <w:rPr>
          <w:spacing w:val="-18"/>
        </w:rPr>
        <w:t> </w:t>
      </w:r>
      <w:r>
        <w:rPr/>
        <w:t>nominated</w:t>
      </w:r>
      <w:r>
        <w:rPr>
          <w:spacing w:val="-18"/>
        </w:rPr>
        <w:t> </w:t>
      </w:r>
      <w:r>
        <w:rPr/>
        <w:t>for</w:t>
      </w:r>
      <w:r>
        <w:rPr>
          <w:spacing w:val="-18"/>
        </w:rPr>
        <w:t> </w:t>
      </w:r>
      <w:r>
        <w:rPr/>
        <w:t>his</w:t>
      </w:r>
      <w:r>
        <w:rPr>
          <w:spacing w:val="-18"/>
        </w:rPr>
        <w:t> </w:t>
      </w:r>
      <w:r>
        <w:rPr/>
        <w:t>role</w:t>
      </w:r>
      <w:r>
        <w:rPr>
          <w:spacing w:val="-10"/>
        </w:rPr>
        <w:t> </w:t>
      </w:r>
      <w:r>
        <w:rPr/>
        <w:t>in representing</w:t>
      </w:r>
      <w:r>
        <w:rPr>
          <w:spacing w:val="-18"/>
        </w:rPr>
        <w:t> </w:t>
      </w:r>
      <w:r>
        <w:rPr/>
        <w:t>the</w:t>
      </w:r>
      <w:r>
        <w:rPr>
          <w:spacing w:val="-18"/>
        </w:rPr>
        <w:t> </w:t>
      </w:r>
      <w:r>
        <w:rPr/>
        <w:t>University’s</w:t>
      </w:r>
      <w:r>
        <w:rPr>
          <w:spacing w:val="-18"/>
        </w:rPr>
        <w:t> </w:t>
      </w:r>
      <w:r>
        <w:rPr/>
        <w:t>approach</w:t>
      </w:r>
      <w:r>
        <w:rPr>
          <w:spacing w:val="-18"/>
        </w:rPr>
        <w:t> </w:t>
      </w:r>
      <w:r>
        <w:rPr/>
        <w:t>to</w:t>
      </w:r>
    </w:p>
    <w:p>
      <w:pPr>
        <w:pStyle w:val="BodyText"/>
        <w:spacing w:line="249" w:lineRule="auto"/>
        <w:ind w:left="107" w:right="197"/>
      </w:pPr>
      <w:r>
        <w:rPr/>
        <w:t>inclusivity</w:t>
      </w:r>
      <w:r>
        <w:rPr>
          <w:spacing w:val="-16"/>
        </w:rPr>
        <w:t> </w:t>
      </w:r>
      <w:r>
        <w:rPr/>
        <w:t>through</w:t>
      </w:r>
      <w:r>
        <w:rPr>
          <w:spacing w:val="-16"/>
        </w:rPr>
        <w:t> </w:t>
      </w:r>
      <w:r>
        <w:rPr/>
        <w:t>his</w:t>
      </w:r>
      <w:r>
        <w:rPr>
          <w:spacing w:val="-16"/>
        </w:rPr>
        <w:t> </w:t>
      </w:r>
      <w:r>
        <w:rPr/>
        <w:t>engagement</w:t>
      </w:r>
      <w:r>
        <w:rPr>
          <w:spacing w:val="-16"/>
        </w:rPr>
        <w:t> </w:t>
      </w:r>
      <w:r>
        <w:rPr/>
        <w:t>with</w:t>
      </w:r>
      <w:r>
        <w:rPr>
          <w:spacing w:val="-16"/>
        </w:rPr>
        <w:t> </w:t>
      </w:r>
      <w:r>
        <w:rPr/>
        <w:t>the Sydney</w:t>
      </w:r>
      <w:r>
        <w:rPr>
          <w:spacing w:val="-19"/>
        </w:rPr>
        <w:t> </w:t>
      </w:r>
      <w:r>
        <w:rPr/>
        <w:t>Gay</w:t>
      </w:r>
      <w:r>
        <w:rPr>
          <w:spacing w:val="-19"/>
        </w:rPr>
        <w:t> </w:t>
      </w:r>
      <w:r>
        <w:rPr/>
        <w:t>and</w:t>
      </w:r>
      <w:r>
        <w:rPr>
          <w:spacing w:val="-19"/>
        </w:rPr>
        <w:t> </w:t>
      </w:r>
      <w:r>
        <w:rPr/>
        <w:t>Lesbian</w:t>
      </w:r>
      <w:r>
        <w:rPr>
          <w:spacing w:val="-19"/>
        </w:rPr>
        <w:t> </w:t>
      </w:r>
      <w:r>
        <w:rPr/>
        <w:t>Mardi</w:t>
      </w:r>
      <w:r>
        <w:rPr>
          <w:spacing w:val="-19"/>
        </w:rPr>
        <w:t> </w:t>
      </w:r>
      <w:r>
        <w:rPr/>
        <w:t>Gras</w:t>
      </w:r>
      <w:r>
        <w:rPr>
          <w:spacing w:val="-19"/>
        </w:rPr>
        <w:t> </w:t>
      </w:r>
      <w:r>
        <w:rPr/>
        <w:t>Parade.</w:t>
      </w:r>
    </w:p>
    <w:p>
      <w:pPr>
        <w:pStyle w:val="BodyText"/>
        <w:rPr>
          <w:sz w:val="14"/>
        </w:rPr>
      </w:pPr>
    </w:p>
    <w:p>
      <w:pPr>
        <w:pStyle w:val="BodyText"/>
        <w:spacing w:line="249" w:lineRule="auto"/>
        <w:ind w:left="107" w:right="70"/>
      </w:pPr>
      <w:r>
        <w:rPr/>
        <w:t>The School is also pleased to note the achievements of Dr Christina Abdel Shaheed, who was promoted to the position of Lecturer </w:t>
      </w:r>
      <w:r>
        <w:rPr>
          <w:w w:val="95"/>
        </w:rPr>
        <w:t>in </w:t>
      </w:r>
      <w:r>
        <w:rPr>
          <w:w w:val="85"/>
        </w:rPr>
        <w:t>2016.</w:t>
      </w:r>
    </w:p>
    <w:p>
      <w:pPr>
        <w:pStyle w:val="BodyText"/>
        <w:rPr>
          <w:sz w:val="14"/>
        </w:rPr>
      </w:pPr>
    </w:p>
    <w:p>
      <w:pPr>
        <w:pStyle w:val="BodyText"/>
        <w:spacing w:line="249" w:lineRule="auto"/>
        <w:ind w:left="107" w:right="122"/>
      </w:pPr>
      <w:r>
        <w:rPr/>
        <w:t>The Australian Indigenous Doctors Association (AIDA) named Professor Jennifer Reath Associate Member of the Year, a</w:t>
      </w:r>
    </w:p>
    <w:p>
      <w:pPr>
        <w:pStyle w:val="BodyText"/>
        <w:spacing w:line="249" w:lineRule="auto"/>
        <w:ind w:left="107" w:right="213"/>
      </w:pPr>
      <w:r>
        <w:rPr/>
        <w:t>highly prestigious award that recognises contributions to Aboriginal and Torres Strait Islander health workforce education and activities.</w:t>
      </w:r>
    </w:p>
    <w:p>
      <w:pPr>
        <w:pStyle w:val="BodyText"/>
        <w:spacing w:before="3"/>
        <w:rPr>
          <w:sz w:val="19"/>
        </w:rPr>
      </w:pPr>
    </w:p>
    <w:p>
      <w:pPr>
        <w:pStyle w:val="Heading7"/>
        <w:ind w:right="460"/>
      </w:pPr>
      <w:r>
        <w:rPr>
          <w:w w:val="95"/>
        </w:rPr>
        <w:t>LEARNING AND TEACHING</w:t>
      </w:r>
    </w:p>
    <w:p>
      <w:pPr>
        <w:pStyle w:val="BodyText"/>
        <w:spacing w:line="249" w:lineRule="auto" w:before="58"/>
        <w:ind w:left="107" w:right="82"/>
      </w:pPr>
      <w:r>
        <w:rPr/>
        <w:t>Undergraduate medical schools across the country are moving towards adopting the Doctor of Medicine (MD) instead of the Bachelor of Medicine and Bachelor of Surgery (MBBS) as their primary medical qualification. The first school was accredited to this level in </w:t>
      </w:r>
      <w:r>
        <w:rPr>
          <w:w w:val="96"/>
        </w:rPr>
        <w:t>early </w:t>
      </w:r>
      <w:r>
        <w:rPr>
          <w:w w:val="85"/>
        </w:rPr>
        <w:t>2016.</w:t>
      </w:r>
    </w:p>
    <w:p>
      <w:pPr>
        <w:pStyle w:val="BodyText"/>
        <w:rPr>
          <w:sz w:val="14"/>
        </w:rPr>
      </w:pPr>
    </w:p>
    <w:p>
      <w:pPr>
        <w:pStyle w:val="BodyText"/>
        <w:spacing w:line="249" w:lineRule="auto"/>
        <w:ind w:left="107" w:right="325"/>
      </w:pPr>
      <w:r>
        <w:rPr/>
        <w:t>Determined to remain internationally </w:t>
      </w:r>
      <w:r>
        <w:rPr>
          <w:w w:val="96"/>
        </w:rPr>
        <w:t>competitive, </w:t>
      </w:r>
      <w:r>
        <w:rPr>
          <w:w w:val="95"/>
        </w:rPr>
        <w:t>in </w:t>
      </w:r>
      <w:r>
        <w:rPr>
          <w:w w:val="90"/>
        </w:rPr>
        <w:t>2016 </w:t>
      </w:r>
      <w:r>
        <w:rPr>
          <w:w w:val="97"/>
        </w:rPr>
        <w:t>the </w:t>
      </w:r>
      <w:r>
        <w:rPr>
          <w:w w:val="98"/>
        </w:rPr>
        <w:t>School </w:t>
      </w:r>
      <w:r>
        <w:rPr>
          <w:w w:val="99"/>
        </w:rPr>
        <w:t>of </w:t>
      </w:r>
      <w:r>
        <w:rPr>
          <w:w w:val="97"/>
        </w:rPr>
        <w:t>Medicine </w:t>
      </w:r>
      <w:r>
        <w:rPr/>
        <w:t>took its first steps towards adopting the MD. It consulted with community partners and medical providers who agree this is</w:t>
      </w:r>
    </w:p>
    <w:p>
      <w:pPr>
        <w:pStyle w:val="BodyText"/>
        <w:spacing w:line="192" w:lineRule="exact"/>
        <w:ind w:left="107" w:right="446"/>
      </w:pPr>
      <w:r>
        <w:rPr/>
        <w:t>an appropriate shift for Western Sydney</w:t>
      </w:r>
    </w:p>
    <w:p>
      <w:pPr>
        <w:spacing w:after="0" w:line="192" w:lineRule="exact"/>
        <w:sectPr>
          <w:type w:val="continuous"/>
          <w:pgSz w:w="11910" w:h="16840"/>
          <w:pgMar w:top="1580" w:bottom="280" w:left="800" w:right="800"/>
          <w:cols w:num="3" w:equalWidth="0">
            <w:col w:w="3320" w:space="120"/>
            <w:col w:w="3289" w:space="150"/>
            <w:col w:w="3431"/>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48"/>
          <w:footerReference w:type="default" r:id="rId49"/>
          <w:pgSz w:w="11910" w:h="16840"/>
          <w:pgMar w:footer="472" w:header="496" w:top="680" w:bottom="660" w:left="800" w:right="800"/>
          <w:pgNumType w:start="32"/>
        </w:sectPr>
      </w:pPr>
    </w:p>
    <w:p>
      <w:pPr>
        <w:pStyle w:val="BodyText"/>
        <w:spacing w:before="11"/>
        <w:rPr>
          <w:rFonts w:ascii="Chronicle Text G1"/>
          <w:b w:val="0"/>
        </w:rPr>
      </w:pPr>
    </w:p>
    <w:p>
      <w:pPr>
        <w:pStyle w:val="BodyText"/>
        <w:spacing w:line="249" w:lineRule="auto"/>
        <w:ind w:left="107" w:right="-2"/>
      </w:pPr>
      <w:r>
        <w:rPr/>
        <w:t>University, and approached the Australian Medical Council to approve the transition.</w:t>
      </w:r>
    </w:p>
    <w:p>
      <w:pPr>
        <w:pStyle w:val="BodyText"/>
        <w:rPr>
          <w:sz w:val="14"/>
        </w:rPr>
      </w:pPr>
    </w:p>
    <w:p>
      <w:pPr>
        <w:pStyle w:val="BodyText"/>
        <w:spacing w:line="249" w:lineRule="auto"/>
        <w:ind w:left="107"/>
      </w:pPr>
      <w:r>
        <w:rPr/>
        <w:t>This transition should produce an increase in adult-level learning assessments and a more integrated research program across the five years</w:t>
      </w:r>
      <w:r>
        <w:rPr>
          <w:spacing w:val="-19"/>
        </w:rPr>
        <w:t> </w:t>
      </w:r>
      <w:r>
        <w:rPr/>
        <w:t>of</w:t>
      </w:r>
      <w:r>
        <w:rPr>
          <w:spacing w:val="-19"/>
        </w:rPr>
        <w:t> </w:t>
      </w:r>
      <w:r>
        <w:rPr/>
        <w:t>the</w:t>
      </w:r>
      <w:r>
        <w:rPr>
          <w:spacing w:val="-19"/>
        </w:rPr>
        <w:t> </w:t>
      </w:r>
      <w:r>
        <w:rPr/>
        <w:t>course.</w:t>
      </w:r>
      <w:r>
        <w:rPr>
          <w:spacing w:val="-19"/>
        </w:rPr>
        <w:t> </w:t>
      </w:r>
      <w:r>
        <w:rPr/>
        <w:t>Students</w:t>
      </w:r>
      <w:r>
        <w:rPr>
          <w:spacing w:val="-19"/>
        </w:rPr>
        <w:t> </w:t>
      </w:r>
      <w:r>
        <w:rPr/>
        <w:t>will</w:t>
      </w:r>
      <w:r>
        <w:rPr>
          <w:spacing w:val="-19"/>
        </w:rPr>
        <w:t> </w:t>
      </w:r>
      <w:r>
        <w:rPr/>
        <w:t>also</w:t>
      </w:r>
      <w:r>
        <w:rPr>
          <w:spacing w:val="-19"/>
        </w:rPr>
        <w:t> </w:t>
      </w:r>
      <w:r>
        <w:rPr/>
        <w:t>have</w:t>
      </w:r>
      <w:r>
        <w:rPr>
          <w:spacing w:val="-19"/>
        </w:rPr>
        <w:t> </w:t>
      </w:r>
      <w:r>
        <w:rPr/>
        <w:t>the to undertake community engagement as </w:t>
      </w:r>
      <w:r>
        <w:rPr>
          <w:spacing w:val="2"/>
        </w:rPr>
        <w:t>part </w:t>
      </w:r>
      <w:r>
        <w:rPr/>
        <w:t>of</w:t>
      </w:r>
      <w:r>
        <w:rPr>
          <w:spacing w:val="-21"/>
        </w:rPr>
        <w:t> </w:t>
      </w:r>
      <w:r>
        <w:rPr/>
        <w:t>their</w:t>
      </w:r>
      <w:r>
        <w:rPr>
          <w:spacing w:val="-21"/>
        </w:rPr>
        <w:t> </w:t>
      </w:r>
      <w:r>
        <w:rPr/>
        <w:t>project-based</w:t>
      </w:r>
      <w:r>
        <w:rPr>
          <w:spacing w:val="-21"/>
        </w:rPr>
        <w:t> </w:t>
      </w:r>
      <w:r>
        <w:rPr/>
        <w:t>learning.</w:t>
      </w:r>
    </w:p>
    <w:p>
      <w:pPr>
        <w:pStyle w:val="BodyText"/>
        <w:rPr>
          <w:sz w:val="14"/>
        </w:rPr>
      </w:pPr>
    </w:p>
    <w:p>
      <w:pPr>
        <w:pStyle w:val="BodyText"/>
        <w:spacing w:line="249" w:lineRule="auto"/>
        <w:ind w:left="107" w:right="69"/>
      </w:pPr>
      <w:r>
        <w:rPr/>
        <w:t>The Rural Clinical Schools continue to operate</w:t>
      </w:r>
      <w:r>
        <w:rPr>
          <w:spacing w:val="-15"/>
        </w:rPr>
        <w:t> </w:t>
      </w:r>
      <w:r>
        <w:rPr/>
        <w:t>as</w:t>
      </w:r>
      <w:r>
        <w:rPr>
          <w:spacing w:val="-15"/>
        </w:rPr>
        <w:t> </w:t>
      </w:r>
      <w:r>
        <w:rPr/>
        <w:t>a</w:t>
      </w:r>
      <w:r>
        <w:rPr>
          <w:spacing w:val="-15"/>
        </w:rPr>
        <w:t> </w:t>
      </w:r>
      <w:r>
        <w:rPr/>
        <w:t>strong</w:t>
      </w:r>
      <w:r>
        <w:rPr>
          <w:spacing w:val="-15"/>
        </w:rPr>
        <w:t> </w:t>
      </w:r>
      <w:r>
        <w:rPr/>
        <w:t>and</w:t>
      </w:r>
      <w:r>
        <w:rPr>
          <w:spacing w:val="-15"/>
        </w:rPr>
        <w:t> </w:t>
      </w:r>
      <w:r>
        <w:rPr/>
        <w:t>important</w:t>
      </w:r>
      <w:r>
        <w:rPr>
          <w:spacing w:val="-15"/>
        </w:rPr>
        <w:t> </w:t>
      </w:r>
      <w:r>
        <w:rPr>
          <w:spacing w:val="2"/>
        </w:rPr>
        <w:t>part</w:t>
      </w:r>
      <w:r>
        <w:rPr>
          <w:spacing w:val="-15"/>
        </w:rPr>
        <w:t> </w:t>
      </w:r>
      <w:r>
        <w:rPr/>
        <w:t>of</w:t>
      </w:r>
      <w:r>
        <w:rPr>
          <w:spacing w:val="-15"/>
        </w:rPr>
        <w:t> </w:t>
      </w:r>
      <w:r>
        <w:rPr/>
        <w:t>the</w:t>
      </w:r>
    </w:p>
    <w:p>
      <w:pPr>
        <w:pStyle w:val="BodyText"/>
        <w:spacing w:line="249" w:lineRule="auto"/>
        <w:ind w:left="107" w:right="-2"/>
      </w:pPr>
      <w:r>
        <w:rPr>
          <w:w w:val="94"/>
        </w:rPr>
        <w:t>program. </w:t>
      </w:r>
      <w:r>
        <w:rPr>
          <w:w w:val="98"/>
        </w:rPr>
        <w:t>Student </w:t>
      </w:r>
      <w:r>
        <w:rPr>
          <w:w w:val="96"/>
        </w:rPr>
        <w:t>numbers </w:t>
      </w:r>
      <w:r>
        <w:rPr>
          <w:w w:val="98"/>
        </w:rPr>
        <w:t>for </w:t>
      </w:r>
      <w:r>
        <w:rPr>
          <w:w w:val="90"/>
        </w:rPr>
        <w:t>2016 </w:t>
      </w:r>
      <w:r>
        <w:rPr>
          <w:w w:val="97"/>
        </w:rPr>
        <w:t>increased </w:t>
      </w:r>
      <w:r>
        <w:rPr/>
        <w:t>in the Lismore and Bathurst locations, and</w:t>
      </w:r>
    </w:p>
    <w:p>
      <w:pPr>
        <w:pStyle w:val="BodyText"/>
        <w:spacing w:line="249" w:lineRule="auto"/>
        <w:ind w:left="107" w:right="373"/>
      </w:pPr>
      <w:r>
        <w:rPr/>
        <w:t>a</w:t>
      </w:r>
      <w:r>
        <w:rPr>
          <w:spacing w:val="-16"/>
        </w:rPr>
        <w:t> </w:t>
      </w:r>
      <w:r>
        <w:rPr/>
        <w:t>rural</w:t>
      </w:r>
      <w:r>
        <w:rPr>
          <w:spacing w:val="-16"/>
        </w:rPr>
        <w:t> </w:t>
      </w:r>
      <w:r>
        <w:rPr/>
        <w:t>entry</w:t>
      </w:r>
      <w:r>
        <w:rPr>
          <w:spacing w:val="-16"/>
        </w:rPr>
        <w:t> </w:t>
      </w:r>
      <w:r>
        <w:rPr/>
        <w:t>program</w:t>
      </w:r>
      <w:r>
        <w:rPr>
          <w:spacing w:val="-16"/>
        </w:rPr>
        <w:t> </w:t>
      </w:r>
      <w:r>
        <w:rPr/>
        <w:t>and</w:t>
      </w:r>
      <w:r>
        <w:rPr>
          <w:spacing w:val="-16"/>
        </w:rPr>
        <w:t> </w:t>
      </w:r>
      <w:r>
        <w:rPr/>
        <w:t>rural</w:t>
      </w:r>
      <w:r>
        <w:rPr>
          <w:spacing w:val="-16"/>
        </w:rPr>
        <w:t> </w:t>
      </w:r>
      <w:r>
        <w:rPr/>
        <w:t>streamed program</w:t>
      </w:r>
      <w:r>
        <w:rPr>
          <w:spacing w:val="-28"/>
        </w:rPr>
        <w:t> </w:t>
      </w:r>
      <w:r>
        <w:rPr/>
        <w:t>are</w:t>
      </w:r>
      <w:r>
        <w:rPr>
          <w:spacing w:val="-28"/>
        </w:rPr>
        <w:t> </w:t>
      </w:r>
      <w:r>
        <w:rPr/>
        <w:t>underway.</w:t>
      </w:r>
    </w:p>
    <w:p>
      <w:pPr>
        <w:pStyle w:val="BodyText"/>
        <w:rPr>
          <w:sz w:val="14"/>
        </w:rPr>
      </w:pPr>
    </w:p>
    <w:p>
      <w:pPr>
        <w:pStyle w:val="BodyText"/>
        <w:spacing w:line="249" w:lineRule="auto"/>
        <w:ind w:left="107" w:right="467"/>
      </w:pPr>
      <w:r>
        <w:rPr/>
        <w:t>The School of Medicine continued to focus on providing supervisor support and engagement. For those in hospital</w:t>
      </w:r>
    </w:p>
    <w:p>
      <w:pPr>
        <w:pStyle w:val="BodyText"/>
        <w:spacing w:line="249" w:lineRule="auto"/>
        <w:ind w:left="107" w:right="135"/>
      </w:pPr>
      <w:r>
        <w:rPr/>
        <w:t>environments, this occurs primarily through the Clinical Schools and relevant clinical academics. The School continues to look for opportunities to share discussions and</w:t>
      </w:r>
    </w:p>
    <w:p>
      <w:pPr>
        <w:pStyle w:val="BodyText"/>
        <w:spacing w:line="249" w:lineRule="auto"/>
        <w:ind w:left="107" w:right="-2"/>
      </w:pPr>
      <w:r>
        <w:rPr/>
        <w:t>learning experiences across various working groups, for instance, by bringing together general</w:t>
      </w:r>
      <w:r>
        <w:rPr>
          <w:spacing w:val="-13"/>
        </w:rPr>
        <w:t> </w:t>
      </w:r>
      <w:r>
        <w:rPr/>
        <w:t>practitioners</w:t>
      </w:r>
      <w:r>
        <w:rPr>
          <w:spacing w:val="-13"/>
        </w:rPr>
        <w:t> </w:t>
      </w:r>
      <w:r>
        <w:rPr/>
        <w:t>and</w:t>
      </w:r>
      <w:r>
        <w:rPr>
          <w:spacing w:val="-13"/>
        </w:rPr>
        <w:t> </w:t>
      </w:r>
      <w:r>
        <w:rPr/>
        <w:t>community</w:t>
      </w:r>
      <w:r>
        <w:rPr>
          <w:spacing w:val="-13"/>
        </w:rPr>
        <w:t> </w:t>
      </w:r>
      <w:r>
        <w:rPr/>
        <w:t>partners to supervise students in the Medicine in Context component of the School’s learning program.</w:t>
      </w:r>
    </w:p>
    <w:p>
      <w:pPr>
        <w:pStyle w:val="BodyText"/>
        <w:rPr>
          <w:sz w:val="14"/>
        </w:rPr>
      </w:pPr>
    </w:p>
    <w:p>
      <w:pPr>
        <w:pStyle w:val="BodyText"/>
        <w:spacing w:line="249" w:lineRule="auto"/>
        <w:ind w:left="107" w:right="84"/>
      </w:pPr>
      <w:r>
        <w:rPr/>
        <w:t>The</w:t>
      </w:r>
      <w:r>
        <w:rPr>
          <w:spacing w:val="-15"/>
        </w:rPr>
        <w:t> </w:t>
      </w:r>
      <w:r>
        <w:rPr/>
        <w:t>School</w:t>
      </w:r>
      <w:r>
        <w:rPr>
          <w:spacing w:val="-15"/>
        </w:rPr>
        <w:t> </w:t>
      </w:r>
      <w:r>
        <w:rPr/>
        <w:t>saw</w:t>
      </w:r>
      <w:r>
        <w:rPr>
          <w:spacing w:val="-15"/>
        </w:rPr>
        <w:t> </w:t>
      </w:r>
      <w:r>
        <w:rPr/>
        <w:t>some</w:t>
      </w:r>
      <w:r>
        <w:rPr>
          <w:spacing w:val="-15"/>
        </w:rPr>
        <w:t> </w:t>
      </w:r>
      <w:r>
        <w:rPr/>
        <w:t>changing</w:t>
      </w:r>
      <w:r>
        <w:rPr>
          <w:spacing w:val="-15"/>
        </w:rPr>
        <w:t> </w:t>
      </w:r>
      <w:r>
        <w:rPr/>
        <w:t>of</w:t>
      </w:r>
      <w:r>
        <w:rPr>
          <w:spacing w:val="-15"/>
        </w:rPr>
        <w:t> </w:t>
      </w:r>
      <w:r>
        <w:rPr/>
        <w:t>the</w:t>
      </w:r>
      <w:r>
        <w:rPr>
          <w:spacing w:val="-15"/>
        </w:rPr>
        <w:t> </w:t>
      </w:r>
      <w:r>
        <w:rPr/>
        <w:t>guards </w:t>
      </w:r>
      <w:r>
        <w:rPr>
          <w:w w:val="95"/>
        </w:rPr>
        <w:t>in </w:t>
      </w:r>
      <w:r>
        <w:rPr>
          <w:spacing w:val="2"/>
          <w:w w:val="85"/>
        </w:rPr>
        <w:t>2016,</w:t>
      </w:r>
      <w:r>
        <w:rPr>
          <w:w w:val="85"/>
        </w:rPr>
        <w:t> </w:t>
      </w:r>
      <w:r>
        <w:rPr>
          <w:w w:val="98"/>
        </w:rPr>
        <w:t>with </w:t>
      </w:r>
      <w:r>
        <w:rPr>
          <w:w w:val="97"/>
        </w:rPr>
        <w:t>the </w:t>
      </w:r>
      <w:r>
        <w:rPr>
          <w:spacing w:val="1"/>
          <w:w w:val="97"/>
        </w:rPr>
        <w:t>departure</w:t>
      </w:r>
      <w:r>
        <w:rPr>
          <w:w w:val="97"/>
        </w:rPr>
        <w:t> </w:t>
      </w:r>
      <w:r>
        <w:rPr>
          <w:w w:val="99"/>
        </w:rPr>
        <w:t>of </w:t>
      </w:r>
      <w:r>
        <w:rPr>
          <w:spacing w:val="1"/>
          <w:w w:val="97"/>
        </w:rPr>
        <w:t>Professor</w:t>
      </w:r>
      <w:r>
        <w:rPr>
          <w:w w:val="97"/>
        </w:rPr>
        <w:t> </w:t>
      </w:r>
      <w:r>
        <w:rPr/>
        <w:t>Vaughan Macefield to a medical school in Dubai;</w:t>
      </w:r>
      <w:r>
        <w:rPr>
          <w:spacing w:val="-22"/>
        </w:rPr>
        <w:t> </w:t>
      </w:r>
      <w:r>
        <w:rPr/>
        <w:t>Professor</w:t>
      </w:r>
      <w:r>
        <w:rPr>
          <w:spacing w:val="-22"/>
        </w:rPr>
        <w:t> </w:t>
      </w:r>
      <w:r>
        <w:rPr/>
        <w:t>Jens</w:t>
      </w:r>
      <w:r>
        <w:rPr>
          <w:spacing w:val="-22"/>
        </w:rPr>
        <w:t> </w:t>
      </w:r>
      <w:r>
        <w:rPr>
          <w:spacing w:val="2"/>
        </w:rPr>
        <w:t>Coorssen,</w:t>
      </w:r>
      <w:r>
        <w:rPr>
          <w:spacing w:val="-22"/>
        </w:rPr>
        <w:t> </w:t>
      </w:r>
      <w:r>
        <w:rPr/>
        <w:t>who</w:t>
      </w:r>
      <w:r>
        <w:rPr>
          <w:spacing w:val="-22"/>
        </w:rPr>
        <w:t> </w:t>
      </w:r>
      <w:r>
        <w:rPr/>
        <w:t>took</w:t>
      </w:r>
    </w:p>
    <w:p>
      <w:pPr>
        <w:pStyle w:val="BodyText"/>
        <w:spacing w:line="249" w:lineRule="auto"/>
        <w:ind w:left="107" w:right="128"/>
      </w:pPr>
      <w:r>
        <w:rPr/>
        <w:t>up a leadership role at Brock University in Canada;</w:t>
      </w:r>
      <w:r>
        <w:rPr>
          <w:spacing w:val="-18"/>
        </w:rPr>
        <w:t> </w:t>
      </w:r>
      <w:r>
        <w:rPr/>
        <w:t>Professor</w:t>
      </w:r>
      <w:r>
        <w:rPr>
          <w:spacing w:val="-18"/>
        </w:rPr>
        <w:t> </w:t>
      </w:r>
      <w:r>
        <w:rPr/>
        <w:t>Hilary</w:t>
      </w:r>
      <w:r>
        <w:rPr>
          <w:spacing w:val="-18"/>
        </w:rPr>
        <w:t> </w:t>
      </w:r>
      <w:r>
        <w:rPr/>
        <w:t>Bambrick,</w:t>
      </w:r>
      <w:r>
        <w:rPr>
          <w:spacing w:val="-18"/>
        </w:rPr>
        <w:t> </w:t>
      </w:r>
      <w:r>
        <w:rPr/>
        <w:t>who</w:t>
      </w:r>
      <w:r>
        <w:rPr>
          <w:spacing w:val="-18"/>
        </w:rPr>
        <w:t> </w:t>
      </w:r>
      <w:r>
        <w:rPr/>
        <w:t>has moved to a leadership role at Queensland University of Technology; and Professor Mark</w:t>
      </w:r>
      <w:r>
        <w:rPr>
          <w:spacing w:val="-17"/>
        </w:rPr>
        <w:t> </w:t>
      </w:r>
      <w:r>
        <w:rPr/>
        <w:t>McLean,</w:t>
      </w:r>
      <w:r>
        <w:rPr>
          <w:spacing w:val="-17"/>
        </w:rPr>
        <w:t> </w:t>
      </w:r>
      <w:r>
        <w:rPr/>
        <w:t>as</w:t>
      </w:r>
      <w:r>
        <w:rPr>
          <w:spacing w:val="-17"/>
        </w:rPr>
        <w:t> </w:t>
      </w:r>
      <w:r>
        <w:rPr/>
        <w:t>he</w:t>
      </w:r>
      <w:r>
        <w:rPr>
          <w:spacing w:val="-17"/>
        </w:rPr>
        <w:t> </w:t>
      </w:r>
      <w:r>
        <w:rPr/>
        <w:t>continues</w:t>
      </w:r>
      <w:r>
        <w:rPr>
          <w:spacing w:val="-17"/>
        </w:rPr>
        <w:t> </w:t>
      </w:r>
      <w:r>
        <w:rPr/>
        <w:t>to</w:t>
      </w:r>
      <w:r>
        <w:rPr>
          <w:spacing w:val="-17"/>
        </w:rPr>
        <w:t> </w:t>
      </w:r>
      <w:r>
        <w:rPr/>
        <w:t>support</w:t>
      </w:r>
      <w:r>
        <w:rPr>
          <w:spacing w:val="-17"/>
        </w:rPr>
        <w:t> </w:t>
      </w:r>
      <w:r>
        <w:rPr/>
        <w:t>the development</w:t>
      </w:r>
      <w:r>
        <w:rPr>
          <w:spacing w:val="-14"/>
        </w:rPr>
        <w:t> </w:t>
      </w:r>
      <w:r>
        <w:rPr/>
        <w:t>of</w:t>
      </w:r>
      <w:r>
        <w:rPr>
          <w:spacing w:val="-14"/>
        </w:rPr>
        <w:t> </w:t>
      </w:r>
      <w:r>
        <w:rPr/>
        <w:t>Blacktown</w:t>
      </w:r>
      <w:r>
        <w:rPr>
          <w:spacing w:val="-14"/>
        </w:rPr>
        <w:t> </w:t>
      </w:r>
      <w:r>
        <w:rPr/>
        <w:t>&amp;</w:t>
      </w:r>
      <w:r>
        <w:rPr>
          <w:spacing w:val="-14"/>
        </w:rPr>
        <w:t> </w:t>
      </w:r>
      <w:r>
        <w:rPr/>
        <w:t>Mount</w:t>
      </w:r>
      <w:r>
        <w:rPr>
          <w:spacing w:val="-14"/>
        </w:rPr>
        <w:t> </w:t>
      </w:r>
      <w:r>
        <w:rPr/>
        <w:t>Druitt</w:t>
      </w:r>
    </w:p>
    <w:p>
      <w:pPr>
        <w:pStyle w:val="BodyText"/>
        <w:spacing w:line="249" w:lineRule="auto"/>
        <w:ind w:left="107" w:right="-1"/>
      </w:pPr>
      <w:r>
        <w:rPr/>
        <w:t>Hospital</w:t>
      </w:r>
      <w:r>
        <w:rPr>
          <w:spacing w:val="-19"/>
        </w:rPr>
        <w:t> </w:t>
      </w:r>
      <w:r>
        <w:rPr/>
        <w:t>in</w:t>
      </w:r>
      <w:r>
        <w:rPr>
          <w:spacing w:val="-19"/>
        </w:rPr>
        <w:t> </w:t>
      </w:r>
      <w:r>
        <w:rPr/>
        <w:t>a</w:t>
      </w:r>
      <w:r>
        <w:rPr>
          <w:spacing w:val="-19"/>
        </w:rPr>
        <w:t> </w:t>
      </w:r>
      <w:r>
        <w:rPr/>
        <w:t>key</w:t>
      </w:r>
      <w:r>
        <w:rPr>
          <w:spacing w:val="-19"/>
        </w:rPr>
        <w:t> </w:t>
      </w:r>
      <w:r>
        <w:rPr/>
        <w:t>clinical</w:t>
      </w:r>
      <w:r>
        <w:rPr>
          <w:spacing w:val="-19"/>
        </w:rPr>
        <w:t> </w:t>
      </w:r>
      <w:r>
        <w:rPr/>
        <w:t>leadership</w:t>
      </w:r>
      <w:r>
        <w:rPr>
          <w:spacing w:val="-19"/>
        </w:rPr>
        <w:t> </w:t>
      </w:r>
      <w:r>
        <w:rPr/>
        <w:t>role.</w:t>
      </w:r>
      <w:r>
        <w:rPr>
          <w:spacing w:val="-19"/>
        </w:rPr>
        <w:t> </w:t>
      </w:r>
      <w:r>
        <w:rPr/>
        <w:t>These academics were instrumental in developing the</w:t>
      </w:r>
      <w:r>
        <w:rPr>
          <w:spacing w:val="-16"/>
        </w:rPr>
        <w:t> </w:t>
      </w:r>
      <w:r>
        <w:rPr/>
        <w:t>School’s</w:t>
      </w:r>
      <w:r>
        <w:rPr>
          <w:spacing w:val="-16"/>
        </w:rPr>
        <w:t> </w:t>
      </w:r>
      <w:r>
        <w:rPr/>
        <w:t>undergraduate</w:t>
      </w:r>
      <w:r>
        <w:rPr>
          <w:spacing w:val="-16"/>
        </w:rPr>
        <w:t> </w:t>
      </w:r>
      <w:r>
        <w:rPr/>
        <w:t>medicine</w:t>
      </w:r>
      <w:r>
        <w:rPr>
          <w:spacing w:val="-16"/>
        </w:rPr>
        <w:t> </w:t>
      </w:r>
      <w:r>
        <w:rPr/>
        <w:t>program and its ongoing research and development, and their contributions have been formally recognised.</w:t>
      </w:r>
      <w:r>
        <w:rPr>
          <w:spacing w:val="-16"/>
        </w:rPr>
        <w:t> </w:t>
      </w:r>
      <w:r>
        <w:rPr/>
        <w:t>The</w:t>
      </w:r>
      <w:r>
        <w:rPr>
          <w:spacing w:val="-16"/>
        </w:rPr>
        <w:t> </w:t>
      </w:r>
      <w:r>
        <w:rPr/>
        <w:t>School</w:t>
      </w:r>
      <w:r>
        <w:rPr>
          <w:spacing w:val="-16"/>
        </w:rPr>
        <w:t> </w:t>
      </w:r>
      <w:r>
        <w:rPr/>
        <w:t>looks</w:t>
      </w:r>
      <w:r>
        <w:rPr>
          <w:spacing w:val="-16"/>
        </w:rPr>
        <w:t> </w:t>
      </w:r>
      <w:r>
        <w:rPr/>
        <w:t>forward</w:t>
      </w:r>
    </w:p>
    <w:p>
      <w:pPr>
        <w:pStyle w:val="BodyText"/>
        <w:spacing w:line="249" w:lineRule="auto"/>
        <w:ind w:left="107" w:right="-7"/>
      </w:pPr>
      <w:r>
        <w:rPr/>
        <w:t>to working with current and future staff </w:t>
      </w:r>
      <w:r>
        <w:rPr>
          <w:w w:val="97"/>
        </w:rPr>
        <w:t>members </w:t>
      </w:r>
      <w:r>
        <w:rPr>
          <w:w w:val="98"/>
        </w:rPr>
        <w:t>over </w:t>
      </w:r>
      <w:r>
        <w:rPr>
          <w:w w:val="97"/>
        </w:rPr>
        <w:t>the </w:t>
      </w:r>
      <w:r>
        <w:rPr>
          <w:w w:val="98"/>
        </w:rPr>
        <w:t>next </w:t>
      </w:r>
      <w:r>
        <w:rPr>
          <w:w w:val="82"/>
        </w:rPr>
        <w:t>10 </w:t>
      </w:r>
      <w:r>
        <w:rPr>
          <w:w w:val="91"/>
        </w:rPr>
        <w:t>years, </w:t>
      </w:r>
      <w:r>
        <w:rPr>
          <w:w w:val="101"/>
        </w:rPr>
        <w:t>to </w:t>
      </w:r>
      <w:r>
        <w:rPr>
          <w:w w:val="98"/>
        </w:rPr>
        <w:t>forge </w:t>
      </w:r>
      <w:r>
        <w:rPr>
          <w:w w:val="97"/>
        </w:rPr>
        <w:t>new </w:t>
      </w:r>
      <w:r>
        <w:rPr/>
        <w:t>paths in developing its teaching and research focus.</w:t>
      </w:r>
    </w:p>
    <w:p>
      <w:pPr>
        <w:pStyle w:val="BodyText"/>
        <w:spacing w:before="3"/>
        <w:rPr>
          <w:sz w:val="19"/>
        </w:rPr>
      </w:pPr>
    </w:p>
    <w:p>
      <w:pPr>
        <w:pStyle w:val="Heading7"/>
      </w:pPr>
      <w:r>
        <w:rPr/>
        <w:t>RESEARCH</w:t>
      </w:r>
    </w:p>
    <w:p>
      <w:pPr>
        <w:pStyle w:val="BodyText"/>
        <w:spacing w:before="58"/>
        <w:ind w:left="107" w:right="-2"/>
      </w:pPr>
      <w:r>
        <w:rPr/>
        <w:t>The School was again pleased with the</w:t>
      </w:r>
    </w:p>
    <w:p>
      <w:pPr>
        <w:pStyle w:val="BodyText"/>
        <w:spacing w:before="9"/>
      </w:pPr>
      <w:r>
        <w:rPr/>
        <w:br w:type="column"/>
      </w:r>
      <w:r>
        <w:rPr/>
      </w:r>
    </w:p>
    <w:p>
      <w:pPr>
        <w:pStyle w:val="BodyText"/>
        <w:spacing w:line="249" w:lineRule="auto" w:before="1"/>
        <w:ind w:left="107" w:right="6"/>
      </w:pPr>
      <w:r>
        <w:rPr/>
        <w:t>benefits of the National Health and Medical Research</w:t>
      </w:r>
      <w:r>
        <w:rPr>
          <w:spacing w:val="-16"/>
        </w:rPr>
        <w:t> </w:t>
      </w:r>
      <w:r>
        <w:rPr/>
        <w:t>Council</w:t>
      </w:r>
      <w:r>
        <w:rPr>
          <w:spacing w:val="-16"/>
        </w:rPr>
        <w:t> </w:t>
      </w:r>
      <w:r>
        <w:rPr>
          <w:spacing w:val="2"/>
        </w:rPr>
        <w:t>(NHMRC)</w:t>
      </w:r>
      <w:r>
        <w:rPr>
          <w:spacing w:val="-16"/>
        </w:rPr>
        <w:t> </w:t>
      </w:r>
      <w:r>
        <w:rPr/>
        <w:t>grants</w:t>
      </w:r>
      <w:r>
        <w:rPr>
          <w:spacing w:val="-16"/>
        </w:rPr>
        <w:t> </w:t>
      </w:r>
      <w:r>
        <w:rPr/>
        <w:t>announced </w:t>
      </w:r>
      <w:r>
        <w:rPr>
          <w:w w:val="95"/>
        </w:rPr>
        <w:t>in </w:t>
      </w:r>
      <w:r>
        <w:rPr>
          <w:spacing w:val="2"/>
          <w:w w:val="85"/>
        </w:rPr>
        <w:t>2016.</w:t>
      </w:r>
      <w:r>
        <w:rPr>
          <w:w w:val="85"/>
        </w:rPr>
        <w:t> </w:t>
      </w:r>
      <w:r>
        <w:rPr>
          <w:spacing w:val="1"/>
          <w:w w:val="80"/>
        </w:rPr>
        <w:t>In</w:t>
      </w:r>
      <w:r>
        <w:rPr>
          <w:w w:val="80"/>
        </w:rPr>
        <w:t> </w:t>
      </w:r>
      <w:r>
        <w:rPr>
          <w:w w:val="94"/>
        </w:rPr>
        <w:t>a </w:t>
      </w:r>
      <w:r>
        <w:rPr>
          <w:spacing w:val="1"/>
          <w:w w:val="98"/>
        </w:rPr>
        <w:t>very</w:t>
      </w:r>
      <w:r>
        <w:rPr>
          <w:w w:val="98"/>
        </w:rPr>
        <w:t> </w:t>
      </w:r>
      <w:r>
        <w:rPr>
          <w:w w:val="99"/>
        </w:rPr>
        <w:t>competitive </w:t>
      </w:r>
      <w:r>
        <w:rPr>
          <w:spacing w:val="1"/>
          <w:w w:val="95"/>
        </w:rPr>
        <w:t>environment,</w:t>
      </w:r>
      <w:r>
        <w:rPr>
          <w:w w:val="95"/>
        </w:rPr>
        <w:t> </w:t>
      </w:r>
      <w:r>
        <w:rPr/>
        <w:t>there</w:t>
      </w:r>
      <w:r>
        <w:rPr>
          <w:spacing w:val="-18"/>
        </w:rPr>
        <w:t> </w:t>
      </w:r>
      <w:r>
        <w:rPr/>
        <w:t>have</w:t>
      </w:r>
      <w:r>
        <w:rPr>
          <w:spacing w:val="-18"/>
        </w:rPr>
        <w:t> </w:t>
      </w:r>
      <w:r>
        <w:rPr/>
        <w:t>been</w:t>
      </w:r>
      <w:r>
        <w:rPr>
          <w:spacing w:val="-18"/>
        </w:rPr>
        <w:t> </w:t>
      </w:r>
      <w:r>
        <w:rPr/>
        <w:t>some</w:t>
      </w:r>
      <w:r>
        <w:rPr>
          <w:spacing w:val="-18"/>
        </w:rPr>
        <w:t> </w:t>
      </w:r>
      <w:r>
        <w:rPr/>
        <w:t>very</w:t>
      </w:r>
      <w:r>
        <w:rPr>
          <w:spacing w:val="-18"/>
        </w:rPr>
        <w:t> </w:t>
      </w:r>
      <w:r>
        <w:rPr/>
        <w:t>positive</w:t>
      </w:r>
      <w:r>
        <w:rPr>
          <w:spacing w:val="-18"/>
        </w:rPr>
        <w:t> </w:t>
      </w:r>
      <w:r>
        <w:rPr/>
        <w:t>outcomes. Dr Penny Abbott in the General Practice Unit led</w:t>
      </w:r>
      <w:r>
        <w:rPr>
          <w:spacing w:val="-18"/>
        </w:rPr>
        <w:t> </w:t>
      </w:r>
      <w:r>
        <w:rPr/>
        <w:t>the</w:t>
      </w:r>
      <w:r>
        <w:rPr>
          <w:spacing w:val="-18"/>
        </w:rPr>
        <w:t> </w:t>
      </w:r>
      <w:r>
        <w:rPr/>
        <w:t>successful</w:t>
      </w:r>
      <w:r>
        <w:rPr>
          <w:spacing w:val="-18"/>
        </w:rPr>
        <w:t> </w:t>
      </w:r>
      <w:r>
        <w:rPr/>
        <w:t>application</w:t>
      </w:r>
      <w:r>
        <w:rPr>
          <w:spacing w:val="-18"/>
        </w:rPr>
        <w:t> </w:t>
      </w:r>
      <w:r>
        <w:rPr/>
        <w:t>for</w:t>
      </w:r>
      <w:r>
        <w:rPr>
          <w:spacing w:val="-18"/>
        </w:rPr>
        <w:t> </w:t>
      </w:r>
      <w:r>
        <w:rPr/>
        <w:t>a</w:t>
      </w:r>
      <w:r>
        <w:rPr>
          <w:spacing w:val="-18"/>
        </w:rPr>
        <w:t> </w:t>
      </w:r>
      <w:r>
        <w:rPr>
          <w:spacing w:val="2"/>
        </w:rPr>
        <w:t>$2.2</w:t>
      </w:r>
      <w:r>
        <w:rPr>
          <w:spacing w:val="-18"/>
        </w:rPr>
        <w:t> </w:t>
      </w:r>
      <w:r>
        <w:rPr/>
        <w:t>million grant for the INFLATE study, investigating middle-ear infections in urban Aboriginal children.</w:t>
      </w:r>
      <w:r>
        <w:rPr>
          <w:spacing w:val="-16"/>
        </w:rPr>
        <w:t> </w:t>
      </w:r>
      <w:r>
        <w:rPr/>
        <w:t>A</w:t>
      </w:r>
      <w:r>
        <w:rPr>
          <w:spacing w:val="-16"/>
        </w:rPr>
        <w:t> </w:t>
      </w:r>
      <w:r>
        <w:rPr/>
        <w:t>number</w:t>
      </w:r>
      <w:r>
        <w:rPr>
          <w:spacing w:val="-16"/>
        </w:rPr>
        <w:t> </w:t>
      </w:r>
      <w:r>
        <w:rPr/>
        <w:t>of</w:t>
      </w:r>
      <w:r>
        <w:rPr>
          <w:spacing w:val="-16"/>
        </w:rPr>
        <w:t> </w:t>
      </w:r>
      <w:r>
        <w:rPr/>
        <w:t>other</w:t>
      </w:r>
      <w:r>
        <w:rPr>
          <w:spacing w:val="-16"/>
        </w:rPr>
        <w:t> </w:t>
      </w:r>
      <w:r>
        <w:rPr/>
        <w:t>staff</w:t>
      </w:r>
      <w:r>
        <w:rPr>
          <w:spacing w:val="-16"/>
        </w:rPr>
        <w:t> </w:t>
      </w:r>
      <w:r>
        <w:rPr/>
        <w:t>members</w:t>
      </w:r>
    </w:p>
    <w:p>
      <w:pPr>
        <w:pStyle w:val="BodyText"/>
        <w:spacing w:line="249" w:lineRule="auto"/>
        <w:ind w:left="107" w:right="352"/>
      </w:pPr>
      <w:r>
        <w:rPr/>
        <w:t>are also working on grants administered by other institutions across the country,</w:t>
      </w:r>
    </w:p>
    <w:p>
      <w:pPr>
        <w:pStyle w:val="BodyText"/>
        <w:spacing w:line="249" w:lineRule="auto"/>
        <w:ind w:left="107" w:right="-2"/>
      </w:pPr>
      <w:r>
        <w:rPr/>
        <w:t>highlighting the School’s strong commitment to partnership.</w:t>
      </w:r>
    </w:p>
    <w:p>
      <w:pPr>
        <w:pStyle w:val="BodyText"/>
        <w:rPr>
          <w:sz w:val="14"/>
        </w:rPr>
      </w:pPr>
    </w:p>
    <w:p>
      <w:pPr>
        <w:pStyle w:val="BodyText"/>
        <w:spacing w:line="249" w:lineRule="auto"/>
        <w:ind w:left="107" w:right="281"/>
      </w:pPr>
      <w:r>
        <w:rPr>
          <w:spacing w:val="2"/>
        </w:rPr>
        <w:t>Forty </w:t>
      </w:r>
      <w:r>
        <w:rPr/>
        <w:t>graduates – including three new graduates</w:t>
      </w:r>
      <w:r>
        <w:rPr>
          <w:spacing w:val="-16"/>
        </w:rPr>
        <w:t> </w:t>
      </w:r>
      <w:r>
        <w:rPr/>
        <w:t>in</w:t>
      </w:r>
      <w:r>
        <w:rPr>
          <w:spacing w:val="-16"/>
        </w:rPr>
        <w:t> </w:t>
      </w:r>
      <w:r>
        <w:rPr/>
        <w:t>December</w:t>
      </w:r>
      <w:r>
        <w:rPr>
          <w:spacing w:val="-16"/>
        </w:rPr>
        <w:t> </w:t>
      </w:r>
      <w:r>
        <w:rPr/>
        <w:t>–</w:t>
      </w:r>
      <w:r>
        <w:rPr>
          <w:spacing w:val="-16"/>
        </w:rPr>
        <w:t> </w:t>
      </w:r>
      <w:r>
        <w:rPr/>
        <w:t>have</w:t>
      </w:r>
      <w:r>
        <w:rPr>
          <w:spacing w:val="-16"/>
        </w:rPr>
        <w:t> </w:t>
      </w:r>
      <w:r>
        <w:rPr/>
        <w:t>completed a Doctor of Philosophy and this number </w:t>
      </w:r>
      <w:r>
        <w:rPr>
          <w:spacing w:val="1"/>
          <w:w w:val="97"/>
        </w:rPr>
        <w:t>continues</w:t>
      </w:r>
      <w:r>
        <w:rPr>
          <w:w w:val="97"/>
        </w:rPr>
        <w:t> </w:t>
      </w:r>
      <w:r>
        <w:rPr>
          <w:spacing w:val="-1"/>
          <w:w w:val="101"/>
        </w:rPr>
        <w:t>to</w:t>
      </w:r>
      <w:r>
        <w:rPr>
          <w:w w:val="101"/>
        </w:rPr>
        <w:t> </w:t>
      </w:r>
      <w:r>
        <w:rPr>
          <w:spacing w:val="-1"/>
          <w:w w:val="93"/>
        </w:rPr>
        <w:t>grow.</w:t>
      </w:r>
      <w:r>
        <w:rPr>
          <w:w w:val="93"/>
        </w:rPr>
        <w:t> </w:t>
      </w:r>
      <w:r>
        <w:rPr>
          <w:spacing w:val="1"/>
          <w:w w:val="97"/>
        </w:rPr>
        <w:t>More</w:t>
      </w:r>
      <w:r>
        <w:rPr>
          <w:w w:val="97"/>
        </w:rPr>
        <w:t> </w:t>
      </w:r>
      <w:r>
        <w:rPr>
          <w:spacing w:val="1"/>
          <w:w w:val="97"/>
        </w:rPr>
        <w:t>than</w:t>
      </w:r>
      <w:r>
        <w:rPr>
          <w:w w:val="97"/>
        </w:rPr>
        <w:t> </w:t>
      </w:r>
      <w:r>
        <w:rPr>
          <w:spacing w:val="2"/>
          <w:w w:val="73"/>
        </w:rPr>
        <w:t>110</w:t>
      </w:r>
      <w:r>
        <w:rPr>
          <w:w w:val="73"/>
        </w:rPr>
        <w:t> </w:t>
      </w:r>
      <w:r>
        <w:rPr>
          <w:spacing w:val="1"/>
          <w:w w:val="96"/>
        </w:rPr>
        <w:t>research</w:t>
      </w:r>
      <w:r>
        <w:rPr>
          <w:w w:val="96"/>
        </w:rPr>
        <w:t> </w:t>
      </w:r>
      <w:r>
        <w:rPr/>
        <w:t>students have undertaken studies across the</w:t>
      </w:r>
      <w:r>
        <w:rPr>
          <w:spacing w:val="-19"/>
        </w:rPr>
        <w:t> </w:t>
      </w:r>
      <w:r>
        <w:rPr/>
        <w:t>School,</w:t>
      </w:r>
      <w:r>
        <w:rPr>
          <w:spacing w:val="-19"/>
        </w:rPr>
        <w:t> </w:t>
      </w:r>
      <w:r>
        <w:rPr/>
        <w:t>the</w:t>
      </w:r>
      <w:r>
        <w:rPr>
          <w:spacing w:val="-19"/>
        </w:rPr>
        <w:t> </w:t>
      </w:r>
      <w:r>
        <w:rPr/>
        <w:t>Centre</w:t>
      </w:r>
      <w:r>
        <w:rPr>
          <w:spacing w:val="-19"/>
        </w:rPr>
        <w:t> </w:t>
      </w:r>
      <w:r>
        <w:rPr/>
        <w:t>for</w:t>
      </w:r>
      <w:r>
        <w:rPr>
          <w:spacing w:val="-19"/>
        </w:rPr>
        <w:t> </w:t>
      </w:r>
      <w:r>
        <w:rPr/>
        <w:t>Health</w:t>
      </w:r>
      <w:r>
        <w:rPr>
          <w:spacing w:val="-19"/>
        </w:rPr>
        <w:t> </w:t>
      </w:r>
      <w:r>
        <w:rPr/>
        <w:t>Research</w:t>
      </w:r>
    </w:p>
    <w:p>
      <w:pPr>
        <w:pStyle w:val="BodyText"/>
        <w:spacing w:line="249" w:lineRule="auto"/>
        <w:ind w:left="107" w:right="-2"/>
      </w:pPr>
      <w:r>
        <w:rPr/>
        <w:t>and the Molecular Medicine Research Group. This is indicative of the breadth and depth of research</w:t>
      </w:r>
      <w:r>
        <w:rPr>
          <w:spacing w:val="-20"/>
        </w:rPr>
        <w:t> </w:t>
      </w:r>
      <w:r>
        <w:rPr/>
        <w:t>activity</w:t>
      </w:r>
      <w:r>
        <w:rPr>
          <w:spacing w:val="-20"/>
        </w:rPr>
        <w:t> </w:t>
      </w:r>
      <w:r>
        <w:rPr/>
        <w:t>underway,</w:t>
      </w:r>
      <w:r>
        <w:rPr>
          <w:spacing w:val="-20"/>
        </w:rPr>
        <w:t> </w:t>
      </w:r>
      <w:r>
        <w:rPr/>
        <w:t>and</w:t>
      </w:r>
      <w:r>
        <w:rPr>
          <w:spacing w:val="-20"/>
        </w:rPr>
        <w:t> </w:t>
      </w:r>
      <w:r>
        <w:rPr/>
        <w:t>demonstrates how staff members and students alike are contributing to external measures of quality, including the University’s outstanding Excellence in Research Activity results for </w:t>
      </w:r>
      <w:r>
        <w:rPr>
          <w:spacing w:val="2"/>
          <w:w w:val="85"/>
        </w:rPr>
        <w:t>2016.</w:t>
      </w:r>
    </w:p>
    <w:p>
      <w:pPr>
        <w:pStyle w:val="BodyText"/>
        <w:rPr>
          <w:sz w:val="14"/>
        </w:rPr>
      </w:pPr>
    </w:p>
    <w:p>
      <w:pPr>
        <w:pStyle w:val="BodyText"/>
        <w:spacing w:line="249" w:lineRule="auto"/>
        <w:ind w:left="107" w:right="-2"/>
      </w:pPr>
      <w:r>
        <w:rPr/>
        <w:t>Professor David Simmons has attracted multiple grants in his role directing diabetes research</w:t>
      </w:r>
      <w:r>
        <w:rPr>
          <w:spacing w:val="-17"/>
        </w:rPr>
        <w:t> </w:t>
      </w:r>
      <w:r>
        <w:rPr/>
        <w:t>with</w:t>
      </w:r>
      <w:r>
        <w:rPr>
          <w:spacing w:val="-17"/>
        </w:rPr>
        <w:t> </w:t>
      </w:r>
      <w:r>
        <w:rPr/>
        <w:t>a</w:t>
      </w:r>
      <w:r>
        <w:rPr>
          <w:spacing w:val="-17"/>
        </w:rPr>
        <w:t> </w:t>
      </w:r>
      <w:r>
        <w:rPr/>
        <w:t>strong</w:t>
      </w:r>
      <w:r>
        <w:rPr>
          <w:spacing w:val="-17"/>
        </w:rPr>
        <w:t> </w:t>
      </w:r>
      <w:r>
        <w:rPr/>
        <w:t>community</w:t>
      </w:r>
      <w:r>
        <w:rPr>
          <w:spacing w:val="-17"/>
        </w:rPr>
        <w:t> </w:t>
      </w:r>
      <w:r>
        <w:rPr/>
        <w:t>connection. By developing collaborations, he has also helped develop the best evidence base for caring for the local communities in which the School</w:t>
      </w:r>
      <w:r>
        <w:rPr>
          <w:spacing w:val="-18"/>
        </w:rPr>
        <w:t> </w:t>
      </w:r>
      <w:r>
        <w:rPr/>
        <w:t>works.</w:t>
      </w:r>
    </w:p>
    <w:p>
      <w:pPr>
        <w:pStyle w:val="BodyText"/>
        <w:rPr>
          <w:sz w:val="14"/>
        </w:rPr>
      </w:pPr>
    </w:p>
    <w:p>
      <w:pPr>
        <w:pStyle w:val="BodyText"/>
        <w:spacing w:line="249" w:lineRule="auto"/>
        <w:ind w:left="107" w:right="412"/>
        <w:jc w:val="both"/>
      </w:pPr>
      <w:r>
        <w:rPr/>
        <w:t>The</w:t>
      </w:r>
      <w:r>
        <w:rPr>
          <w:spacing w:val="-21"/>
        </w:rPr>
        <w:t> </w:t>
      </w:r>
      <w:r>
        <w:rPr/>
        <w:t>School’s</w:t>
      </w:r>
      <w:r>
        <w:rPr>
          <w:spacing w:val="-21"/>
        </w:rPr>
        <w:t> </w:t>
      </w:r>
      <w:r>
        <w:rPr>
          <w:spacing w:val="2"/>
        </w:rPr>
        <w:t>Dean,</w:t>
      </w:r>
      <w:r>
        <w:rPr>
          <w:spacing w:val="-21"/>
        </w:rPr>
        <w:t> </w:t>
      </w:r>
      <w:r>
        <w:rPr/>
        <w:t>Professor</w:t>
      </w:r>
      <w:r>
        <w:rPr>
          <w:spacing w:val="-21"/>
        </w:rPr>
        <w:t> </w:t>
      </w:r>
      <w:r>
        <w:rPr/>
        <w:t>Annemarie Hennessy,</w:t>
      </w:r>
      <w:r>
        <w:rPr>
          <w:spacing w:val="-28"/>
        </w:rPr>
        <w:t> </w:t>
      </w:r>
      <w:r>
        <w:rPr/>
        <w:t>presented</w:t>
      </w:r>
      <w:r>
        <w:rPr>
          <w:spacing w:val="-28"/>
        </w:rPr>
        <w:t> </w:t>
      </w:r>
      <w:r>
        <w:rPr/>
        <w:t>at</w:t>
      </w:r>
      <w:r>
        <w:rPr>
          <w:spacing w:val="-28"/>
        </w:rPr>
        <w:t> </w:t>
      </w:r>
      <w:r>
        <w:rPr/>
        <w:t>the</w:t>
      </w:r>
      <w:r>
        <w:rPr>
          <w:spacing w:val="-28"/>
        </w:rPr>
        <w:t> </w:t>
      </w:r>
      <w:r>
        <w:rPr/>
        <w:t>International Society</w:t>
      </w:r>
      <w:r>
        <w:rPr>
          <w:spacing w:val="-12"/>
        </w:rPr>
        <w:t> </w:t>
      </w:r>
      <w:r>
        <w:rPr/>
        <w:t>for</w:t>
      </w:r>
      <w:r>
        <w:rPr>
          <w:spacing w:val="-12"/>
        </w:rPr>
        <w:t> </w:t>
      </w:r>
      <w:r>
        <w:rPr/>
        <w:t>the</w:t>
      </w:r>
      <w:r>
        <w:rPr>
          <w:spacing w:val="-12"/>
        </w:rPr>
        <w:t> </w:t>
      </w:r>
      <w:r>
        <w:rPr/>
        <w:t>Study</w:t>
      </w:r>
      <w:r>
        <w:rPr>
          <w:spacing w:val="-12"/>
        </w:rPr>
        <w:t> </w:t>
      </w:r>
      <w:r>
        <w:rPr/>
        <w:t>of</w:t>
      </w:r>
      <w:r>
        <w:rPr>
          <w:spacing w:val="-12"/>
        </w:rPr>
        <w:t> </w:t>
      </w:r>
      <w:r>
        <w:rPr/>
        <w:t>Hypertension</w:t>
      </w:r>
    </w:p>
    <w:p>
      <w:pPr>
        <w:pStyle w:val="BodyText"/>
        <w:spacing w:line="249" w:lineRule="auto"/>
        <w:ind w:left="107" w:right="-2"/>
      </w:pPr>
      <w:r>
        <w:rPr/>
        <w:t>in Pregnancy, alongside fellow keynote speakers Professor Chris Redman from the University of Oxford, Associate Professor Ananth Karumanchi from Harvard University and Stefan Hansson from Lund University in Sweden.</w:t>
      </w:r>
    </w:p>
    <w:p>
      <w:pPr>
        <w:pStyle w:val="BodyText"/>
        <w:rPr>
          <w:sz w:val="14"/>
        </w:rPr>
      </w:pPr>
    </w:p>
    <w:p>
      <w:pPr>
        <w:pStyle w:val="BodyText"/>
        <w:spacing w:line="249" w:lineRule="auto"/>
        <w:ind w:left="107"/>
        <w:jc w:val="both"/>
      </w:pPr>
      <w:r>
        <w:rPr/>
        <w:t>Professor</w:t>
      </w:r>
      <w:r>
        <w:rPr>
          <w:spacing w:val="-16"/>
        </w:rPr>
        <w:t> </w:t>
      </w:r>
      <w:r>
        <w:rPr/>
        <w:t>Iain</w:t>
      </w:r>
      <w:r>
        <w:rPr>
          <w:spacing w:val="-16"/>
        </w:rPr>
        <w:t> </w:t>
      </w:r>
      <w:r>
        <w:rPr/>
        <w:t>Gosbell</w:t>
      </w:r>
      <w:r>
        <w:rPr>
          <w:spacing w:val="-16"/>
        </w:rPr>
        <w:t> </w:t>
      </w:r>
      <w:r>
        <w:rPr/>
        <w:t>and</w:t>
      </w:r>
      <w:r>
        <w:rPr>
          <w:spacing w:val="-16"/>
        </w:rPr>
        <w:t> </w:t>
      </w:r>
      <w:r>
        <w:rPr/>
        <w:t>Associate</w:t>
      </w:r>
      <w:r>
        <w:rPr>
          <w:spacing w:val="-16"/>
        </w:rPr>
        <w:t> </w:t>
      </w:r>
      <w:r>
        <w:rPr/>
        <w:t>Professor Kevin</w:t>
      </w:r>
      <w:r>
        <w:rPr>
          <w:spacing w:val="-18"/>
        </w:rPr>
        <w:t> </w:t>
      </w:r>
      <w:r>
        <w:rPr/>
        <w:t>Spring</w:t>
      </w:r>
      <w:r>
        <w:rPr>
          <w:spacing w:val="-18"/>
        </w:rPr>
        <w:t> </w:t>
      </w:r>
      <w:r>
        <w:rPr/>
        <w:t>were</w:t>
      </w:r>
      <w:r>
        <w:rPr>
          <w:spacing w:val="-18"/>
        </w:rPr>
        <w:t> </w:t>
      </w:r>
      <w:r>
        <w:rPr/>
        <w:t>recognised</w:t>
      </w:r>
      <w:r>
        <w:rPr>
          <w:spacing w:val="-18"/>
        </w:rPr>
        <w:t> </w:t>
      </w:r>
      <w:r>
        <w:rPr/>
        <w:t>for</w:t>
      </w:r>
      <w:r>
        <w:rPr>
          <w:spacing w:val="-18"/>
        </w:rPr>
        <w:t> </w:t>
      </w:r>
      <w:r>
        <w:rPr/>
        <w:t>research</w:t>
      </w:r>
      <w:r>
        <w:rPr>
          <w:spacing w:val="-18"/>
        </w:rPr>
        <w:t> </w:t>
      </w:r>
      <w:r>
        <w:rPr/>
        <w:t>and teaching</w:t>
      </w:r>
      <w:r>
        <w:rPr>
          <w:spacing w:val="-25"/>
        </w:rPr>
        <w:t> </w:t>
      </w:r>
      <w:r>
        <w:rPr/>
        <w:t>achievements</w:t>
      </w:r>
      <w:r>
        <w:rPr>
          <w:spacing w:val="-25"/>
        </w:rPr>
        <w:t> </w:t>
      </w:r>
      <w:r>
        <w:rPr/>
        <w:t>at</w:t>
      </w:r>
      <w:r>
        <w:rPr>
          <w:spacing w:val="-25"/>
        </w:rPr>
        <w:t> </w:t>
      </w:r>
      <w:r>
        <w:rPr/>
        <w:t>the</w:t>
      </w:r>
      <w:r>
        <w:rPr>
          <w:spacing w:val="-25"/>
        </w:rPr>
        <w:t> </w:t>
      </w:r>
      <w:r>
        <w:rPr/>
        <w:t>Ingham</w:t>
      </w:r>
      <w:r>
        <w:rPr>
          <w:spacing w:val="-25"/>
        </w:rPr>
        <w:t> </w:t>
      </w:r>
      <w:r>
        <w:rPr/>
        <w:t>Institute for</w:t>
      </w:r>
      <w:r>
        <w:rPr>
          <w:spacing w:val="-15"/>
        </w:rPr>
        <w:t> </w:t>
      </w:r>
      <w:r>
        <w:rPr/>
        <w:t>Applied</w:t>
      </w:r>
      <w:r>
        <w:rPr>
          <w:spacing w:val="-15"/>
        </w:rPr>
        <w:t> </w:t>
      </w:r>
      <w:r>
        <w:rPr/>
        <w:t>Medical</w:t>
      </w:r>
      <w:r>
        <w:rPr>
          <w:spacing w:val="-15"/>
        </w:rPr>
        <w:t> </w:t>
      </w:r>
      <w:r>
        <w:rPr/>
        <w:t>Research</w:t>
      </w:r>
      <w:r>
        <w:rPr>
          <w:spacing w:val="-15"/>
        </w:rPr>
        <w:t> </w:t>
      </w:r>
      <w:r>
        <w:rPr/>
        <w:t>awards</w:t>
      </w:r>
      <w:r>
        <w:rPr>
          <w:spacing w:val="-15"/>
        </w:rPr>
        <w:t> </w:t>
      </w:r>
      <w:r>
        <w:rPr/>
        <w:t>night.</w:t>
      </w:r>
    </w:p>
    <w:p>
      <w:pPr>
        <w:pStyle w:val="BodyText"/>
        <w:spacing w:line="249" w:lineRule="auto"/>
        <w:ind w:left="107" w:right="-2"/>
      </w:pPr>
      <w:r>
        <w:rPr/>
        <w:t>This was in recognition of their work and discoveries</w:t>
      </w:r>
      <w:r>
        <w:rPr>
          <w:spacing w:val="-16"/>
        </w:rPr>
        <w:t> </w:t>
      </w:r>
      <w:r>
        <w:rPr/>
        <w:t>in</w:t>
      </w:r>
      <w:r>
        <w:rPr>
          <w:spacing w:val="-16"/>
        </w:rPr>
        <w:t> </w:t>
      </w:r>
      <w:r>
        <w:rPr/>
        <w:t>bacterial</w:t>
      </w:r>
      <w:r>
        <w:rPr>
          <w:spacing w:val="-16"/>
        </w:rPr>
        <w:t> </w:t>
      </w:r>
      <w:r>
        <w:rPr/>
        <w:t>film</w:t>
      </w:r>
      <w:r>
        <w:rPr>
          <w:spacing w:val="-16"/>
        </w:rPr>
        <w:t> </w:t>
      </w:r>
      <w:r>
        <w:rPr/>
        <w:t>(coating</w:t>
      </w:r>
      <w:r>
        <w:rPr>
          <w:spacing w:val="-16"/>
        </w:rPr>
        <w:t> </w:t>
      </w:r>
      <w:r>
        <w:rPr/>
        <w:t>everyday surfaces)</w:t>
      </w:r>
      <w:r>
        <w:rPr>
          <w:spacing w:val="-18"/>
        </w:rPr>
        <w:t> </w:t>
      </w:r>
      <w:r>
        <w:rPr/>
        <w:t>and</w:t>
      </w:r>
      <w:r>
        <w:rPr>
          <w:spacing w:val="-18"/>
        </w:rPr>
        <w:t> </w:t>
      </w:r>
      <w:r>
        <w:rPr/>
        <w:t>liquid</w:t>
      </w:r>
      <w:r>
        <w:rPr>
          <w:spacing w:val="-18"/>
        </w:rPr>
        <w:t> </w:t>
      </w:r>
      <w:r>
        <w:rPr/>
        <w:t>biopsy</w:t>
      </w:r>
      <w:r>
        <w:rPr>
          <w:spacing w:val="-18"/>
        </w:rPr>
        <w:t> </w:t>
      </w:r>
      <w:r>
        <w:rPr/>
        <w:t>(circulating</w:t>
      </w:r>
      <w:r>
        <w:rPr>
          <w:spacing w:val="-18"/>
        </w:rPr>
        <w:t> </w:t>
      </w:r>
      <w:r>
        <w:rPr/>
        <w:t>tumour </w:t>
      </w:r>
      <w:r>
        <w:rPr>
          <w:w w:val="95"/>
        </w:rPr>
        <w:t>cells)</w:t>
      </w:r>
      <w:r>
        <w:rPr>
          <w:spacing w:val="28"/>
          <w:w w:val="95"/>
        </w:rPr>
        <w:t> </w:t>
      </w:r>
      <w:r>
        <w:rPr>
          <w:w w:val="95"/>
        </w:rPr>
        <w:t>technologies.</w:t>
      </w:r>
    </w:p>
    <w:p>
      <w:pPr>
        <w:pStyle w:val="BodyText"/>
        <w:spacing w:before="9"/>
      </w:pPr>
      <w:r>
        <w:rPr/>
        <w:br w:type="column"/>
      </w:r>
      <w:r>
        <w:rPr/>
      </w:r>
    </w:p>
    <w:p>
      <w:pPr>
        <w:pStyle w:val="BodyText"/>
        <w:spacing w:line="249" w:lineRule="auto" w:before="1"/>
        <w:ind w:left="107" w:right="81"/>
      </w:pPr>
      <w:r>
        <w:rPr/>
        <w:t>Western Sydney University and its health research partnerships are </w:t>
      </w:r>
      <w:r>
        <w:rPr>
          <w:spacing w:val="2"/>
        </w:rPr>
        <w:t>part </w:t>
      </w:r>
      <w:r>
        <w:rPr/>
        <w:t>of the Advanced Health Science Partnership, joining 14</w:t>
      </w:r>
      <w:r>
        <w:rPr>
          <w:spacing w:val="-23"/>
        </w:rPr>
        <w:t> </w:t>
      </w:r>
      <w:r>
        <w:rPr/>
        <w:t>partners</w:t>
      </w:r>
      <w:r>
        <w:rPr>
          <w:spacing w:val="-23"/>
        </w:rPr>
        <w:t> </w:t>
      </w:r>
      <w:r>
        <w:rPr/>
        <w:t>across</w:t>
      </w:r>
      <w:r>
        <w:rPr>
          <w:spacing w:val="-23"/>
        </w:rPr>
        <w:t> </w:t>
      </w:r>
      <w:r>
        <w:rPr/>
        <w:t>south-eastern</w:t>
      </w:r>
      <w:r>
        <w:rPr>
          <w:spacing w:val="-23"/>
        </w:rPr>
        <w:t> </w:t>
      </w:r>
      <w:r>
        <w:rPr/>
        <w:t>and</w:t>
      </w:r>
      <w:r>
        <w:rPr>
          <w:spacing w:val="-23"/>
        </w:rPr>
        <w:t> </w:t>
      </w:r>
      <w:r>
        <w:rPr/>
        <w:t>southern Western Sydney to support greater research translation</w:t>
      </w:r>
      <w:r>
        <w:rPr>
          <w:spacing w:val="-20"/>
        </w:rPr>
        <w:t> </w:t>
      </w:r>
      <w:r>
        <w:rPr/>
        <w:t>and</w:t>
      </w:r>
      <w:r>
        <w:rPr>
          <w:spacing w:val="-20"/>
        </w:rPr>
        <w:t> </w:t>
      </w:r>
      <w:r>
        <w:rPr/>
        <w:t>improved</w:t>
      </w:r>
      <w:r>
        <w:rPr>
          <w:spacing w:val="-20"/>
        </w:rPr>
        <w:t> </w:t>
      </w:r>
      <w:r>
        <w:rPr/>
        <w:t>local</w:t>
      </w:r>
      <w:r>
        <w:rPr>
          <w:spacing w:val="-20"/>
        </w:rPr>
        <w:t> </w:t>
      </w:r>
      <w:r>
        <w:rPr/>
        <w:t>health</w:t>
      </w:r>
      <w:r>
        <w:rPr>
          <w:spacing w:val="-20"/>
        </w:rPr>
        <w:t> </w:t>
      </w:r>
      <w:r>
        <w:rPr/>
        <w:t>care.</w:t>
      </w:r>
    </w:p>
    <w:p>
      <w:pPr>
        <w:pStyle w:val="BodyText"/>
        <w:spacing w:before="3"/>
        <w:rPr>
          <w:sz w:val="19"/>
        </w:rPr>
      </w:pPr>
    </w:p>
    <w:p>
      <w:pPr>
        <w:pStyle w:val="Heading7"/>
        <w:ind w:right="460"/>
      </w:pPr>
      <w:r>
        <w:rPr/>
        <w:t>ENGAGEMENT</w:t>
      </w:r>
    </w:p>
    <w:p>
      <w:pPr>
        <w:pStyle w:val="BodyText"/>
        <w:spacing w:line="249" w:lineRule="auto" w:before="58"/>
        <w:ind w:left="107" w:right="11"/>
      </w:pPr>
      <w:r>
        <w:rPr>
          <w:w w:val="97"/>
        </w:rPr>
        <w:t>Throughout </w:t>
      </w:r>
      <w:r>
        <w:rPr>
          <w:w w:val="85"/>
        </w:rPr>
        <w:t>2016, </w:t>
      </w:r>
      <w:r>
        <w:rPr>
          <w:w w:val="97"/>
        </w:rPr>
        <w:t>the </w:t>
      </w:r>
      <w:r>
        <w:rPr>
          <w:w w:val="98"/>
        </w:rPr>
        <w:t>School </w:t>
      </w:r>
      <w:r>
        <w:rPr>
          <w:w w:val="99"/>
        </w:rPr>
        <w:t>of </w:t>
      </w:r>
      <w:r>
        <w:rPr>
          <w:w w:val="97"/>
        </w:rPr>
        <w:t>Medicine </w:t>
      </w:r>
      <w:r>
        <w:rPr>
          <w:w w:val="97"/>
        </w:rPr>
        <w:t>held </w:t>
      </w:r>
      <w:r>
        <w:rPr/>
        <w:t>community forums on the Campbelltown campus, at Blacktown/Mount Druitt Clinical School and at Liverpool Hospital. These events featured various speakers and presentations, including an update on the new MD transition program, alumni community project awards and new curriculum developments. Once again, community ideas have translated into new approaches to curriculum planning, this time regarding future student projects and patient/carer shadowing for students in the clinical phase of their studies.</w:t>
      </w:r>
    </w:p>
    <w:p>
      <w:pPr>
        <w:pStyle w:val="BodyText"/>
        <w:rPr>
          <w:sz w:val="14"/>
        </w:rPr>
      </w:pPr>
    </w:p>
    <w:p>
      <w:pPr>
        <w:pStyle w:val="BodyText"/>
        <w:spacing w:line="249" w:lineRule="auto"/>
        <w:ind w:left="107" w:right="124"/>
      </w:pPr>
      <w:r>
        <w:rPr/>
        <w:t>There are many other ways the community can participate in the operation and activities of the School. These include interviews during the admissions process, examination programs and membership of School committees.</w:t>
      </w:r>
    </w:p>
    <w:p>
      <w:pPr>
        <w:pStyle w:val="BodyText"/>
        <w:rPr>
          <w:sz w:val="14"/>
        </w:rPr>
      </w:pPr>
    </w:p>
    <w:p>
      <w:pPr>
        <w:pStyle w:val="BodyText"/>
        <w:spacing w:line="249" w:lineRule="auto"/>
        <w:ind w:left="107" w:right="146"/>
      </w:pPr>
      <w:r>
        <w:rPr/>
        <w:t>Students also use their developing knowledge</w:t>
      </w:r>
      <w:r>
        <w:rPr>
          <w:spacing w:val="-16"/>
        </w:rPr>
        <w:t> </w:t>
      </w:r>
      <w:r>
        <w:rPr/>
        <w:t>and</w:t>
      </w:r>
      <w:r>
        <w:rPr>
          <w:spacing w:val="-16"/>
        </w:rPr>
        <w:t> </w:t>
      </w:r>
      <w:r>
        <w:rPr/>
        <w:t>skills</w:t>
      </w:r>
      <w:r>
        <w:rPr>
          <w:spacing w:val="-16"/>
        </w:rPr>
        <w:t> </w:t>
      </w:r>
      <w:r>
        <w:rPr/>
        <w:t>in</w:t>
      </w:r>
      <w:r>
        <w:rPr>
          <w:spacing w:val="-16"/>
        </w:rPr>
        <w:t> </w:t>
      </w:r>
      <w:r>
        <w:rPr/>
        <w:t>organising</w:t>
      </w:r>
      <w:r>
        <w:rPr>
          <w:spacing w:val="-16"/>
        </w:rPr>
        <w:t> </w:t>
      </w:r>
      <w:r>
        <w:rPr/>
        <w:t>community </w:t>
      </w:r>
      <w:r>
        <w:rPr>
          <w:spacing w:val="1"/>
          <w:w w:val="97"/>
        </w:rPr>
        <w:t>engagement</w:t>
      </w:r>
      <w:r>
        <w:rPr>
          <w:w w:val="97"/>
        </w:rPr>
        <w:t> </w:t>
      </w:r>
      <w:r>
        <w:rPr>
          <w:spacing w:val="1"/>
          <w:w w:val="95"/>
        </w:rPr>
        <w:t>activities.</w:t>
      </w:r>
      <w:r>
        <w:rPr>
          <w:w w:val="95"/>
        </w:rPr>
        <w:t> </w:t>
      </w:r>
      <w:r>
        <w:rPr>
          <w:spacing w:val="1"/>
          <w:w w:val="80"/>
        </w:rPr>
        <w:t>In</w:t>
      </w:r>
      <w:r>
        <w:rPr>
          <w:w w:val="80"/>
        </w:rPr>
        <w:t> </w:t>
      </w:r>
      <w:r>
        <w:rPr>
          <w:spacing w:val="2"/>
          <w:w w:val="85"/>
        </w:rPr>
        <w:t>2016,</w:t>
      </w:r>
      <w:r>
        <w:rPr>
          <w:w w:val="85"/>
        </w:rPr>
        <w:t> </w:t>
      </w:r>
      <w:r>
        <w:rPr>
          <w:w w:val="97"/>
        </w:rPr>
        <w:t>this </w:t>
      </w:r>
      <w:r>
        <w:rPr>
          <w:spacing w:val="1"/>
          <w:w w:val="98"/>
        </w:rPr>
        <w:t>included</w:t>
      </w:r>
      <w:r>
        <w:rPr>
          <w:w w:val="98"/>
        </w:rPr>
        <w:t> </w:t>
      </w:r>
      <w:r>
        <w:rPr/>
        <w:t>conducting sexual and drug health surveys </w:t>
      </w:r>
      <w:r>
        <w:rPr>
          <w:spacing w:val="-3"/>
        </w:rPr>
        <w:t>(as </w:t>
      </w:r>
      <w:r>
        <w:rPr>
          <w:spacing w:val="2"/>
        </w:rPr>
        <w:t>part </w:t>
      </w:r>
      <w:r>
        <w:rPr/>
        <w:t>of an interprofessional learning experience) at a music festival. The first project directed by students and the community, at Tharawal Aboriginal Medical </w:t>
      </w:r>
      <w:r>
        <w:rPr>
          <w:spacing w:val="1"/>
          <w:w w:val="94"/>
        </w:rPr>
        <w:t>Service,</w:t>
      </w:r>
      <w:r>
        <w:rPr>
          <w:w w:val="94"/>
        </w:rPr>
        <w:t> </w:t>
      </w:r>
      <w:r>
        <w:rPr>
          <w:w w:val="96"/>
        </w:rPr>
        <w:t>was </w:t>
      </w:r>
      <w:r>
        <w:rPr>
          <w:spacing w:val="1"/>
          <w:w w:val="97"/>
        </w:rPr>
        <w:t>presented</w:t>
      </w:r>
      <w:r>
        <w:rPr>
          <w:w w:val="97"/>
        </w:rPr>
        <w:t> </w:t>
      </w:r>
      <w:r>
        <w:rPr>
          <w:w w:val="95"/>
        </w:rPr>
        <w:t>in </w:t>
      </w:r>
      <w:r>
        <w:rPr>
          <w:spacing w:val="1"/>
          <w:w w:val="98"/>
        </w:rPr>
        <w:t>November</w:t>
      </w:r>
      <w:r>
        <w:rPr>
          <w:w w:val="98"/>
        </w:rPr>
        <w:t> </w:t>
      </w:r>
      <w:r>
        <w:rPr>
          <w:spacing w:val="1"/>
          <w:w w:val="90"/>
        </w:rPr>
        <w:t>2016</w:t>
      </w:r>
      <w:r>
        <w:rPr>
          <w:w w:val="90"/>
        </w:rPr>
        <w:t> </w:t>
      </w:r>
      <w:r>
        <w:rPr>
          <w:w w:val="98"/>
        </w:rPr>
        <w:t>at </w:t>
      </w:r>
      <w:r>
        <w:rPr/>
        <w:t>the High Blood Pressure Research Council of Australia in </w:t>
      </w:r>
      <w:r>
        <w:rPr>
          <w:spacing w:val="2"/>
        </w:rPr>
        <w:t>Hobart. </w:t>
      </w:r>
      <w:r>
        <w:rPr/>
        <w:t>This study examined the important community-based risk factors for high</w:t>
      </w:r>
      <w:r>
        <w:rPr>
          <w:spacing w:val="-19"/>
        </w:rPr>
        <w:t> </w:t>
      </w:r>
      <w:r>
        <w:rPr/>
        <w:t>blood</w:t>
      </w:r>
      <w:r>
        <w:rPr>
          <w:spacing w:val="-19"/>
        </w:rPr>
        <w:t> </w:t>
      </w:r>
      <w:r>
        <w:rPr/>
        <w:t>pressure</w:t>
      </w:r>
      <w:r>
        <w:rPr>
          <w:spacing w:val="-19"/>
        </w:rPr>
        <w:t> </w:t>
      </w:r>
      <w:r>
        <w:rPr/>
        <w:t>during</w:t>
      </w:r>
      <w:r>
        <w:rPr>
          <w:spacing w:val="-19"/>
        </w:rPr>
        <w:t> </w:t>
      </w:r>
      <w:r>
        <w:rPr/>
        <w:t>pregnancy.</w:t>
      </w:r>
      <w:r>
        <w:rPr>
          <w:spacing w:val="-19"/>
        </w:rPr>
        <w:t> </w:t>
      </w:r>
      <w:r>
        <w:rPr/>
        <w:t>The</w:t>
      </w:r>
    </w:p>
    <w:p>
      <w:pPr>
        <w:pStyle w:val="BodyText"/>
        <w:spacing w:line="249" w:lineRule="auto"/>
        <w:ind w:left="107" w:right="55"/>
      </w:pPr>
      <w:r>
        <w:rPr/>
        <w:t>study was awarded an ANZ Health–sponsored prize for Best Student Community Group Project, and factors discovered during the study will form the basis of future interactions with this community.</w:t>
      </w:r>
    </w:p>
    <w:p>
      <w:pPr>
        <w:pStyle w:val="BodyText"/>
        <w:rPr>
          <w:sz w:val="14"/>
        </w:rPr>
      </w:pPr>
    </w:p>
    <w:p>
      <w:pPr>
        <w:pStyle w:val="BodyText"/>
        <w:spacing w:line="249" w:lineRule="auto"/>
        <w:ind w:left="107" w:right="101"/>
      </w:pPr>
      <w:r>
        <w:rPr>
          <w:w w:val="80"/>
        </w:rPr>
        <w:t>In </w:t>
      </w:r>
      <w:r>
        <w:rPr>
          <w:w w:val="100"/>
        </w:rPr>
        <w:t>April </w:t>
      </w:r>
      <w:r>
        <w:rPr>
          <w:w w:val="85"/>
        </w:rPr>
        <w:t>2016, </w:t>
      </w:r>
      <w:r>
        <w:rPr>
          <w:w w:val="97"/>
        </w:rPr>
        <w:t>the </w:t>
      </w:r>
      <w:r>
        <w:rPr>
          <w:w w:val="98"/>
        </w:rPr>
        <w:t>School </w:t>
      </w:r>
      <w:r>
        <w:rPr>
          <w:w w:val="99"/>
        </w:rPr>
        <w:t>of </w:t>
      </w:r>
      <w:r>
        <w:rPr>
          <w:w w:val="97"/>
        </w:rPr>
        <w:t>Medicine </w:t>
      </w:r>
      <w:r>
        <w:rPr/>
        <w:t>participated in the Bring it On! Festival at Fairfield Showground in Prairiewood, where the School’s popular ‘Get Plastered’ stall attracted around 200 children and teenagers. Also in April, Mr Peter Hope – a Community</w:t>
      </w:r>
    </w:p>
    <w:p>
      <w:pPr>
        <w:spacing w:after="0" w:line="249" w:lineRule="auto"/>
        <w:sectPr>
          <w:type w:val="continuous"/>
          <w:pgSz w:w="11910" w:h="16840"/>
          <w:pgMar w:top="1580" w:bottom="280" w:left="800" w:right="800"/>
          <w:cols w:num="3" w:equalWidth="0">
            <w:col w:w="3320" w:space="119"/>
            <w:col w:w="3320" w:space="120"/>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405"/>
      </w:pPr>
      <w:r>
        <w:rPr/>
        <w:t>Project Officer at Fairfield City Council and the Chair of the School of Medicine</w:t>
      </w:r>
    </w:p>
    <w:p>
      <w:pPr>
        <w:pStyle w:val="BodyText"/>
        <w:spacing w:line="249" w:lineRule="auto"/>
        <w:ind w:left="107" w:right="61"/>
      </w:pPr>
      <w:r>
        <w:rPr/>
        <w:t>Community Engaged Teaching and Learning Committee – received the prestigious Young Alumni Award at the inaugural Western Sydney University Alumni Awards. Peter</w:t>
      </w:r>
    </w:p>
    <w:p>
      <w:pPr>
        <w:pStyle w:val="BodyText"/>
        <w:spacing w:line="249" w:lineRule="auto"/>
        <w:ind w:left="107" w:right="252"/>
      </w:pPr>
      <w:r>
        <w:rPr/>
        <w:t>has been involved with the School since its</w:t>
      </w:r>
      <w:r>
        <w:rPr>
          <w:spacing w:val="-16"/>
        </w:rPr>
        <w:t> </w:t>
      </w:r>
      <w:r>
        <w:rPr/>
        <w:t>conception,</w:t>
      </w:r>
      <w:r>
        <w:rPr>
          <w:spacing w:val="-16"/>
        </w:rPr>
        <w:t> </w:t>
      </w:r>
      <w:r>
        <w:rPr/>
        <w:t>and</w:t>
      </w:r>
      <w:r>
        <w:rPr>
          <w:spacing w:val="-16"/>
        </w:rPr>
        <w:t> </w:t>
      </w:r>
      <w:r>
        <w:rPr/>
        <w:t>took</w:t>
      </w:r>
      <w:r>
        <w:rPr>
          <w:spacing w:val="-16"/>
        </w:rPr>
        <w:t> </w:t>
      </w:r>
      <w:r>
        <w:rPr/>
        <w:t>an</w:t>
      </w:r>
      <w:r>
        <w:rPr>
          <w:spacing w:val="-16"/>
        </w:rPr>
        <w:t> </w:t>
      </w:r>
      <w:r>
        <w:rPr/>
        <w:t>active</w:t>
      </w:r>
      <w:r>
        <w:rPr>
          <w:spacing w:val="-16"/>
        </w:rPr>
        <w:t> </w:t>
      </w:r>
      <w:r>
        <w:rPr/>
        <w:t>role</w:t>
      </w:r>
      <w:r>
        <w:rPr>
          <w:spacing w:val="-16"/>
        </w:rPr>
        <w:t> </w:t>
      </w:r>
      <w:r>
        <w:rPr/>
        <w:t>as</w:t>
      </w:r>
      <w:r>
        <w:rPr>
          <w:spacing w:val="-16"/>
        </w:rPr>
        <w:t> </w:t>
      </w:r>
      <w:r>
        <w:rPr/>
        <w:t>a</w:t>
      </w:r>
    </w:p>
    <w:p>
      <w:pPr>
        <w:pStyle w:val="BodyText"/>
        <w:spacing w:line="249" w:lineRule="auto"/>
        <w:ind w:left="107" w:right="72"/>
      </w:pPr>
      <w:r>
        <w:rPr/>
        <w:t>community representative in the community forum during the School’s establishment.</w:t>
      </w:r>
    </w:p>
    <w:p>
      <w:pPr>
        <w:pStyle w:val="BodyText"/>
        <w:spacing w:line="249" w:lineRule="auto"/>
        <w:ind w:left="107" w:right="118"/>
      </w:pPr>
      <w:r>
        <w:rPr/>
        <w:t>Peter still serves as a guest lecturer on Youth Health in the third-year Medicine in Context program. The School congratulates Peter for his well-deserved award.</w:t>
      </w:r>
    </w:p>
    <w:p>
      <w:pPr>
        <w:pStyle w:val="BodyText"/>
        <w:rPr>
          <w:sz w:val="14"/>
        </w:rPr>
      </w:pPr>
    </w:p>
    <w:p>
      <w:pPr>
        <w:pStyle w:val="BodyText"/>
        <w:spacing w:line="249" w:lineRule="auto"/>
        <w:ind w:left="107" w:right="31"/>
      </w:pPr>
      <w:r>
        <w:rPr>
          <w:w w:val="97"/>
        </w:rPr>
        <w:t>Throughout </w:t>
      </w:r>
      <w:r>
        <w:rPr>
          <w:w w:val="85"/>
        </w:rPr>
        <w:t>2016, </w:t>
      </w:r>
      <w:r>
        <w:rPr>
          <w:w w:val="96"/>
        </w:rPr>
        <w:t>Dr </w:t>
      </w:r>
      <w:r>
        <w:rPr>
          <w:w w:val="96"/>
        </w:rPr>
        <w:t>Mark </w:t>
      </w:r>
      <w:r>
        <w:rPr>
          <w:w w:val="97"/>
        </w:rPr>
        <w:t>Hohenberg </w:t>
      </w:r>
      <w:r>
        <w:rPr>
          <w:w w:val="97"/>
        </w:rPr>
        <w:t>held </w:t>
      </w:r>
      <w:r>
        <w:rPr/>
        <w:t>community consultations with Campbelltown City Council and Wollondilly Shire Council, and Professor David Simmons continued strong engagement with Wollondilly Health Alliance. Associate Professor Angela Makris</w:t>
      </w:r>
    </w:p>
    <w:p>
      <w:pPr>
        <w:pStyle w:val="BodyText"/>
        <w:spacing w:line="249" w:lineRule="auto"/>
        <w:ind w:left="107" w:right="200"/>
      </w:pPr>
      <w:r>
        <w:rPr/>
        <w:t>–</w:t>
      </w:r>
      <w:r>
        <w:rPr>
          <w:spacing w:val="-16"/>
        </w:rPr>
        <w:t> </w:t>
      </w:r>
      <w:r>
        <w:rPr/>
        <w:t>a</w:t>
      </w:r>
      <w:r>
        <w:rPr>
          <w:spacing w:val="-16"/>
        </w:rPr>
        <w:t> </w:t>
      </w:r>
      <w:r>
        <w:rPr/>
        <w:t>valued</w:t>
      </w:r>
      <w:r>
        <w:rPr>
          <w:spacing w:val="-16"/>
        </w:rPr>
        <w:t> </w:t>
      </w:r>
      <w:r>
        <w:rPr/>
        <w:t>conjoint</w:t>
      </w:r>
      <w:r>
        <w:rPr>
          <w:spacing w:val="-16"/>
        </w:rPr>
        <w:t> </w:t>
      </w:r>
      <w:r>
        <w:rPr/>
        <w:t>and</w:t>
      </w:r>
      <w:r>
        <w:rPr>
          <w:spacing w:val="-16"/>
        </w:rPr>
        <w:t> </w:t>
      </w:r>
      <w:r>
        <w:rPr/>
        <w:t>member</w:t>
      </w:r>
      <w:r>
        <w:rPr>
          <w:spacing w:val="-16"/>
        </w:rPr>
        <w:t> </w:t>
      </w:r>
      <w:r>
        <w:rPr/>
        <w:t>of</w:t>
      </w:r>
      <w:r>
        <w:rPr>
          <w:spacing w:val="-16"/>
        </w:rPr>
        <w:t> </w:t>
      </w:r>
      <w:r>
        <w:rPr/>
        <w:t>the</w:t>
      </w:r>
      <w:r>
        <w:rPr>
          <w:spacing w:val="-16"/>
        </w:rPr>
        <w:t> </w:t>
      </w:r>
      <w:r>
        <w:rPr/>
        <w:t>Pre- eclampsia</w:t>
      </w:r>
      <w:r>
        <w:rPr>
          <w:spacing w:val="-18"/>
        </w:rPr>
        <w:t> </w:t>
      </w:r>
      <w:r>
        <w:rPr/>
        <w:t>research</w:t>
      </w:r>
      <w:r>
        <w:rPr>
          <w:spacing w:val="-18"/>
        </w:rPr>
        <w:t> </w:t>
      </w:r>
      <w:r>
        <w:rPr/>
        <w:t>group</w:t>
      </w:r>
      <w:r>
        <w:rPr>
          <w:spacing w:val="-18"/>
        </w:rPr>
        <w:t> </w:t>
      </w:r>
      <w:r>
        <w:rPr/>
        <w:t>–</w:t>
      </w:r>
      <w:r>
        <w:rPr>
          <w:spacing w:val="-18"/>
        </w:rPr>
        <w:t> </w:t>
      </w:r>
      <w:r>
        <w:rPr/>
        <w:t>was</w:t>
      </w:r>
      <w:r>
        <w:rPr>
          <w:spacing w:val="-18"/>
        </w:rPr>
        <w:t> </w:t>
      </w:r>
      <w:r>
        <w:rPr/>
        <w:t>recognised as Consultant of the Year at the Liverpool Hospital</w:t>
      </w:r>
      <w:r>
        <w:rPr>
          <w:spacing w:val="-16"/>
        </w:rPr>
        <w:t> </w:t>
      </w:r>
      <w:r>
        <w:rPr/>
        <w:t>Awards.</w:t>
      </w:r>
      <w:r>
        <w:rPr>
          <w:spacing w:val="-16"/>
        </w:rPr>
        <w:t> </w:t>
      </w:r>
      <w:r>
        <w:rPr/>
        <w:t>This</w:t>
      </w:r>
      <w:r>
        <w:rPr>
          <w:spacing w:val="-16"/>
        </w:rPr>
        <w:t> </w:t>
      </w:r>
      <w:r>
        <w:rPr/>
        <w:t>prize</w:t>
      </w:r>
      <w:r>
        <w:rPr>
          <w:spacing w:val="-16"/>
        </w:rPr>
        <w:t> </w:t>
      </w:r>
      <w:r>
        <w:rPr/>
        <w:t>is</w:t>
      </w:r>
      <w:r>
        <w:rPr>
          <w:spacing w:val="-16"/>
        </w:rPr>
        <w:t> </w:t>
      </w:r>
      <w:r>
        <w:rPr/>
        <w:t>sponsored</w:t>
      </w:r>
      <w:r>
        <w:rPr>
          <w:spacing w:val="-16"/>
        </w:rPr>
        <w:t> </w:t>
      </w:r>
      <w:r>
        <w:rPr/>
        <w:t>by</w:t>
      </w:r>
    </w:p>
    <w:p>
      <w:pPr>
        <w:pStyle w:val="BodyText"/>
        <w:spacing w:line="249" w:lineRule="auto"/>
        <w:ind w:left="107" w:right="-2"/>
      </w:pPr>
      <w:r>
        <w:rPr/>
        <w:t>Western</w:t>
      </w:r>
      <w:r>
        <w:rPr>
          <w:spacing w:val="-17"/>
        </w:rPr>
        <w:t> </w:t>
      </w:r>
      <w:r>
        <w:rPr/>
        <w:t>Sydney</w:t>
      </w:r>
      <w:r>
        <w:rPr>
          <w:spacing w:val="-17"/>
        </w:rPr>
        <w:t> </w:t>
      </w:r>
      <w:r>
        <w:rPr/>
        <w:t>University</w:t>
      </w:r>
      <w:r>
        <w:rPr>
          <w:spacing w:val="-17"/>
        </w:rPr>
        <w:t> </w:t>
      </w:r>
      <w:r>
        <w:rPr/>
        <w:t>and</w:t>
      </w:r>
      <w:r>
        <w:rPr>
          <w:spacing w:val="-17"/>
        </w:rPr>
        <w:t> </w:t>
      </w:r>
      <w:r>
        <w:rPr/>
        <w:t>was</w:t>
      </w:r>
      <w:r>
        <w:rPr>
          <w:spacing w:val="-17"/>
        </w:rPr>
        <w:t> </w:t>
      </w:r>
      <w:r>
        <w:rPr/>
        <w:t>presented by Clinical Dean Professor Les Bokey. Clinical Dean</w:t>
      </w:r>
      <w:r>
        <w:rPr>
          <w:spacing w:val="-16"/>
        </w:rPr>
        <w:t> </w:t>
      </w:r>
      <w:r>
        <w:rPr/>
        <w:t>Professor</w:t>
      </w:r>
      <w:r>
        <w:rPr>
          <w:spacing w:val="-16"/>
        </w:rPr>
        <w:t> </w:t>
      </w:r>
      <w:r>
        <w:rPr/>
        <w:t>Peter</w:t>
      </w:r>
      <w:r>
        <w:rPr>
          <w:spacing w:val="-16"/>
        </w:rPr>
        <w:t> </w:t>
      </w:r>
      <w:r>
        <w:rPr/>
        <w:t>Zelas</w:t>
      </w:r>
      <w:r>
        <w:rPr>
          <w:spacing w:val="-16"/>
        </w:rPr>
        <w:t> </w:t>
      </w:r>
      <w:r>
        <w:rPr/>
        <w:t>and</w:t>
      </w:r>
      <w:r>
        <w:rPr>
          <w:spacing w:val="-16"/>
        </w:rPr>
        <w:t> </w:t>
      </w:r>
      <w:r>
        <w:rPr/>
        <w:t>Professor</w:t>
      </w:r>
    </w:p>
    <w:p>
      <w:pPr>
        <w:pStyle w:val="BodyText"/>
        <w:spacing w:line="249" w:lineRule="auto"/>
        <w:ind w:left="107" w:right="121"/>
      </w:pPr>
      <w:r>
        <w:rPr/>
        <w:t>of Surgery Michael Edye represented the School of Medicine at the opening of the new Blacktown Hospital, demonstrating the</w:t>
      </w:r>
    </w:p>
    <w:p>
      <w:pPr>
        <w:pStyle w:val="BodyText"/>
        <w:spacing w:line="249" w:lineRule="auto"/>
        <w:ind w:left="107"/>
      </w:pPr>
      <w:r>
        <w:rPr/>
        <w:t>impact of community engagement in hospital development, to help provide a state-of-the- art facility that will welcome and support patient journeys well into the future.</w:t>
      </w:r>
    </w:p>
    <w:p>
      <w:pPr>
        <w:pStyle w:val="BodyText"/>
        <w:rPr>
          <w:sz w:val="14"/>
        </w:rPr>
      </w:pPr>
    </w:p>
    <w:p>
      <w:pPr>
        <w:pStyle w:val="BodyText"/>
        <w:spacing w:line="249" w:lineRule="auto"/>
        <w:ind w:left="107" w:right="59"/>
      </w:pPr>
      <w:r>
        <w:rPr>
          <w:w w:val="80"/>
        </w:rPr>
        <w:t>In </w:t>
      </w:r>
      <w:r>
        <w:rPr>
          <w:w w:val="98"/>
        </w:rPr>
        <w:t>November </w:t>
      </w:r>
      <w:r>
        <w:rPr>
          <w:w w:val="85"/>
        </w:rPr>
        <w:t>2016, </w:t>
      </w:r>
      <w:r>
        <w:rPr>
          <w:w w:val="97"/>
        </w:rPr>
        <w:t>the </w:t>
      </w:r>
      <w:r>
        <w:rPr>
          <w:w w:val="98"/>
        </w:rPr>
        <w:t>School </w:t>
      </w:r>
      <w:r>
        <w:rPr>
          <w:w w:val="99"/>
        </w:rPr>
        <w:t>of </w:t>
      </w:r>
      <w:r>
        <w:rPr>
          <w:w w:val="97"/>
        </w:rPr>
        <w:t>Medicine </w:t>
      </w:r>
      <w:r>
        <w:rPr>
          <w:w w:val="98"/>
        </w:rPr>
        <w:t>celebrated </w:t>
      </w:r>
      <w:r>
        <w:rPr>
          <w:w w:val="97"/>
        </w:rPr>
        <w:t>its </w:t>
      </w:r>
      <w:r>
        <w:rPr>
          <w:w w:val="90"/>
        </w:rPr>
        <w:t>10th </w:t>
      </w:r>
      <w:r>
        <w:rPr>
          <w:w w:val="96"/>
        </w:rPr>
        <w:t>anniversary </w:t>
      </w:r>
      <w:r>
        <w:rPr>
          <w:w w:val="98"/>
        </w:rPr>
        <w:t>at </w:t>
      </w:r>
      <w:r>
        <w:rPr>
          <w:w w:val="97"/>
        </w:rPr>
        <w:t>the </w:t>
      </w:r>
      <w:r>
        <w:rPr/>
        <w:t>Narrellan Rotary Club Annual Dinner, hosted at the School. The Rotary Club has been instrumental in supporting the School’s scholarship programs, and continues to support many students in their journey towards practising medicine.</w:t>
      </w:r>
    </w:p>
    <w:p>
      <w:pPr>
        <w:pStyle w:val="BodyText"/>
        <w:spacing w:before="5"/>
        <w:rPr>
          <w:sz w:val="21"/>
        </w:rPr>
      </w:pPr>
      <w:r>
        <w:rPr/>
        <w:br w:type="column"/>
      </w:r>
      <w:r>
        <w:rPr>
          <w:sz w:val="21"/>
        </w:rPr>
      </w:r>
    </w:p>
    <w:p>
      <w:pPr>
        <w:pStyle w:val="Heading5"/>
        <w:spacing w:line="260" w:lineRule="exact"/>
        <w:ind w:right="421"/>
      </w:pPr>
      <w:bookmarkStart w:name="_TOC_250036" w:id="18"/>
      <w:bookmarkEnd w:id="18"/>
      <w:r>
        <w:rPr>
          <w:w w:val="95"/>
        </w:rPr>
        <w:t>SCHOOL OF NURSING AND MIDWIFERY</w:t>
      </w:r>
    </w:p>
    <w:p>
      <w:pPr>
        <w:pStyle w:val="BodyText"/>
        <w:spacing w:line="249" w:lineRule="auto" w:before="101"/>
        <w:ind w:left="107" w:right="22"/>
      </w:pPr>
      <w:r>
        <w:rPr/>
        <w:t>An acknowledged leader in nursing and midwifery education and research, the School of Nursing and Midwifery (SoNM) delivers high-quality education, engaging learning and teaching, industry partnerships, research excellence, professional leadership </w:t>
      </w:r>
      <w:r>
        <w:rPr>
          <w:w w:val="97"/>
        </w:rPr>
        <w:t>and </w:t>
      </w:r>
      <w:r>
        <w:rPr>
          <w:w w:val="97"/>
        </w:rPr>
        <w:t>organisational </w:t>
      </w:r>
      <w:r>
        <w:rPr>
          <w:w w:val="95"/>
        </w:rPr>
        <w:t>effectiveness. </w:t>
      </w:r>
      <w:r>
        <w:rPr>
          <w:w w:val="80"/>
        </w:rPr>
        <w:t>In </w:t>
      </w:r>
      <w:r>
        <w:rPr>
          <w:w w:val="85"/>
        </w:rPr>
        <w:t>2016, </w:t>
      </w:r>
      <w:r>
        <w:rPr>
          <w:w w:val="97"/>
        </w:rPr>
        <w:t>the</w:t>
      </w:r>
    </w:p>
    <w:p>
      <w:pPr>
        <w:pStyle w:val="BodyText"/>
        <w:spacing w:line="249" w:lineRule="auto"/>
        <w:ind w:left="107" w:right="-4"/>
      </w:pPr>
      <w:r>
        <w:rPr/>
        <w:t>School</w:t>
      </w:r>
      <w:r>
        <w:rPr>
          <w:spacing w:val="-17"/>
        </w:rPr>
        <w:t> </w:t>
      </w:r>
      <w:r>
        <w:rPr/>
        <w:t>consolidated</w:t>
      </w:r>
      <w:r>
        <w:rPr>
          <w:spacing w:val="-17"/>
        </w:rPr>
        <w:t> </w:t>
      </w:r>
      <w:r>
        <w:rPr/>
        <w:t>this</w:t>
      </w:r>
      <w:r>
        <w:rPr>
          <w:spacing w:val="-17"/>
        </w:rPr>
        <w:t> </w:t>
      </w:r>
      <w:r>
        <w:rPr/>
        <w:t>reputation,</w:t>
      </w:r>
      <w:r>
        <w:rPr>
          <w:spacing w:val="-17"/>
        </w:rPr>
        <w:t> </w:t>
      </w:r>
      <w:r>
        <w:rPr/>
        <w:t>ranking</w:t>
      </w:r>
      <w:r>
        <w:rPr>
          <w:spacing w:val="-17"/>
        </w:rPr>
        <w:t> </w:t>
      </w:r>
      <w:r>
        <w:rPr/>
        <w:t>in the top 50 nursing schools in the prestigious QS</w:t>
      </w:r>
      <w:r>
        <w:rPr>
          <w:spacing w:val="-16"/>
        </w:rPr>
        <w:t> </w:t>
      </w:r>
      <w:r>
        <w:rPr/>
        <w:t>World</w:t>
      </w:r>
      <w:r>
        <w:rPr>
          <w:spacing w:val="-16"/>
        </w:rPr>
        <w:t> </w:t>
      </w:r>
      <w:r>
        <w:rPr/>
        <w:t>University</w:t>
      </w:r>
      <w:r>
        <w:rPr>
          <w:spacing w:val="-16"/>
        </w:rPr>
        <w:t> </w:t>
      </w:r>
      <w:r>
        <w:rPr/>
        <w:t>Rankings</w:t>
      </w:r>
      <w:r>
        <w:rPr>
          <w:spacing w:val="-16"/>
        </w:rPr>
        <w:t> </w:t>
      </w:r>
      <w:r>
        <w:rPr/>
        <w:t>by</w:t>
      </w:r>
      <w:r>
        <w:rPr>
          <w:spacing w:val="-16"/>
        </w:rPr>
        <w:t> </w:t>
      </w:r>
      <w:r>
        <w:rPr/>
        <w:t>Subject.</w:t>
      </w:r>
    </w:p>
    <w:p>
      <w:pPr>
        <w:pStyle w:val="BodyText"/>
        <w:rPr>
          <w:sz w:val="14"/>
        </w:rPr>
      </w:pPr>
    </w:p>
    <w:p>
      <w:pPr>
        <w:pStyle w:val="BodyText"/>
        <w:spacing w:line="249" w:lineRule="auto"/>
        <w:ind w:left="107" w:right="-13"/>
      </w:pPr>
      <w:r>
        <w:rPr/>
        <w:t>Offering undergraduate degree programs across three campuses – Campbelltown, Hawkesbury and Parramatta – and the first year of the Bachelor of Nursing (BN) at a satellite site in Lithgow, the School delivers one of the largest undergraduate, pre- registration nursing degree programs in Australia. Measuring achievement in terms of its ability to make a difference to students, staff, graduates and the Western Sydney community, the School offers bachelor degrees in nursing and midwifery, and a broad range of graduate diploma and degree programs. In collaboration with the Hong Kong Baptist University (HKBU), the SoNM has offered courses offshore for more than 25 years. Domestically, the SoNM continues to extend its reach in Western Sydney, with undergraduate and postgraduate students attending clinical skills classes in local health district (LHD) simulation facilities at Liverpool and Blacktown. First-year BN students are based at Lithgow.</w:t>
      </w:r>
    </w:p>
    <w:p>
      <w:pPr>
        <w:pStyle w:val="BodyText"/>
        <w:rPr>
          <w:sz w:val="14"/>
        </w:rPr>
      </w:pPr>
    </w:p>
    <w:p>
      <w:pPr>
        <w:pStyle w:val="BodyText"/>
        <w:ind w:left="107" w:right="22"/>
      </w:pPr>
      <w:r>
        <w:rPr/>
        <w:t>The</w:t>
      </w:r>
      <w:r>
        <w:rPr>
          <w:spacing w:val="-14"/>
        </w:rPr>
        <w:t> </w:t>
      </w:r>
      <w:r>
        <w:rPr/>
        <w:t>School</w:t>
      </w:r>
      <w:r>
        <w:rPr>
          <w:spacing w:val="-14"/>
        </w:rPr>
        <w:t> </w:t>
      </w:r>
      <w:r>
        <w:rPr/>
        <w:t>hopes</w:t>
      </w:r>
      <w:r>
        <w:rPr>
          <w:spacing w:val="-14"/>
        </w:rPr>
        <w:t> </w:t>
      </w:r>
      <w:r>
        <w:rPr/>
        <w:t>to</w:t>
      </w:r>
      <w:r>
        <w:rPr>
          <w:spacing w:val="-14"/>
        </w:rPr>
        <w:t> </w:t>
      </w:r>
      <w:r>
        <w:rPr/>
        <w:t>achieve</w:t>
      </w:r>
      <w:r>
        <w:rPr>
          <w:spacing w:val="-14"/>
        </w:rPr>
        <w:t> </w:t>
      </w:r>
      <w:r>
        <w:rPr/>
        <w:t>its</w:t>
      </w:r>
      <w:r>
        <w:rPr>
          <w:spacing w:val="-14"/>
        </w:rPr>
        <w:t> </w:t>
      </w:r>
      <w:r>
        <w:rPr/>
        <w:t>strategic</w:t>
      </w:r>
      <w:r>
        <w:rPr>
          <w:spacing w:val="-14"/>
        </w:rPr>
        <w:t> </w:t>
      </w:r>
      <w:r>
        <w:rPr/>
        <w:t>goal</w:t>
      </w:r>
    </w:p>
    <w:p>
      <w:pPr>
        <w:pStyle w:val="BodyText"/>
        <w:spacing w:line="249" w:lineRule="auto" w:before="7"/>
        <w:ind w:left="107" w:right="22"/>
      </w:pPr>
      <w:r>
        <w:rPr/>
        <w:t>– a rating of 5 in the Excellence in Research for Australia (ERA) initiative – by continuing to</w:t>
      </w:r>
      <w:r>
        <w:rPr>
          <w:spacing w:val="-12"/>
        </w:rPr>
        <w:t> </w:t>
      </w:r>
      <w:r>
        <w:rPr/>
        <w:t>focus</w:t>
      </w:r>
      <w:r>
        <w:rPr>
          <w:spacing w:val="-12"/>
        </w:rPr>
        <w:t> </w:t>
      </w:r>
      <w:r>
        <w:rPr/>
        <w:t>on</w:t>
      </w:r>
      <w:r>
        <w:rPr>
          <w:spacing w:val="-12"/>
        </w:rPr>
        <w:t> </w:t>
      </w:r>
      <w:r>
        <w:rPr/>
        <w:t>supporting</w:t>
      </w:r>
      <w:r>
        <w:rPr>
          <w:spacing w:val="-12"/>
        </w:rPr>
        <w:t> </w:t>
      </w:r>
      <w:r>
        <w:rPr/>
        <w:t>research</w:t>
      </w:r>
      <w:r>
        <w:rPr>
          <w:spacing w:val="-12"/>
        </w:rPr>
        <w:t> </w:t>
      </w:r>
      <w:r>
        <w:rPr/>
        <w:t>capacity</w:t>
      </w:r>
      <w:r>
        <w:rPr>
          <w:spacing w:val="-12"/>
        </w:rPr>
        <w:t> </w:t>
      </w:r>
      <w:r>
        <w:rPr/>
        <w:t>and by establishing a national and international profile in nursing, midwifery and health research.</w:t>
      </w:r>
      <w:r>
        <w:rPr>
          <w:spacing w:val="-19"/>
        </w:rPr>
        <w:t> </w:t>
      </w:r>
      <w:r>
        <w:rPr/>
        <w:t>The</w:t>
      </w:r>
      <w:r>
        <w:rPr>
          <w:spacing w:val="-19"/>
        </w:rPr>
        <w:t> </w:t>
      </w:r>
      <w:r>
        <w:rPr/>
        <w:t>quality</w:t>
      </w:r>
      <w:r>
        <w:rPr>
          <w:spacing w:val="-19"/>
        </w:rPr>
        <w:t> </w:t>
      </w:r>
      <w:r>
        <w:rPr/>
        <w:t>of</w:t>
      </w:r>
      <w:r>
        <w:rPr>
          <w:spacing w:val="-19"/>
        </w:rPr>
        <w:t> </w:t>
      </w:r>
      <w:r>
        <w:rPr/>
        <w:t>the</w:t>
      </w:r>
      <w:r>
        <w:rPr>
          <w:spacing w:val="-19"/>
        </w:rPr>
        <w:t> </w:t>
      </w:r>
      <w:r>
        <w:rPr/>
        <w:t>School’s</w:t>
      </w:r>
      <w:r>
        <w:rPr>
          <w:spacing w:val="-19"/>
        </w:rPr>
        <w:t> </w:t>
      </w:r>
      <w:r>
        <w:rPr/>
        <w:t>research is</w:t>
      </w:r>
      <w:r>
        <w:rPr>
          <w:spacing w:val="-16"/>
        </w:rPr>
        <w:t> </w:t>
      </w:r>
      <w:r>
        <w:rPr/>
        <w:t>reflected</w:t>
      </w:r>
      <w:r>
        <w:rPr>
          <w:spacing w:val="-16"/>
        </w:rPr>
        <w:t> </w:t>
      </w:r>
      <w:r>
        <w:rPr/>
        <w:t>in</w:t>
      </w:r>
      <w:r>
        <w:rPr>
          <w:spacing w:val="-16"/>
        </w:rPr>
        <w:t> </w:t>
      </w:r>
      <w:r>
        <w:rPr/>
        <w:t>its</w:t>
      </w:r>
      <w:r>
        <w:rPr>
          <w:spacing w:val="-16"/>
        </w:rPr>
        <w:t> </w:t>
      </w:r>
      <w:r>
        <w:rPr/>
        <w:t>increasing</w:t>
      </w:r>
      <w:r>
        <w:rPr>
          <w:spacing w:val="-16"/>
        </w:rPr>
        <w:t> </w:t>
      </w:r>
      <w:r>
        <w:rPr/>
        <w:t>collaboration</w:t>
      </w:r>
      <w:r>
        <w:rPr>
          <w:spacing w:val="-16"/>
        </w:rPr>
        <w:t> </w:t>
      </w:r>
      <w:r>
        <w:rPr/>
        <w:t>with LHDs to expand and set up new research centres in </w:t>
      </w:r>
      <w:r>
        <w:rPr>
          <w:spacing w:val="2"/>
        </w:rPr>
        <w:t>LHD </w:t>
      </w:r>
      <w:r>
        <w:rPr/>
        <w:t>facilities, which ensures research outcomes directly impact clinical practice</w:t>
      </w:r>
      <w:r>
        <w:rPr>
          <w:spacing w:val="-16"/>
        </w:rPr>
        <w:t> </w:t>
      </w:r>
      <w:r>
        <w:rPr/>
        <w:t>and</w:t>
      </w:r>
      <w:r>
        <w:rPr>
          <w:spacing w:val="-16"/>
        </w:rPr>
        <w:t> </w:t>
      </w:r>
      <w:r>
        <w:rPr/>
        <w:t>improve</w:t>
      </w:r>
      <w:r>
        <w:rPr>
          <w:spacing w:val="-16"/>
        </w:rPr>
        <w:t> </w:t>
      </w:r>
      <w:r>
        <w:rPr/>
        <w:t>patient</w:t>
      </w:r>
      <w:r>
        <w:rPr>
          <w:spacing w:val="-16"/>
        </w:rPr>
        <w:t> </w:t>
      </w:r>
      <w:r>
        <w:rPr/>
        <w:t>outcomes.</w:t>
      </w:r>
    </w:p>
    <w:p>
      <w:pPr>
        <w:pStyle w:val="BodyText"/>
        <w:spacing w:line="249" w:lineRule="auto"/>
        <w:ind w:left="107" w:right="101"/>
      </w:pPr>
      <w:r>
        <w:rPr/>
        <w:t>The School also continues to successfully collaborate with the Joanna Briggs Institute and</w:t>
      </w:r>
      <w:r>
        <w:rPr>
          <w:spacing w:val="-18"/>
        </w:rPr>
        <w:t> </w:t>
      </w:r>
      <w:r>
        <w:rPr/>
        <w:t>the</w:t>
      </w:r>
      <w:r>
        <w:rPr>
          <w:spacing w:val="-18"/>
        </w:rPr>
        <w:t> </w:t>
      </w:r>
      <w:r>
        <w:rPr/>
        <w:t>Ingham</w:t>
      </w:r>
      <w:r>
        <w:rPr>
          <w:spacing w:val="-18"/>
        </w:rPr>
        <w:t> </w:t>
      </w:r>
      <w:r>
        <w:rPr/>
        <w:t>Institute</w:t>
      </w:r>
      <w:r>
        <w:rPr>
          <w:spacing w:val="-18"/>
        </w:rPr>
        <w:t> </w:t>
      </w:r>
      <w:r>
        <w:rPr/>
        <w:t>for</w:t>
      </w:r>
      <w:r>
        <w:rPr>
          <w:spacing w:val="-18"/>
        </w:rPr>
        <w:t> </w:t>
      </w:r>
      <w:r>
        <w:rPr/>
        <w:t>Applied</w:t>
      </w:r>
      <w:r>
        <w:rPr>
          <w:spacing w:val="-18"/>
        </w:rPr>
        <w:t> </w:t>
      </w:r>
      <w:r>
        <w:rPr/>
        <w:t>Medical Research,</w:t>
      </w:r>
      <w:r>
        <w:rPr>
          <w:spacing w:val="-18"/>
        </w:rPr>
        <w:t> </w:t>
      </w:r>
      <w:r>
        <w:rPr/>
        <w:t>both</w:t>
      </w:r>
      <w:r>
        <w:rPr>
          <w:spacing w:val="-18"/>
        </w:rPr>
        <w:t> </w:t>
      </w:r>
      <w:r>
        <w:rPr/>
        <w:t>based</w:t>
      </w:r>
      <w:r>
        <w:rPr>
          <w:spacing w:val="-18"/>
        </w:rPr>
        <w:t> </w:t>
      </w:r>
      <w:r>
        <w:rPr/>
        <w:t>at</w:t>
      </w:r>
      <w:r>
        <w:rPr>
          <w:spacing w:val="-18"/>
        </w:rPr>
        <w:t> </w:t>
      </w:r>
      <w:r>
        <w:rPr/>
        <w:t>Liverpool</w:t>
      </w:r>
      <w:r>
        <w:rPr>
          <w:spacing w:val="-18"/>
        </w:rPr>
        <w:t> </w:t>
      </w:r>
      <w:r>
        <w:rPr/>
        <w:t>Hospital.</w:t>
      </w:r>
    </w:p>
    <w:p>
      <w:pPr>
        <w:pStyle w:val="BodyText"/>
        <w:spacing w:before="1"/>
        <w:rPr>
          <w:sz w:val="20"/>
        </w:rPr>
      </w:pPr>
      <w:r>
        <w:rPr/>
        <w:br w:type="column"/>
      </w:r>
      <w:r>
        <w:rPr>
          <w:sz w:val="20"/>
        </w:rPr>
      </w:r>
    </w:p>
    <w:p>
      <w:pPr>
        <w:pStyle w:val="BodyText"/>
        <w:spacing w:line="249" w:lineRule="auto"/>
        <w:ind w:left="107" w:right="21"/>
      </w:pPr>
      <w:r>
        <w:rPr>
          <w:w w:val="80"/>
        </w:rPr>
        <w:t>In </w:t>
      </w:r>
      <w:r>
        <w:rPr>
          <w:w w:val="85"/>
        </w:rPr>
        <w:t>2016, </w:t>
      </w:r>
      <w:r>
        <w:rPr>
          <w:w w:val="98"/>
        </w:rPr>
        <w:t>despite </w:t>
      </w:r>
      <w:r>
        <w:rPr>
          <w:w w:val="95"/>
        </w:rPr>
        <w:t>an </w:t>
      </w:r>
      <w:r>
        <w:rPr>
          <w:w w:val="97"/>
        </w:rPr>
        <w:t>increasingly </w:t>
      </w:r>
      <w:r>
        <w:rPr>
          <w:w w:val="99"/>
        </w:rPr>
        <w:t>competitive </w:t>
      </w:r>
      <w:r>
        <w:rPr/>
        <w:t>market, the School continued to sustain high student course uptake and matched this achievement with low attrition rates, directly contributing to the SoNM’s overall academic and fiscal success. The School continues to build on its reputation for quality outcomes, which was reflected in its above-average enrolment performance within the sector, with more than 4,300 students enrolled across</w:t>
      </w:r>
    </w:p>
    <w:p>
      <w:pPr>
        <w:pStyle w:val="BodyText"/>
        <w:spacing w:line="249" w:lineRule="auto"/>
        <w:ind w:left="107" w:right="185"/>
      </w:pPr>
      <w:r>
        <w:rPr/>
        <w:t>the suite of courses and a high number of international students. Overall, the full-time equivalent (FTE) dropped slightly due to the increased efficiencies in clinical placements and the ongoing increase in advanced standings granted.</w:t>
      </w:r>
    </w:p>
    <w:p>
      <w:pPr>
        <w:pStyle w:val="BodyText"/>
        <w:spacing w:before="3"/>
        <w:rPr>
          <w:sz w:val="19"/>
        </w:rPr>
      </w:pPr>
    </w:p>
    <w:p>
      <w:pPr>
        <w:pStyle w:val="Heading7"/>
        <w:ind w:right="460"/>
      </w:pPr>
      <w:r>
        <w:rPr>
          <w:w w:val="95"/>
        </w:rPr>
        <w:t>CURRICULA RENEWAL</w:t>
      </w:r>
    </w:p>
    <w:p>
      <w:pPr>
        <w:pStyle w:val="BodyText"/>
        <w:spacing w:line="249" w:lineRule="auto" w:before="58"/>
        <w:ind w:left="107" w:right="336"/>
      </w:pPr>
      <w:r>
        <w:rPr/>
        <w:t>After an extensive process of consultation with students, academic staff, industry and external advisory committees, all four undergraduate curricula in nursing and midwifery were reviewed and updated.</w:t>
      </w:r>
    </w:p>
    <w:p>
      <w:pPr>
        <w:pStyle w:val="BodyText"/>
        <w:spacing w:line="249" w:lineRule="auto"/>
        <w:ind w:left="107" w:right="365"/>
      </w:pPr>
      <w:r>
        <w:rPr/>
        <w:t>The</w:t>
      </w:r>
      <w:r>
        <w:rPr>
          <w:spacing w:val="-17"/>
        </w:rPr>
        <w:t> </w:t>
      </w:r>
      <w:r>
        <w:rPr/>
        <w:t>revised</w:t>
      </w:r>
      <w:r>
        <w:rPr>
          <w:spacing w:val="-17"/>
        </w:rPr>
        <w:t> </w:t>
      </w:r>
      <w:r>
        <w:rPr/>
        <w:t>documentation</w:t>
      </w:r>
      <w:r>
        <w:rPr>
          <w:spacing w:val="-17"/>
        </w:rPr>
        <w:t> </w:t>
      </w:r>
      <w:r>
        <w:rPr/>
        <w:t>was</w:t>
      </w:r>
      <w:r>
        <w:rPr>
          <w:spacing w:val="-17"/>
        </w:rPr>
        <w:t> </w:t>
      </w:r>
      <w:r>
        <w:rPr/>
        <w:t>submitted to the Australian Nursing and Midwifery Accreditation Council (ANMAC) in </w:t>
      </w:r>
      <w:r>
        <w:rPr>
          <w:spacing w:val="1"/>
          <w:w w:val="98"/>
        </w:rPr>
        <w:t>November</w:t>
      </w:r>
      <w:r>
        <w:rPr>
          <w:w w:val="98"/>
        </w:rPr>
        <w:t> </w:t>
      </w:r>
      <w:r>
        <w:rPr>
          <w:spacing w:val="1"/>
          <w:w w:val="90"/>
        </w:rPr>
        <w:t>2016</w:t>
      </w:r>
      <w:r>
        <w:rPr>
          <w:w w:val="90"/>
        </w:rPr>
        <w:t> </w:t>
      </w:r>
      <w:r>
        <w:rPr>
          <w:w w:val="98"/>
        </w:rPr>
        <w:t>for </w:t>
      </w:r>
      <w:r>
        <w:rPr>
          <w:w w:val="98"/>
        </w:rPr>
        <w:t>accreditation </w:t>
      </w:r>
      <w:r>
        <w:rPr>
          <w:w w:val="95"/>
        </w:rPr>
        <w:t>in </w:t>
      </w:r>
      <w:r>
        <w:rPr>
          <w:w w:val="87"/>
        </w:rPr>
        <w:t>2017 </w:t>
      </w:r>
      <w:r>
        <w:rPr>
          <w:spacing w:val="1"/>
          <w:w w:val="97"/>
        </w:rPr>
        <w:t>and</w:t>
      </w:r>
      <w:r>
        <w:rPr>
          <w:w w:val="97"/>
        </w:rPr>
        <w:t> </w:t>
      </w:r>
      <w:r>
        <w:rPr>
          <w:spacing w:val="1"/>
          <w:w w:val="97"/>
        </w:rPr>
        <w:t>implementation</w:t>
      </w:r>
      <w:r>
        <w:rPr>
          <w:w w:val="97"/>
        </w:rPr>
        <w:t> </w:t>
      </w:r>
      <w:r>
        <w:rPr>
          <w:w w:val="95"/>
        </w:rPr>
        <w:t>in </w:t>
      </w:r>
      <w:r>
        <w:rPr>
          <w:spacing w:val="2"/>
          <w:w w:val="85"/>
        </w:rPr>
        <w:t>2018.</w:t>
      </w:r>
      <w:r>
        <w:rPr>
          <w:w w:val="85"/>
        </w:rPr>
        <w:t> </w:t>
      </w:r>
      <w:r>
        <w:rPr>
          <w:spacing w:val="1"/>
          <w:w w:val="94"/>
        </w:rPr>
        <w:t>The</w:t>
      </w:r>
      <w:r>
        <w:rPr>
          <w:w w:val="94"/>
        </w:rPr>
        <w:t> </w:t>
      </w:r>
      <w:r>
        <w:rPr>
          <w:w w:val="97"/>
        </w:rPr>
        <w:t>new </w:t>
      </w:r>
      <w:r>
        <w:rPr/>
        <w:t>curricula include a move to skills mastery and incorporate practical assessments in the form of Objective Structured Clinical </w:t>
      </w:r>
      <w:r>
        <w:rPr>
          <w:spacing w:val="2"/>
        </w:rPr>
        <w:t>Assessments</w:t>
      </w:r>
      <w:r>
        <w:rPr>
          <w:spacing w:val="-19"/>
        </w:rPr>
        <w:t> </w:t>
      </w:r>
      <w:r>
        <w:rPr/>
        <w:t>(OSCAs),</w:t>
      </w:r>
      <w:r>
        <w:rPr>
          <w:spacing w:val="-19"/>
        </w:rPr>
        <w:t> </w:t>
      </w:r>
      <w:r>
        <w:rPr/>
        <w:t>which</w:t>
      </w:r>
      <w:r>
        <w:rPr>
          <w:spacing w:val="-19"/>
        </w:rPr>
        <w:t> </w:t>
      </w:r>
      <w:r>
        <w:rPr/>
        <w:t>will</w:t>
      </w:r>
      <w:r>
        <w:rPr>
          <w:spacing w:val="-19"/>
        </w:rPr>
        <w:t> </w:t>
      </w:r>
      <w:r>
        <w:rPr/>
        <w:t>result</w:t>
      </w:r>
      <w:r>
        <w:rPr>
          <w:spacing w:val="-19"/>
        </w:rPr>
        <w:t> </w:t>
      </w:r>
      <w:r>
        <w:rPr/>
        <w:t>in significantly lower casual academic costs </w:t>
      </w:r>
      <w:r>
        <w:rPr>
          <w:w w:val="95"/>
        </w:rPr>
        <w:t>in </w:t>
      </w:r>
      <w:r>
        <w:rPr>
          <w:spacing w:val="1"/>
          <w:w w:val="83"/>
        </w:rPr>
        <w:t>2018–19.</w:t>
      </w:r>
      <w:r>
        <w:rPr>
          <w:w w:val="83"/>
        </w:rPr>
        <w:t> </w:t>
      </w:r>
      <w:r>
        <w:rPr>
          <w:spacing w:val="1"/>
          <w:w w:val="94"/>
        </w:rPr>
        <w:t>The</w:t>
      </w:r>
      <w:r>
        <w:rPr>
          <w:w w:val="94"/>
        </w:rPr>
        <w:t> </w:t>
      </w:r>
      <w:r>
        <w:rPr>
          <w:spacing w:val="1"/>
          <w:w w:val="97"/>
        </w:rPr>
        <w:t>curricula</w:t>
      </w:r>
      <w:r>
        <w:rPr>
          <w:w w:val="97"/>
        </w:rPr>
        <w:t> </w:t>
      </w:r>
      <w:r>
        <w:rPr>
          <w:w w:val="96"/>
        </w:rPr>
        <w:t>renewal </w:t>
      </w:r>
      <w:r>
        <w:rPr>
          <w:spacing w:val="1"/>
          <w:w w:val="98"/>
        </w:rPr>
        <w:t>process</w:t>
      </w:r>
      <w:r>
        <w:rPr>
          <w:w w:val="98"/>
        </w:rPr>
        <w:t> </w:t>
      </w:r>
      <w:r>
        <w:rPr/>
        <w:t>created an opportunity for the School to review</w:t>
      </w:r>
      <w:r>
        <w:rPr>
          <w:spacing w:val="-17"/>
        </w:rPr>
        <w:t> </w:t>
      </w:r>
      <w:r>
        <w:rPr/>
        <w:t>current</w:t>
      </w:r>
      <w:r>
        <w:rPr>
          <w:spacing w:val="-17"/>
        </w:rPr>
        <w:t> </w:t>
      </w:r>
      <w:r>
        <w:rPr/>
        <w:t>practice,</w:t>
      </w:r>
      <w:r>
        <w:rPr>
          <w:spacing w:val="-17"/>
        </w:rPr>
        <w:t> </w:t>
      </w:r>
      <w:r>
        <w:rPr/>
        <w:t>and</w:t>
      </w:r>
      <w:r>
        <w:rPr>
          <w:spacing w:val="-17"/>
        </w:rPr>
        <w:t> </w:t>
      </w:r>
      <w:r>
        <w:rPr/>
        <w:t>the</w:t>
      </w:r>
      <w:r>
        <w:rPr>
          <w:spacing w:val="-17"/>
        </w:rPr>
        <w:t> </w:t>
      </w:r>
      <w:r>
        <w:rPr/>
        <w:t>School</w:t>
      </w:r>
      <w:r>
        <w:rPr>
          <w:spacing w:val="-17"/>
        </w:rPr>
        <w:t> </w:t>
      </w:r>
      <w:r>
        <w:rPr/>
        <w:t>is</w:t>
      </w:r>
    </w:p>
    <w:p>
      <w:pPr>
        <w:pStyle w:val="BodyText"/>
        <w:spacing w:line="249" w:lineRule="auto"/>
        <w:ind w:left="107" w:right="-1"/>
      </w:pPr>
      <w:r>
        <w:rPr/>
        <w:t>actively</w:t>
      </w:r>
      <w:r>
        <w:rPr>
          <w:spacing w:val="-18"/>
        </w:rPr>
        <w:t> </w:t>
      </w:r>
      <w:r>
        <w:rPr/>
        <w:t>seeking</w:t>
      </w:r>
      <w:r>
        <w:rPr>
          <w:spacing w:val="-18"/>
        </w:rPr>
        <w:t> </w:t>
      </w:r>
      <w:r>
        <w:rPr/>
        <w:t>innovative</w:t>
      </w:r>
      <w:r>
        <w:rPr>
          <w:spacing w:val="-18"/>
        </w:rPr>
        <w:t> </w:t>
      </w:r>
      <w:r>
        <w:rPr/>
        <w:t>and</w:t>
      </w:r>
      <w:r>
        <w:rPr>
          <w:spacing w:val="-18"/>
        </w:rPr>
        <w:t> </w:t>
      </w:r>
      <w:r>
        <w:rPr/>
        <w:t>creative</w:t>
      </w:r>
      <w:r>
        <w:rPr>
          <w:spacing w:val="-18"/>
        </w:rPr>
        <w:t> </w:t>
      </w:r>
      <w:r>
        <w:rPr/>
        <w:t>ideas from</w:t>
      </w:r>
      <w:r>
        <w:rPr>
          <w:spacing w:val="-16"/>
        </w:rPr>
        <w:t> </w:t>
      </w:r>
      <w:r>
        <w:rPr/>
        <w:t>all</w:t>
      </w:r>
      <w:r>
        <w:rPr>
          <w:spacing w:val="-16"/>
        </w:rPr>
        <w:t> </w:t>
      </w:r>
      <w:r>
        <w:rPr/>
        <w:t>staff</w:t>
      </w:r>
      <w:r>
        <w:rPr>
          <w:spacing w:val="-16"/>
        </w:rPr>
        <w:t> </w:t>
      </w:r>
      <w:r>
        <w:rPr/>
        <w:t>members</w:t>
      </w:r>
      <w:r>
        <w:rPr>
          <w:spacing w:val="-16"/>
        </w:rPr>
        <w:t> </w:t>
      </w:r>
      <w:r>
        <w:rPr/>
        <w:t>to</w:t>
      </w:r>
      <w:r>
        <w:rPr>
          <w:spacing w:val="-16"/>
        </w:rPr>
        <w:t> </w:t>
      </w:r>
      <w:r>
        <w:rPr/>
        <w:t>assist</w:t>
      </w:r>
      <w:r>
        <w:rPr>
          <w:spacing w:val="-16"/>
        </w:rPr>
        <w:t> </w:t>
      </w:r>
      <w:r>
        <w:rPr/>
        <w:t>with</w:t>
      </w:r>
      <w:r>
        <w:rPr>
          <w:spacing w:val="-16"/>
        </w:rPr>
        <w:t> </w:t>
      </w:r>
      <w:r>
        <w:rPr/>
        <w:t>planning the implementation, and to ensure staff and student engagement. The School has added several</w:t>
      </w:r>
      <w:r>
        <w:rPr>
          <w:spacing w:val="-16"/>
        </w:rPr>
        <w:t> </w:t>
      </w:r>
      <w:r>
        <w:rPr/>
        <w:t>new</w:t>
      </w:r>
      <w:r>
        <w:rPr>
          <w:spacing w:val="-16"/>
        </w:rPr>
        <w:t> </w:t>
      </w:r>
      <w:r>
        <w:rPr/>
        <w:t>elective</w:t>
      </w:r>
      <w:r>
        <w:rPr>
          <w:spacing w:val="-16"/>
        </w:rPr>
        <w:t> </w:t>
      </w:r>
      <w:r>
        <w:rPr/>
        <w:t>units</w:t>
      </w:r>
      <w:r>
        <w:rPr>
          <w:spacing w:val="-16"/>
        </w:rPr>
        <w:t> </w:t>
      </w:r>
      <w:r>
        <w:rPr/>
        <w:t>to</w:t>
      </w:r>
      <w:r>
        <w:rPr>
          <w:spacing w:val="-16"/>
        </w:rPr>
        <w:t> </w:t>
      </w:r>
      <w:r>
        <w:rPr/>
        <w:t>the</w:t>
      </w:r>
      <w:r>
        <w:rPr>
          <w:spacing w:val="-16"/>
        </w:rPr>
        <w:t> </w:t>
      </w:r>
      <w:r>
        <w:rPr/>
        <w:t>BN</w:t>
      </w:r>
      <w:r>
        <w:rPr>
          <w:spacing w:val="-16"/>
        </w:rPr>
        <w:t> </w:t>
      </w:r>
      <w:r>
        <w:rPr/>
        <w:t>program, which will be available to health discipline students</w:t>
      </w:r>
      <w:r>
        <w:rPr>
          <w:spacing w:val="-23"/>
        </w:rPr>
        <w:t> </w:t>
      </w:r>
      <w:r>
        <w:rPr/>
        <w:t>across</w:t>
      </w:r>
      <w:r>
        <w:rPr>
          <w:spacing w:val="-23"/>
        </w:rPr>
        <w:t> </w:t>
      </w:r>
      <w:r>
        <w:rPr/>
        <w:t>the</w:t>
      </w:r>
      <w:r>
        <w:rPr>
          <w:spacing w:val="-23"/>
        </w:rPr>
        <w:t> </w:t>
      </w:r>
      <w:r>
        <w:rPr/>
        <w:t>University.</w:t>
      </w:r>
    </w:p>
    <w:p>
      <w:pPr>
        <w:pStyle w:val="BodyText"/>
        <w:rPr>
          <w:sz w:val="14"/>
        </w:rPr>
      </w:pPr>
    </w:p>
    <w:p>
      <w:pPr>
        <w:pStyle w:val="BodyText"/>
        <w:spacing w:line="249" w:lineRule="auto"/>
        <w:ind w:left="107" w:right="65"/>
      </w:pPr>
      <w:r>
        <w:rPr/>
        <w:t>The curricula renewal process was supported by a Learning and Teaching Enhancement Grant (LTEG), which provided funding for incentives to encourage student feedback and staff innovation, support services for senior staff leading the renewal (including research and professional staff support), Foundations of University Learning and Teaching (FULT) workshops for sessional staff and the development of the School Central Database</w:t>
      </w:r>
    </w:p>
    <w:p>
      <w:pPr>
        <w:spacing w:after="0" w:line="249" w:lineRule="auto"/>
        <w:sectPr>
          <w:type w:val="continuous"/>
          <w:pgSz w:w="11910" w:h="16840"/>
          <w:pgMar w:top="1580" w:bottom="280" w:left="800" w:right="800"/>
          <w:cols w:num="3" w:equalWidth="0">
            <w:col w:w="3316" w:space="123"/>
            <w:col w:w="3304" w:space="136"/>
            <w:col w:w="3431"/>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279"/>
      </w:pPr>
      <w:r>
        <w:rPr/>
        <w:t>Repository for Academic Literacy Support </w:t>
      </w:r>
      <w:r>
        <w:rPr>
          <w:w w:val="95"/>
        </w:rPr>
        <w:t>Initiative (ALSI).</w:t>
      </w:r>
    </w:p>
    <w:p>
      <w:pPr>
        <w:pStyle w:val="BodyText"/>
        <w:rPr>
          <w:sz w:val="14"/>
        </w:rPr>
      </w:pPr>
    </w:p>
    <w:p>
      <w:pPr>
        <w:pStyle w:val="BodyText"/>
        <w:spacing w:line="249" w:lineRule="auto"/>
        <w:ind w:left="107" w:right="-7"/>
      </w:pPr>
      <w:r>
        <w:rPr/>
        <w:t>The</w:t>
      </w:r>
      <w:r>
        <w:rPr>
          <w:spacing w:val="-21"/>
        </w:rPr>
        <w:t> </w:t>
      </w:r>
      <w:r>
        <w:rPr/>
        <w:t>School</w:t>
      </w:r>
      <w:r>
        <w:rPr>
          <w:spacing w:val="-21"/>
        </w:rPr>
        <w:t> </w:t>
      </w:r>
      <w:r>
        <w:rPr/>
        <w:t>also</w:t>
      </w:r>
      <w:r>
        <w:rPr>
          <w:spacing w:val="-21"/>
        </w:rPr>
        <w:t> </w:t>
      </w:r>
      <w:r>
        <w:rPr/>
        <w:t>reviewed</w:t>
      </w:r>
      <w:r>
        <w:rPr>
          <w:spacing w:val="-21"/>
        </w:rPr>
        <w:t> </w:t>
      </w:r>
      <w:r>
        <w:rPr/>
        <w:t>the</w:t>
      </w:r>
      <w:r>
        <w:rPr>
          <w:spacing w:val="-21"/>
        </w:rPr>
        <w:t> </w:t>
      </w:r>
      <w:r>
        <w:rPr/>
        <w:t>Master</w:t>
      </w:r>
      <w:r>
        <w:rPr>
          <w:spacing w:val="-21"/>
        </w:rPr>
        <w:t> </w:t>
      </w:r>
      <w:r>
        <w:rPr/>
        <w:t>of</w:t>
      </w:r>
      <w:r>
        <w:rPr>
          <w:spacing w:val="-21"/>
        </w:rPr>
        <w:t> </w:t>
      </w:r>
      <w:r>
        <w:rPr/>
        <w:t>Mental Health</w:t>
      </w:r>
      <w:r>
        <w:rPr>
          <w:spacing w:val="-29"/>
        </w:rPr>
        <w:t> </w:t>
      </w:r>
      <w:r>
        <w:rPr/>
        <w:t>Nursing</w:t>
      </w:r>
      <w:r>
        <w:rPr>
          <w:spacing w:val="-29"/>
        </w:rPr>
        <w:t> </w:t>
      </w:r>
      <w:r>
        <w:rPr/>
        <w:t>(Nurse</w:t>
      </w:r>
      <w:r>
        <w:rPr>
          <w:spacing w:val="-29"/>
        </w:rPr>
        <w:t> </w:t>
      </w:r>
      <w:r>
        <w:rPr/>
        <w:t>Practitioner)</w:t>
      </w:r>
      <w:r>
        <w:rPr>
          <w:spacing w:val="-29"/>
        </w:rPr>
        <w:t> </w:t>
      </w:r>
      <w:r>
        <w:rPr/>
        <w:t>curriculum, submitting the documentation to ANMAC in </w:t>
      </w:r>
      <w:r>
        <w:rPr>
          <w:w w:val="100"/>
        </w:rPr>
        <w:t>October</w:t>
      </w:r>
      <w:r>
        <w:rPr>
          <w:spacing w:val="-12"/>
          <w:w w:val="100"/>
        </w:rPr>
        <w:t> </w:t>
      </w:r>
      <w:r>
        <w:rPr>
          <w:spacing w:val="1"/>
          <w:w w:val="90"/>
        </w:rPr>
        <w:t>2016</w:t>
      </w:r>
      <w:r>
        <w:rPr>
          <w:spacing w:val="-7"/>
          <w:w w:val="90"/>
        </w:rPr>
        <w:t> </w:t>
      </w:r>
      <w:r>
        <w:rPr>
          <w:w w:val="98"/>
        </w:rPr>
        <w:t>for</w:t>
      </w:r>
      <w:r>
        <w:rPr>
          <w:spacing w:val="-11"/>
          <w:w w:val="98"/>
        </w:rPr>
        <w:t> </w:t>
      </w:r>
      <w:r>
        <w:rPr>
          <w:w w:val="98"/>
        </w:rPr>
        <w:t>accreditation</w:t>
      </w:r>
      <w:r>
        <w:rPr>
          <w:spacing w:val="-11"/>
          <w:w w:val="98"/>
        </w:rPr>
        <w:t> </w:t>
      </w:r>
      <w:r>
        <w:rPr>
          <w:w w:val="95"/>
        </w:rPr>
        <w:t>in</w:t>
      </w:r>
      <w:r>
        <w:rPr>
          <w:spacing w:val="-10"/>
          <w:w w:val="95"/>
        </w:rPr>
        <w:t> </w:t>
      </w:r>
      <w:r>
        <w:rPr>
          <w:spacing w:val="-2"/>
          <w:w w:val="83"/>
        </w:rPr>
        <w:t>2017.</w:t>
      </w:r>
    </w:p>
    <w:p>
      <w:pPr>
        <w:pStyle w:val="BodyText"/>
        <w:spacing w:before="3"/>
        <w:rPr>
          <w:sz w:val="19"/>
        </w:rPr>
      </w:pPr>
    </w:p>
    <w:p>
      <w:pPr>
        <w:pStyle w:val="Heading7"/>
      </w:pPr>
      <w:r>
        <w:rPr>
          <w:w w:val="95"/>
        </w:rPr>
        <w:t>LEARNING AND TEACHING</w:t>
      </w:r>
    </w:p>
    <w:p>
      <w:pPr>
        <w:pStyle w:val="BodyText"/>
        <w:spacing w:line="249" w:lineRule="auto" w:before="58"/>
        <w:ind w:left="107" w:right="114"/>
      </w:pPr>
      <w:r>
        <w:rPr>
          <w:spacing w:val="-5"/>
        </w:rPr>
        <w:t>To </w:t>
      </w:r>
      <w:r>
        <w:rPr/>
        <w:t>achieve its aim of being a distinctively student-centred university, Western Sydney University</w:t>
      </w:r>
      <w:r>
        <w:rPr>
          <w:spacing w:val="-15"/>
        </w:rPr>
        <w:t> </w:t>
      </w:r>
      <w:r>
        <w:rPr/>
        <w:t>continues</w:t>
      </w:r>
      <w:r>
        <w:rPr>
          <w:spacing w:val="-15"/>
        </w:rPr>
        <w:t> </w:t>
      </w:r>
      <w:r>
        <w:rPr/>
        <w:t>to</w:t>
      </w:r>
      <w:r>
        <w:rPr>
          <w:spacing w:val="-15"/>
        </w:rPr>
        <w:t> </w:t>
      </w:r>
      <w:r>
        <w:rPr/>
        <w:t>focus</w:t>
      </w:r>
      <w:r>
        <w:rPr>
          <w:spacing w:val="-15"/>
        </w:rPr>
        <w:t> </w:t>
      </w:r>
      <w:r>
        <w:rPr/>
        <w:t>on</w:t>
      </w:r>
      <w:r>
        <w:rPr>
          <w:spacing w:val="-15"/>
        </w:rPr>
        <w:t> </w:t>
      </w:r>
      <w:r>
        <w:rPr/>
        <w:t>meeting</w:t>
      </w:r>
      <w:r>
        <w:rPr>
          <w:spacing w:val="-15"/>
        </w:rPr>
        <w:t> </w:t>
      </w:r>
      <w:r>
        <w:rPr/>
        <w:t>the challenge</w:t>
      </w:r>
      <w:r>
        <w:rPr>
          <w:spacing w:val="-21"/>
        </w:rPr>
        <w:t> </w:t>
      </w:r>
      <w:r>
        <w:rPr/>
        <w:t>of</w:t>
      </w:r>
      <w:r>
        <w:rPr>
          <w:spacing w:val="-21"/>
        </w:rPr>
        <w:t> </w:t>
      </w:r>
      <w:r>
        <w:rPr/>
        <w:t>engaging</w:t>
      </w:r>
      <w:r>
        <w:rPr>
          <w:spacing w:val="-21"/>
        </w:rPr>
        <w:t> </w:t>
      </w:r>
      <w:r>
        <w:rPr/>
        <w:t>21st-century</w:t>
      </w:r>
      <w:r>
        <w:rPr>
          <w:spacing w:val="-21"/>
        </w:rPr>
        <w:t> </w:t>
      </w:r>
      <w:r>
        <w:rPr/>
        <w:t>learners in</w:t>
      </w:r>
      <w:r>
        <w:rPr>
          <w:spacing w:val="-22"/>
        </w:rPr>
        <w:t> </w:t>
      </w:r>
      <w:r>
        <w:rPr/>
        <w:t>a</w:t>
      </w:r>
      <w:r>
        <w:rPr>
          <w:spacing w:val="-22"/>
        </w:rPr>
        <w:t> </w:t>
      </w:r>
      <w:r>
        <w:rPr/>
        <w:t>cohort</w:t>
      </w:r>
      <w:r>
        <w:rPr>
          <w:spacing w:val="-22"/>
        </w:rPr>
        <w:t> </w:t>
      </w:r>
      <w:r>
        <w:rPr/>
        <w:t>ranging</w:t>
      </w:r>
      <w:r>
        <w:rPr>
          <w:spacing w:val="-22"/>
        </w:rPr>
        <w:t> </w:t>
      </w:r>
      <w:r>
        <w:rPr/>
        <w:t>between</w:t>
      </w:r>
      <w:r>
        <w:rPr>
          <w:spacing w:val="-22"/>
        </w:rPr>
        <w:t> </w:t>
      </w:r>
      <w:r>
        <w:rPr/>
        <w:t>ages</w:t>
      </w:r>
      <w:r>
        <w:rPr>
          <w:spacing w:val="-22"/>
        </w:rPr>
        <w:t> </w:t>
      </w:r>
      <w:r>
        <w:rPr/>
        <w:t>17</w:t>
      </w:r>
      <w:r>
        <w:rPr>
          <w:spacing w:val="-22"/>
        </w:rPr>
        <w:t> </w:t>
      </w:r>
      <w:r>
        <w:rPr/>
        <w:t>and</w:t>
      </w:r>
      <w:r>
        <w:rPr>
          <w:spacing w:val="-22"/>
        </w:rPr>
        <w:t> </w:t>
      </w:r>
      <w:r>
        <w:rPr>
          <w:spacing w:val="2"/>
        </w:rPr>
        <w:t>61. </w:t>
      </w:r>
      <w:r>
        <w:rPr/>
        <w:t>Integrating</w:t>
      </w:r>
      <w:r>
        <w:rPr>
          <w:spacing w:val="-20"/>
        </w:rPr>
        <w:t> </w:t>
      </w:r>
      <w:r>
        <w:rPr/>
        <w:t>blended</w:t>
      </w:r>
      <w:r>
        <w:rPr>
          <w:spacing w:val="-20"/>
        </w:rPr>
        <w:t> </w:t>
      </w:r>
      <w:r>
        <w:rPr/>
        <w:t>learning</w:t>
      </w:r>
      <w:r>
        <w:rPr>
          <w:spacing w:val="-20"/>
        </w:rPr>
        <w:t> </w:t>
      </w:r>
      <w:r>
        <w:rPr/>
        <w:t>into</w:t>
      </w:r>
      <w:r>
        <w:rPr>
          <w:spacing w:val="-20"/>
        </w:rPr>
        <w:t> </w:t>
      </w:r>
      <w:r>
        <w:rPr/>
        <w:t>all</w:t>
      </w:r>
      <w:r>
        <w:rPr>
          <w:spacing w:val="-20"/>
        </w:rPr>
        <w:t> </w:t>
      </w:r>
      <w:r>
        <w:rPr/>
        <w:t>curricula has increased the study options available to students,</w:t>
      </w:r>
      <w:r>
        <w:rPr>
          <w:spacing w:val="-21"/>
        </w:rPr>
        <w:t> </w:t>
      </w:r>
      <w:r>
        <w:rPr/>
        <w:t>creating</w:t>
      </w:r>
      <w:r>
        <w:rPr>
          <w:spacing w:val="-21"/>
        </w:rPr>
        <w:t> </w:t>
      </w:r>
      <w:r>
        <w:rPr/>
        <w:t>effective,</w:t>
      </w:r>
      <w:r>
        <w:rPr>
          <w:spacing w:val="-21"/>
        </w:rPr>
        <w:t> </w:t>
      </w:r>
      <w:r>
        <w:rPr/>
        <w:t>flexible</w:t>
      </w:r>
      <w:r>
        <w:rPr>
          <w:spacing w:val="-21"/>
        </w:rPr>
        <w:t> </w:t>
      </w:r>
      <w:r>
        <w:rPr/>
        <w:t>teaching and learning opportunities where students are able to engage anywhere and at any time,</w:t>
      </w:r>
      <w:r>
        <w:rPr>
          <w:spacing w:val="-21"/>
        </w:rPr>
        <w:t> </w:t>
      </w:r>
      <w:r>
        <w:rPr/>
        <w:t>within</w:t>
      </w:r>
      <w:r>
        <w:rPr>
          <w:spacing w:val="-21"/>
        </w:rPr>
        <w:t> </w:t>
      </w:r>
      <w:r>
        <w:rPr/>
        <w:t>the</w:t>
      </w:r>
      <w:r>
        <w:rPr>
          <w:spacing w:val="-21"/>
        </w:rPr>
        <w:t> </w:t>
      </w:r>
      <w:r>
        <w:rPr/>
        <w:t>confines</w:t>
      </w:r>
      <w:r>
        <w:rPr>
          <w:spacing w:val="-21"/>
        </w:rPr>
        <w:t> </w:t>
      </w:r>
      <w:r>
        <w:rPr/>
        <w:t>of</w:t>
      </w:r>
      <w:r>
        <w:rPr>
          <w:spacing w:val="-21"/>
        </w:rPr>
        <w:t> </w:t>
      </w:r>
      <w:r>
        <w:rPr/>
        <w:t>the</w:t>
      </w:r>
      <w:r>
        <w:rPr>
          <w:spacing w:val="-21"/>
        </w:rPr>
        <w:t> </w:t>
      </w:r>
      <w:r>
        <w:rPr/>
        <w:t>curricula.</w:t>
      </w:r>
    </w:p>
    <w:p>
      <w:pPr>
        <w:pStyle w:val="BodyText"/>
        <w:spacing w:line="249" w:lineRule="auto"/>
        <w:ind w:left="107" w:right="-2"/>
      </w:pPr>
      <w:r>
        <w:rPr/>
        <w:t>The School’s successful implementation of blended</w:t>
      </w:r>
      <w:r>
        <w:rPr>
          <w:spacing w:val="-15"/>
        </w:rPr>
        <w:t> </w:t>
      </w:r>
      <w:r>
        <w:rPr/>
        <w:t>learning</w:t>
      </w:r>
      <w:r>
        <w:rPr>
          <w:spacing w:val="-15"/>
        </w:rPr>
        <w:t> </w:t>
      </w:r>
      <w:r>
        <w:rPr/>
        <w:t>advancements</w:t>
      </w:r>
      <w:r>
        <w:rPr>
          <w:spacing w:val="-15"/>
        </w:rPr>
        <w:t> </w:t>
      </w:r>
      <w:r>
        <w:rPr/>
        <w:t>is</w:t>
      </w:r>
      <w:r>
        <w:rPr>
          <w:spacing w:val="-15"/>
        </w:rPr>
        <w:t> </w:t>
      </w:r>
      <w:r>
        <w:rPr/>
        <w:t>reflected</w:t>
      </w:r>
      <w:r>
        <w:rPr>
          <w:spacing w:val="-15"/>
        </w:rPr>
        <w:t> </w:t>
      </w:r>
      <w:r>
        <w:rPr/>
        <w:t>in the</w:t>
      </w:r>
      <w:r>
        <w:rPr>
          <w:spacing w:val="-16"/>
        </w:rPr>
        <w:t> </w:t>
      </w:r>
      <w:r>
        <w:rPr/>
        <w:t>success</w:t>
      </w:r>
      <w:r>
        <w:rPr>
          <w:spacing w:val="-16"/>
        </w:rPr>
        <w:t> </w:t>
      </w:r>
      <w:r>
        <w:rPr/>
        <w:t>of</w:t>
      </w:r>
      <w:r>
        <w:rPr>
          <w:spacing w:val="-16"/>
        </w:rPr>
        <w:t> </w:t>
      </w:r>
      <w:r>
        <w:rPr/>
        <w:t>the</w:t>
      </w:r>
      <w:r>
        <w:rPr>
          <w:spacing w:val="-16"/>
        </w:rPr>
        <w:t> </w:t>
      </w:r>
      <w:r>
        <w:rPr/>
        <w:t>courses,</w:t>
      </w:r>
      <w:r>
        <w:rPr>
          <w:spacing w:val="-16"/>
        </w:rPr>
        <w:t> </w:t>
      </w:r>
      <w:r>
        <w:rPr/>
        <w:t>student</w:t>
      </w:r>
      <w:r>
        <w:rPr>
          <w:spacing w:val="-16"/>
        </w:rPr>
        <w:t> </w:t>
      </w:r>
      <w:r>
        <w:rPr/>
        <w:t>outcomes and the Blended Learning team. The School was recognised with the Platinum Award for Blended Learning Optimization at the IMS Global</w:t>
      </w:r>
      <w:r>
        <w:rPr>
          <w:spacing w:val="-19"/>
        </w:rPr>
        <w:t> </w:t>
      </w:r>
      <w:r>
        <w:rPr/>
        <w:t>Learning</w:t>
      </w:r>
      <w:r>
        <w:rPr>
          <w:spacing w:val="-19"/>
        </w:rPr>
        <w:t> </w:t>
      </w:r>
      <w:r>
        <w:rPr>
          <w:spacing w:val="2"/>
        </w:rPr>
        <w:t>Impact</w:t>
      </w:r>
      <w:r>
        <w:rPr>
          <w:spacing w:val="-19"/>
        </w:rPr>
        <w:t> </w:t>
      </w:r>
      <w:r>
        <w:rPr/>
        <w:t>Awards,</w:t>
      </w:r>
      <w:r>
        <w:rPr>
          <w:spacing w:val="-19"/>
        </w:rPr>
        <w:t> </w:t>
      </w:r>
      <w:r>
        <w:rPr/>
        <w:t>and</w:t>
      </w:r>
      <w:r>
        <w:rPr>
          <w:spacing w:val="-19"/>
        </w:rPr>
        <w:t> </w:t>
      </w:r>
      <w:r>
        <w:rPr/>
        <w:t>academic staff</w:t>
      </w:r>
      <w:r>
        <w:rPr>
          <w:spacing w:val="-15"/>
        </w:rPr>
        <w:t> </w:t>
      </w:r>
      <w:r>
        <w:rPr/>
        <w:t>members</w:t>
      </w:r>
      <w:r>
        <w:rPr>
          <w:spacing w:val="-15"/>
        </w:rPr>
        <w:t> </w:t>
      </w:r>
      <w:r>
        <w:rPr/>
        <w:t>from</w:t>
      </w:r>
      <w:r>
        <w:rPr>
          <w:spacing w:val="-15"/>
        </w:rPr>
        <w:t> </w:t>
      </w:r>
      <w:r>
        <w:rPr/>
        <w:t>the</w:t>
      </w:r>
      <w:r>
        <w:rPr>
          <w:spacing w:val="-15"/>
        </w:rPr>
        <w:t> </w:t>
      </w:r>
      <w:r>
        <w:rPr/>
        <w:t>School</w:t>
      </w:r>
      <w:r>
        <w:rPr>
          <w:spacing w:val="-15"/>
        </w:rPr>
        <w:t> </w:t>
      </w:r>
      <w:r>
        <w:rPr/>
        <w:t>shared</w:t>
      </w:r>
    </w:p>
    <w:p>
      <w:pPr>
        <w:pStyle w:val="BodyText"/>
        <w:spacing w:line="249" w:lineRule="auto"/>
        <w:ind w:left="107" w:right="165"/>
      </w:pPr>
      <w:r>
        <w:rPr/>
        <w:t>their experiences at the University Blended Learning Showcase.</w:t>
      </w:r>
    </w:p>
    <w:p>
      <w:pPr>
        <w:pStyle w:val="BodyText"/>
        <w:rPr>
          <w:sz w:val="14"/>
        </w:rPr>
      </w:pPr>
    </w:p>
    <w:p>
      <w:pPr>
        <w:pStyle w:val="BodyText"/>
        <w:spacing w:line="249" w:lineRule="auto"/>
        <w:ind w:left="107" w:right="-2"/>
      </w:pPr>
      <w:r>
        <w:rPr/>
        <w:t>The</w:t>
      </w:r>
      <w:r>
        <w:rPr>
          <w:spacing w:val="-18"/>
        </w:rPr>
        <w:t> </w:t>
      </w:r>
      <w:r>
        <w:rPr/>
        <w:t>School</w:t>
      </w:r>
      <w:r>
        <w:rPr>
          <w:spacing w:val="-18"/>
        </w:rPr>
        <w:t> </w:t>
      </w:r>
      <w:r>
        <w:rPr/>
        <w:t>has</w:t>
      </w:r>
      <w:r>
        <w:rPr>
          <w:spacing w:val="-18"/>
        </w:rPr>
        <w:t> </w:t>
      </w:r>
      <w:r>
        <w:rPr/>
        <w:t>increased</w:t>
      </w:r>
      <w:r>
        <w:rPr>
          <w:spacing w:val="-18"/>
        </w:rPr>
        <w:t> </w:t>
      </w:r>
      <w:r>
        <w:rPr/>
        <w:t>its</w:t>
      </w:r>
      <w:r>
        <w:rPr>
          <w:spacing w:val="-18"/>
        </w:rPr>
        <w:t> </w:t>
      </w:r>
      <w:r>
        <w:rPr/>
        <w:t>use</w:t>
      </w:r>
      <w:r>
        <w:rPr>
          <w:spacing w:val="-18"/>
        </w:rPr>
        <w:t> </w:t>
      </w:r>
      <w:r>
        <w:rPr/>
        <w:t>of</w:t>
      </w:r>
      <w:r>
        <w:rPr>
          <w:spacing w:val="-18"/>
        </w:rPr>
        <w:t> </w:t>
      </w:r>
      <w:r>
        <w:rPr/>
        <w:t>simulation (SimPad</w:t>
      </w:r>
      <w:r>
        <w:rPr>
          <w:spacing w:val="-18"/>
        </w:rPr>
        <w:t> </w:t>
      </w:r>
      <w:r>
        <w:rPr/>
        <w:t>and</w:t>
      </w:r>
      <w:r>
        <w:rPr>
          <w:spacing w:val="-18"/>
        </w:rPr>
        <w:t> </w:t>
      </w:r>
      <w:r>
        <w:rPr/>
        <w:t>SimMan)</w:t>
      </w:r>
      <w:r>
        <w:rPr>
          <w:spacing w:val="-18"/>
        </w:rPr>
        <w:t> </w:t>
      </w:r>
      <w:r>
        <w:rPr/>
        <w:t>in</w:t>
      </w:r>
      <w:r>
        <w:rPr>
          <w:spacing w:val="-18"/>
        </w:rPr>
        <w:t> </w:t>
      </w:r>
      <w:r>
        <w:rPr/>
        <w:t>clinical</w:t>
      </w:r>
      <w:r>
        <w:rPr>
          <w:spacing w:val="-18"/>
        </w:rPr>
        <w:t> </w:t>
      </w:r>
      <w:r>
        <w:rPr/>
        <w:t>teaching</w:t>
      </w:r>
    </w:p>
    <w:p>
      <w:pPr>
        <w:pStyle w:val="BodyText"/>
        <w:spacing w:line="249" w:lineRule="auto"/>
        <w:ind w:left="107" w:right="-2"/>
      </w:pPr>
      <w:r>
        <w:rPr/>
        <w:t>by introducing new leased equipment for nursing and midwifery. This manages costs while</w:t>
      </w:r>
      <w:r>
        <w:rPr>
          <w:spacing w:val="-16"/>
        </w:rPr>
        <w:t> </w:t>
      </w:r>
      <w:r>
        <w:rPr/>
        <w:t>ensuring</w:t>
      </w:r>
      <w:r>
        <w:rPr>
          <w:spacing w:val="-16"/>
        </w:rPr>
        <w:t> </w:t>
      </w:r>
      <w:r>
        <w:rPr/>
        <w:t>students</w:t>
      </w:r>
      <w:r>
        <w:rPr>
          <w:spacing w:val="-16"/>
        </w:rPr>
        <w:t> </w:t>
      </w:r>
      <w:r>
        <w:rPr/>
        <w:t>can</w:t>
      </w:r>
      <w:r>
        <w:rPr>
          <w:spacing w:val="-16"/>
        </w:rPr>
        <w:t> </w:t>
      </w:r>
      <w:r>
        <w:rPr/>
        <w:t>access</w:t>
      </w:r>
      <w:r>
        <w:rPr>
          <w:spacing w:val="-16"/>
        </w:rPr>
        <w:t> </w:t>
      </w:r>
      <w:r>
        <w:rPr/>
        <w:t>the</w:t>
      </w:r>
      <w:r>
        <w:rPr>
          <w:spacing w:val="-16"/>
        </w:rPr>
        <w:t> </w:t>
      </w:r>
      <w:r>
        <w:rPr/>
        <w:t>latest simulation</w:t>
      </w:r>
      <w:r>
        <w:rPr>
          <w:spacing w:val="-19"/>
        </w:rPr>
        <w:t> </w:t>
      </w:r>
      <w:r>
        <w:rPr/>
        <w:t>equipment</w:t>
      </w:r>
      <w:r>
        <w:rPr>
          <w:spacing w:val="-19"/>
        </w:rPr>
        <w:t> </w:t>
      </w:r>
      <w:r>
        <w:rPr/>
        <w:t>to</w:t>
      </w:r>
      <w:r>
        <w:rPr>
          <w:spacing w:val="-19"/>
        </w:rPr>
        <w:t> </w:t>
      </w:r>
      <w:r>
        <w:rPr/>
        <w:t>enhance</w:t>
      </w:r>
      <w:r>
        <w:rPr>
          <w:spacing w:val="-19"/>
        </w:rPr>
        <w:t> </w:t>
      </w:r>
      <w:r>
        <w:rPr/>
        <w:t>clinical</w:t>
      </w:r>
      <w:r>
        <w:rPr>
          <w:spacing w:val="-19"/>
        </w:rPr>
        <w:t> </w:t>
      </w:r>
      <w:r>
        <w:rPr/>
        <w:t>skills in</w:t>
      </w:r>
      <w:r>
        <w:rPr>
          <w:spacing w:val="-24"/>
        </w:rPr>
        <w:t> </w:t>
      </w:r>
      <w:r>
        <w:rPr/>
        <w:t>a</w:t>
      </w:r>
      <w:r>
        <w:rPr>
          <w:spacing w:val="-24"/>
        </w:rPr>
        <w:t> </w:t>
      </w:r>
      <w:r>
        <w:rPr/>
        <w:t>safe</w:t>
      </w:r>
      <w:r>
        <w:rPr>
          <w:spacing w:val="-24"/>
        </w:rPr>
        <w:t> </w:t>
      </w:r>
      <w:r>
        <w:rPr/>
        <w:t>learning</w:t>
      </w:r>
      <w:r>
        <w:rPr>
          <w:spacing w:val="-24"/>
        </w:rPr>
        <w:t> </w:t>
      </w:r>
      <w:r>
        <w:rPr/>
        <w:t>environment.</w:t>
      </w:r>
      <w:r>
        <w:rPr>
          <w:spacing w:val="-24"/>
        </w:rPr>
        <w:t> </w:t>
      </w:r>
      <w:r>
        <w:rPr/>
        <w:t>This</w:t>
      </w:r>
      <w:r>
        <w:rPr>
          <w:spacing w:val="-24"/>
        </w:rPr>
        <w:t> </w:t>
      </w:r>
      <w:r>
        <w:rPr/>
        <w:t>learning</w:t>
      </w:r>
    </w:p>
    <w:p>
      <w:pPr>
        <w:pStyle w:val="BodyText"/>
        <w:spacing w:line="249" w:lineRule="auto"/>
        <w:ind w:left="107" w:right="-2"/>
      </w:pPr>
      <w:r>
        <w:rPr/>
        <w:t>is reinforced by students creating clinical practice skill videos, often in LHD settings, which are embedded in Professional Practice Experience (PPE) units and cover foundation skills including administering medicine.</w:t>
      </w:r>
    </w:p>
    <w:p>
      <w:pPr>
        <w:pStyle w:val="BodyText"/>
        <w:spacing w:before="6"/>
        <w:rPr>
          <w:sz w:val="14"/>
        </w:rPr>
      </w:pPr>
    </w:p>
    <w:p>
      <w:pPr>
        <w:pStyle w:val="Heading7"/>
      </w:pPr>
      <w:r>
        <w:rPr>
          <w:color w:val="615C58"/>
          <w:w w:val="95"/>
        </w:rPr>
        <w:t>Undergraduate Courses</w:t>
      </w:r>
    </w:p>
    <w:p>
      <w:pPr>
        <w:pStyle w:val="BodyText"/>
        <w:spacing w:line="249" w:lineRule="auto" w:before="86"/>
        <w:ind w:left="107" w:right="173"/>
      </w:pPr>
      <w:r>
        <w:rPr/>
        <w:t>The undergraduate summer unit ‘A Field Study: Comparative Studies of Health Care Delivery’ allows students to undertake an overseas field trip. Students who meet</w:t>
      </w:r>
    </w:p>
    <w:p>
      <w:pPr>
        <w:pStyle w:val="BodyText"/>
        <w:spacing w:line="249" w:lineRule="auto"/>
        <w:ind w:left="107" w:right="-2"/>
      </w:pPr>
      <w:r>
        <w:rPr/>
        <w:t>the criteria are funded by the Australian Government’s New Colombo Plan Mobility Program, which the School successfully </w:t>
      </w:r>
      <w:r>
        <w:rPr>
          <w:spacing w:val="1"/>
          <w:w w:val="98"/>
        </w:rPr>
        <w:t>applied</w:t>
      </w:r>
      <w:r>
        <w:rPr>
          <w:w w:val="98"/>
        </w:rPr>
        <w:t> </w:t>
      </w:r>
      <w:r>
        <w:rPr>
          <w:w w:val="98"/>
        </w:rPr>
        <w:t>for </w:t>
      </w:r>
      <w:r>
        <w:rPr>
          <w:w w:val="95"/>
        </w:rPr>
        <w:t>in </w:t>
      </w:r>
      <w:r>
        <w:rPr>
          <w:spacing w:val="2"/>
          <w:w w:val="85"/>
        </w:rPr>
        <w:t>2016.</w:t>
      </w:r>
      <w:r>
        <w:rPr>
          <w:w w:val="85"/>
        </w:rPr>
        <w:t> </w:t>
      </w:r>
      <w:r>
        <w:rPr>
          <w:spacing w:val="1"/>
          <w:w w:val="98"/>
        </w:rPr>
        <w:t>Students</w:t>
      </w:r>
      <w:r>
        <w:rPr>
          <w:w w:val="98"/>
        </w:rPr>
        <w:t> </w:t>
      </w:r>
      <w:r>
        <w:rPr>
          <w:w w:val="97"/>
        </w:rPr>
        <w:t>travelled </w:t>
      </w:r>
      <w:r>
        <w:rPr>
          <w:spacing w:val="-1"/>
          <w:w w:val="101"/>
        </w:rPr>
        <w:t>to</w:t>
      </w:r>
      <w:r>
        <w:rPr>
          <w:w w:val="101"/>
        </w:rPr>
        <w:t> </w:t>
      </w:r>
      <w:r>
        <w:rPr/>
        <w:t>Wuhan,</w:t>
      </w:r>
      <w:r>
        <w:rPr>
          <w:spacing w:val="-21"/>
        </w:rPr>
        <w:t> </w:t>
      </w:r>
      <w:r>
        <w:rPr/>
        <w:t>China,</w:t>
      </w:r>
      <w:r>
        <w:rPr>
          <w:spacing w:val="-21"/>
        </w:rPr>
        <w:t> </w:t>
      </w:r>
      <w:r>
        <w:rPr/>
        <w:t>to</w:t>
      </w:r>
      <w:r>
        <w:rPr>
          <w:spacing w:val="-21"/>
        </w:rPr>
        <w:t> </w:t>
      </w:r>
      <w:r>
        <w:rPr/>
        <w:t>visit</w:t>
      </w:r>
      <w:r>
        <w:rPr>
          <w:spacing w:val="-21"/>
        </w:rPr>
        <w:t> </w:t>
      </w:r>
      <w:r>
        <w:rPr/>
        <w:t>a</w:t>
      </w:r>
      <w:r>
        <w:rPr>
          <w:spacing w:val="-21"/>
        </w:rPr>
        <w:t> </w:t>
      </w:r>
      <w:r>
        <w:rPr/>
        <w:t>range</w:t>
      </w:r>
      <w:r>
        <w:rPr>
          <w:spacing w:val="-21"/>
        </w:rPr>
        <w:t> </w:t>
      </w:r>
      <w:r>
        <w:rPr/>
        <w:t>of</w:t>
      </w:r>
      <w:r>
        <w:rPr>
          <w:spacing w:val="-21"/>
        </w:rPr>
        <w:t> </w:t>
      </w:r>
      <w:r>
        <w:rPr/>
        <w:t>healthcare</w:t>
      </w:r>
    </w:p>
    <w:p>
      <w:pPr>
        <w:pStyle w:val="BodyText"/>
        <w:spacing w:before="10"/>
      </w:pPr>
      <w:r>
        <w:rPr/>
        <w:br w:type="column"/>
      </w:r>
      <w:r>
        <w:rPr/>
      </w:r>
    </w:p>
    <w:p>
      <w:pPr>
        <w:pStyle w:val="BodyText"/>
        <w:spacing w:line="249" w:lineRule="auto"/>
        <w:ind w:left="107" w:right="-2"/>
      </w:pPr>
      <w:r>
        <w:rPr/>
        <w:t>facilities, including two major metropolitan hospitals</w:t>
      </w:r>
      <w:r>
        <w:rPr>
          <w:spacing w:val="-17"/>
        </w:rPr>
        <w:t> </w:t>
      </w:r>
      <w:r>
        <w:rPr/>
        <w:t>ranked</w:t>
      </w:r>
      <w:r>
        <w:rPr>
          <w:spacing w:val="-17"/>
        </w:rPr>
        <w:t> </w:t>
      </w:r>
      <w:r>
        <w:rPr/>
        <w:t>in</w:t>
      </w:r>
      <w:r>
        <w:rPr>
          <w:spacing w:val="-17"/>
        </w:rPr>
        <w:t> </w:t>
      </w:r>
      <w:r>
        <w:rPr/>
        <w:t>the</w:t>
      </w:r>
      <w:r>
        <w:rPr>
          <w:spacing w:val="-17"/>
        </w:rPr>
        <w:t> </w:t>
      </w:r>
      <w:r>
        <w:rPr/>
        <w:t>top</w:t>
      </w:r>
      <w:r>
        <w:rPr>
          <w:spacing w:val="-17"/>
        </w:rPr>
        <w:t> </w:t>
      </w:r>
      <w:r>
        <w:rPr/>
        <w:t>20</w:t>
      </w:r>
      <w:r>
        <w:rPr>
          <w:spacing w:val="-17"/>
        </w:rPr>
        <w:t> </w:t>
      </w:r>
      <w:r>
        <w:rPr/>
        <w:t>in</w:t>
      </w:r>
      <w:r>
        <w:rPr>
          <w:spacing w:val="-17"/>
        </w:rPr>
        <w:t> </w:t>
      </w:r>
      <w:r>
        <w:rPr/>
        <w:t>China</w:t>
      </w:r>
      <w:r>
        <w:rPr>
          <w:spacing w:val="-17"/>
        </w:rPr>
        <w:t> </w:t>
      </w:r>
      <w:r>
        <w:rPr/>
        <w:t>(visiting emergency, operating theatres, the intensive care</w:t>
      </w:r>
      <w:r>
        <w:rPr>
          <w:spacing w:val="-18"/>
        </w:rPr>
        <w:t> </w:t>
      </w:r>
      <w:r>
        <w:rPr/>
        <w:t>unit,</w:t>
      </w:r>
      <w:r>
        <w:rPr>
          <w:spacing w:val="-18"/>
        </w:rPr>
        <w:t> </w:t>
      </w:r>
      <w:r>
        <w:rPr/>
        <w:t>the</w:t>
      </w:r>
      <w:r>
        <w:rPr>
          <w:spacing w:val="-18"/>
        </w:rPr>
        <w:t> </w:t>
      </w:r>
      <w:r>
        <w:rPr/>
        <w:t>coronary</w:t>
      </w:r>
      <w:r>
        <w:rPr>
          <w:spacing w:val="-18"/>
        </w:rPr>
        <w:t> </w:t>
      </w:r>
      <w:r>
        <w:rPr/>
        <w:t>care</w:t>
      </w:r>
      <w:r>
        <w:rPr>
          <w:spacing w:val="-18"/>
        </w:rPr>
        <w:t> </w:t>
      </w:r>
      <w:r>
        <w:rPr/>
        <w:t>unit,</w:t>
      </w:r>
      <w:r>
        <w:rPr>
          <w:spacing w:val="-18"/>
        </w:rPr>
        <w:t> </w:t>
      </w:r>
      <w:r>
        <w:rPr/>
        <w:t>and</w:t>
      </w:r>
      <w:r>
        <w:rPr>
          <w:spacing w:val="-18"/>
        </w:rPr>
        <w:t> </w:t>
      </w:r>
      <w:r>
        <w:rPr/>
        <w:t>surgical and medical specialities), aged care facilities, mental health facilities, community health centres and a community hospital. Several students</w:t>
      </w:r>
      <w:r>
        <w:rPr>
          <w:spacing w:val="-15"/>
        </w:rPr>
        <w:t> </w:t>
      </w:r>
      <w:r>
        <w:rPr/>
        <w:t>also</w:t>
      </w:r>
      <w:r>
        <w:rPr>
          <w:spacing w:val="-15"/>
        </w:rPr>
        <w:t> </w:t>
      </w:r>
      <w:r>
        <w:rPr/>
        <w:t>chose</w:t>
      </w:r>
      <w:r>
        <w:rPr>
          <w:spacing w:val="-15"/>
        </w:rPr>
        <w:t> </w:t>
      </w:r>
      <w:r>
        <w:rPr/>
        <w:t>to</w:t>
      </w:r>
      <w:r>
        <w:rPr>
          <w:spacing w:val="-15"/>
        </w:rPr>
        <w:t> </w:t>
      </w:r>
      <w:r>
        <w:rPr/>
        <w:t>visit</w:t>
      </w:r>
      <w:r>
        <w:rPr>
          <w:spacing w:val="-15"/>
        </w:rPr>
        <w:t> </w:t>
      </w:r>
      <w:r>
        <w:rPr/>
        <w:t>regional</w:t>
      </w:r>
      <w:r>
        <w:rPr>
          <w:spacing w:val="-15"/>
        </w:rPr>
        <w:t> </w:t>
      </w:r>
      <w:r>
        <w:rPr/>
        <w:t>Australian communities at Menindee Lakes and Broken Hill to focus on rural and remote Australian </w:t>
      </w:r>
      <w:r>
        <w:rPr>
          <w:w w:val="95"/>
        </w:rPr>
        <w:t>health</w:t>
      </w:r>
      <w:r>
        <w:rPr>
          <w:spacing w:val="1"/>
          <w:w w:val="95"/>
        </w:rPr>
        <w:t> </w:t>
      </w:r>
      <w:r>
        <w:rPr>
          <w:w w:val="95"/>
        </w:rPr>
        <w:t>care.</w:t>
      </w:r>
    </w:p>
    <w:p>
      <w:pPr>
        <w:pStyle w:val="BodyText"/>
        <w:rPr>
          <w:sz w:val="14"/>
        </w:rPr>
      </w:pPr>
    </w:p>
    <w:p>
      <w:pPr>
        <w:pStyle w:val="BodyText"/>
        <w:spacing w:line="249" w:lineRule="auto"/>
        <w:ind w:left="107" w:right="11"/>
      </w:pPr>
      <w:r>
        <w:rPr/>
        <w:t>The</w:t>
      </w:r>
      <w:r>
        <w:rPr>
          <w:spacing w:val="-13"/>
        </w:rPr>
        <w:t> </w:t>
      </w:r>
      <w:r>
        <w:rPr/>
        <w:t>second</w:t>
      </w:r>
      <w:r>
        <w:rPr>
          <w:spacing w:val="-13"/>
        </w:rPr>
        <w:t> </w:t>
      </w:r>
      <w:r>
        <w:rPr/>
        <w:t>cohort</w:t>
      </w:r>
      <w:r>
        <w:rPr>
          <w:spacing w:val="-13"/>
        </w:rPr>
        <w:t> </w:t>
      </w:r>
      <w:r>
        <w:rPr/>
        <w:t>of</w:t>
      </w:r>
      <w:r>
        <w:rPr>
          <w:spacing w:val="-13"/>
        </w:rPr>
        <w:t> </w:t>
      </w:r>
      <w:r>
        <w:rPr/>
        <w:t>first-year</w:t>
      </w:r>
      <w:r>
        <w:rPr>
          <w:spacing w:val="-13"/>
        </w:rPr>
        <w:t> </w:t>
      </w:r>
      <w:r>
        <w:rPr/>
        <w:t>BN</w:t>
      </w:r>
      <w:r>
        <w:rPr>
          <w:spacing w:val="-13"/>
        </w:rPr>
        <w:t> </w:t>
      </w:r>
      <w:r>
        <w:rPr/>
        <w:t>students</w:t>
      </w:r>
      <w:r>
        <w:rPr>
          <w:spacing w:val="-13"/>
        </w:rPr>
        <w:t> </w:t>
      </w:r>
      <w:r>
        <w:rPr/>
        <w:t>at the Lithgow campus successfully completed their</w:t>
      </w:r>
      <w:r>
        <w:rPr>
          <w:spacing w:val="-17"/>
        </w:rPr>
        <w:t> </w:t>
      </w:r>
      <w:r>
        <w:rPr/>
        <w:t>first</w:t>
      </w:r>
      <w:r>
        <w:rPr>
          <w:spacing w:val="-17"/>
        </w:rPr>
        <w:t> </w:t>
      </w:r>
      <w:r>
        <w:rPr/>
        <w:t>year</w:t>
      </w:r>
      <w:r>
        <w:rPr>
          <w:spacing w:val="-17"/>
        </w:rPr>
        <w:t> </w:t>
      </w:r>
      <w:r>
        <w:rPr/>
        <w:t>and</w:t>
      </w:r>
      <w:r>
        <w:rPr>
          <w:spacing w:val="-17"/>
        </w:rPr>
        <w:t> </w:t>
      </w:r>
      <w:r>
        <w:rPr/>
        <w:t>transferred</w:t>
      </w:r>
      <w:r>
        <w:rPr>
          <w:spacing w:val="-17"/>
        </w:rPr>
        <w:t> </w:t>
      </w:r>
      <w:r>
        <w:rPr/>
        <w:t>to</w:t>
      </w:r>
      <w:r>
        <w:rPr>
          <w:spacing w:val="-17"/>
        </w:rPr>
        <w:t> </w:t>
      </w:r>
      <w:r>
        <w:rPr/>
        <w:t>Parramatta, Hawkesbury or Campbelltown for the final two years of their course. The program has had successful educational outcomes and promoted positive engagement with local health</w:t>
      </w:r>
      <w:r>
        <w:rPr>
          <w:spacing w:val="-21"/>
        </w:rPr>
        <w:t> </w:t>
      </w:r>
      <w:r>
        <w:rPr/>
        <w:t>services</w:t>
      </w:r>
      <w:r>
        <w:rPr>
          <w:spacing w:val="-21"/>
        </w:rPr>
        <w:t> </w:t>
      </w:r>
      <w:r>
        <w:rPr/>
        <w:t>and</w:t>
      </w:r>
      <w:r>
        <w:rPr>
          <w:spacing w:val="-21"/>
        </w:rPr>
        <w:t> </w:t>
      </w:r>
      <w:r>
        <w:rPr/>
        <w:t>the</w:t>
      </w:r>
      <w:r>
        <w:rPr>
          <w:spacing w:val="-21"/>
        </w:rPr>
        <w:t> </w:t>
      </w:r>
      <w:r>
        <w:rPr/>
        <w:t>community.</w:t>
      </w:r>
    </w:p>
    <w:p>
      <w:pPr>
        <w:pStyle w:val="BodyText"/>
        <w:rPr>
          <w:sz w:val="14"/>
        </w:rPr>
      </w:pPr>
    </w:p>
    <w:p>
      <w:pPr>
        <w:pStyle w:val="BodyText"/>
        <w:spacing w:line="249" w:lineRule="auto"/>
        <w:ind w:left="107" w:right="-8"/>
      </w:pPr>
      <w:r>
        <w:rPr/>
        <w:t>The Bachelor of Nursing (Advanced) course, which offers high-achieving students the resources and advantages of The Academy, continues to successfully develop future nursing leaders and researchers. Students participate in mentoring programs and extension activities that develop their leadership</w:t>
      </w:r>
      <w:r>
        <w:rPr>
          <w:spacing w:val="-13"/>
        </w:rPr>
        <w:t> </w:t>
      </w:r>
      <w:r>
        <w:rPr/>
        <w:t>capacity</w:t>
      </w:r>
      <w:r>
        <w:rPr>
          <w:spacing w:val="-13"/>
        </w:rPr>
        <w:t> </w:t>
      </w:r>
      <w:r>
        <w:rPr/>
        <w:t>and</w:t>
      </w:r>
      <w:r>
        <w:rPr>
          <w:spacing w:val="-13"/>
        </w:rPr>
        <w:t> </w:t>
      </w:r>
      <w:r>
        <w:rPr/>
        <w:t>encourage</w:t>
      </w:r>
      <w:r>
        <w:rPr>
          <w:spacing w:val="-13"/>
        </w:rPr>
        <w:t> </w:t>
      </w:r>
      <w:r>
        <w:rPr/>
        <w:t>interaction and</w:t>
      </w:r>
      <w:r>
        <w:rPr>
          <w:spacing w:val="-18"/>
        </w:rPr>
        <w:t> </w:t>
      </w:r>
      <w:r>
        <w:rPr/>
        <w:t>participation</w:t>
      </w:r>
      <w:r>
        <w:rPr>
          <w:spacing w:val="-18"/>
        </w:rPr>
        <w:t> </w:t>
      </w:r>
      <w:r>
        <w:rPr/>
        <w:t>with</w:t>
      </w:r>
      <w:r>
        <w:rPr>
          <w:spacing w:val="-18"/>
        </w:rPr>
        <w:t> </w:t>
      </w:r>
      <w:r>
        <w:rPr/>
        <w:t>research</w:t>
      </w:r>
      <w:r>
        <w:rPr>
          <w:spacing w:val="-18"/>
        </w:rPr>
        <w:t> </w:t>
      </w:r>
      <w:r>
        <w:rPr/>
        <w:t>activities</w:t>
      </w:r>
      <w:r>
        <w:rPr>
          <w:spacing w:val="-18"/>
        </w:rPr>
        <w:t> </w:t>
      </w:r>
      <w:r>
        <w:rPr/>
        <w:t>in</w:t>
      </w:r>
      <w:r>
        <w:rPr>
          <w:spacing w:val="-18"/>
        </w:rPr>
        <w:t> </w:t>
      </w:r>
      <w:r>
        <w:rPr/>
        <w:t>the </w:t>
      </w:r>
      <w:r>
        <w:rPr>
          <w:spacing w:val="1"/>
          <w:w w:val="98"/>
        </w:rPr>
        <w:t>School</w:t>
      </w:r>
      <w:r>
        <w:rPr>
          <w:w w:val="98"/>
        </w:rPr>
        <w:t> </w:t>
      </w:r>
      <w:r>
        <w:rPr>
          <w:spacing w:val="1"/>
          <w:w w:val="97"/>
        </w:rPr>
        <w:t>and</w:t>
      </w:r>
      <w:r>
        <w:rPr>
          <w:w w:val="97"/>
        </w:rPr>
        <w:t> </w:t>
      </w:r>
      <w:r>
        <w:rPr>
          <w:w w:val="95"/>
        </w:rPr>
        <w:t>University. </w:t>
      </w:r>
      <w:r>
        <w:rPr>
          <w:spacing w:val="1"/>
          <w:w w:val="80"/>
        </w:rPr>
        <w:t>In</w:t>
      </w:r>
      <w:r>
        <w:rPr>
          <w:w w:val="80"/>
        </w:rPr>
        <w:t> </w:t>
      </w:r>
      <w:r>
        <w:rPr>
          <w:spacing w:val="2"/>
          <w:w w:val="85"/>
        </w:rPr>
        <w:t>2016,</w:t>
      </w:r>
      <w:r>
        <w:rPr>
          <w:w w:val="85"/>
        </w:rPr>
        <w:t> </w:t>
      </w:r>
      <w:r>
        <w:rPr>
          <w:w w:val="96"/>
        </w:rPr>
        <w:t>seven </w:t>
      </w:r>
      <w:r>
        <w:rPr>
          <w:spacing w:val="1"/>
          <w:w w:val="97"/>
        </w:rPr>
        <w:t>students</w:t>
      </w:r>
      <w:r>
        <w:rPr>
          <w:w w:val="97"/>
        </w:rPr>
        <w:t> </w:t>
      </w:r>
      <w:r>
        <w:rPr/>
        <w:t>received undergraduate scholarships from NSW</w:t>
      </w:r>
      <w:r>
        <w:rPr>
          <w:spacing w:val="-14"/>
        </w:rPr>
        <w:t> </w:t>
      </w:r>
      <w:r>
        <w:rPr/>
        <w:t>Health’s</w:t>
      </w:r>
      <w:r>
        <w:rPr>
          <w:spacing w:val="-14"/>
        </w:rPr>
        <w:t> </w:t>
      </w:r>
      <w:r>
        <w:rPr/>
        <w:t>Nursing</w:t>
      </w:r>
      <w:r>
        <w:rPr>
          <w:spacing w:val="-14"/>
        </w:rPr>
        <w:t> </w:t>
      </w:r>
      <w:r>
        <w:rPr/>
        <w:t>and</w:t>
      </w:r>
      <w:r>
        <w:rPr>
          <w:spacing w:val="-14"/>
        </w:rPr>
        <w:t> </w:t>
      </w:r>
      <w:r>
        <w:rPr/>
        <w:t>Midwifery</w:t>
      </w:r>
      <w:r>
        <w:rPr>
          <w:spacing w:val="-14"/>
        </w:rPr>
        <w:t> </w:t>
      </w:r>
      <w:r>
        <w:rPr/>
        <w:t>Office</w:t>
      </w:r>
    </w:p>
    <w:p>
      <w:pPr>
        <w:pStyle w:val="BodyText"/>
        <w:spacing w:line="249" w:lineRule="auto"/>
        <w:ind w:left="107" w:right="80"/>
      </w:pPr>
      <w:r>
        <w:rPr/>
        <w:t>to attend the Australian College of Nursing’s National Nursing Forum in Melbourne.</w:t>
      </w:r>
    </w:p>
    <w:p>
      <w:pPr>
        <w:pStyle w:val="BodyText"/>
        <w:rPr>
          <w:sz w:val="14"/>
        </w:rPr>
      </w:pPr>
    </w:p>
    <w:p>
      <w:pPr>
        <w:pStyle w:val="BodyText"/>
        <w:spacing w:line="249" w:lineRule="auto"/>
        <w:ind w:left="107" w:right="157"/>
        <w:jc w:val="both"/>
      </w:pPr>
      <w:r>
        <w:rPr/>
        <w:t>The</w:t>
      </w:r>
      <w:r>
        <w:rPr>
          <w:spacing w:val="-12"/>
        </w:rPr>
        <w:t> </w:t>
      </w:r>
      <w:r>
        <w:rPr/>
        <w:t>first</w:t>
      </w:r>
      <w:r>
        <w:rPr>
          <w:spacing w:val="-12"/>
        </w:rPr>
        <w:t> </w:t>
      </w:r>
      <w:r>
        <w:rPr/>
        <w:t>cohort</w:t>
      </w:r>
      <w:r>
        <w:rPr>
          <w:spacing w:val="-12"/>
        </w:rPr>
        <w:t> </w:t>
      </w:r>
      <w:r>
        <w:rPr/>
        <w:t>of</w:t>
      </w:r>
      <w:r>
        <w:rPr>
          <w:spacing w:val="-12"/>
        </w:rPr>
        <w:t> </w:t>
      </w:r>
      <w:r>
        <w:rPr/>
        <w:t>the</w:t>
      </w:r>
      <w:r>
        <w:rPr>
          <w:spacing w:val="-12"/>
        </w:rPr>
        <w:t> </w:t>
      </w:r>
      <w:r>
        <w:rPr/>
        <w:t>Bachelor</w:t>
      </w:r>
      <w:r>
        <w:rPr>
          <w:spacing w:val="-12"/>
        </w:rPr>
        <w:t> </w:t>
      </w:r>
      <w:r>
        <w:rPr/>
        <w:t>of</w:t>
      </w:r>
      <w:r>
        <w:rPr>
          <w:spacing w:val="-12"/>
        </w:rPr>
        <w:t> </w:t>
      </w:r>
      <w:r>
        <w:rPr/>
        <w:t>Midwifery </w:t>
      </w:r>
      <w:r>
        <w:rPr>
          <w:spacing w:val="2"/>
          <w:w w:val="98"/>
        </w:rPr>
        <w:t>(BM)</w:t>
      </w:r>
      <w:r>
        <w:rPr>
          <w:spacing w:val="-10"/>
          <w:w w:val="98"/>
        </w:rPr>
        <w:t> </w:t>
      </w:r>
      <w:r>
        <w:rPr>
          <w:spacing w:val="1"/>
          <w:w w:val="98"/>
        </w:rPr>
        <w:t>graduated</w:t>
      </w:r>
      <w:r>
        <w:rPr>
          <w:spacing w:val="-10"/>
          <w:w w:val="98"/>
        </w:rPr>
        <w:t> </w:t>
      </w:r>
      <w:r>
        <w:rPr>
          <w:w w:val="95"/>
        </w:rPr>
        <w:t>in</w:t>
      </w:r>
      <w:r>
        <w:rPr>
          <w:spacing w:val="-9"/>
          <w:w w:val="95"/>
        </w:rPr>
        <w:t> </w:t>
      </w:r>
      <w:r>
        <w:rPr>
          <w:spacing w:val="1"/>
          <w:w w:val="96"/>
        </w:rPr>
        <w:t>early</w:t>
      </w:r>
      <w:r>
        <w:rPr>
          <w:spacing w:val="-10"/>
          <w:w w:val="96"/>
        </w:rPr>
        <w:t> </w:t>
      </w:r>
      <w:r>
        <w:rPr>
          <w:spacing w:val="1"/>
          <w:w w:val="90"/>
        </w:rPr>
        <w:t>2016</w:t>
      </w:r>
      <w:r>
        <w:rPr>
          <w:spacing w:val="-6"/>
          <w:w w:val="90"/>
        </w:rPr>
        <w:t> </w:t>
      </w:r>
      <w:r>
        <w:rPr>
          <w:w w:val="98"/>
        </w:rPr>
        <w:t>with</w:t>
      </w:r>
      <w:r>
        <w:rPr>
          <w:spacing w:val="-10"/>
          <w:w w:val="98"/>
        </w:rPr>
        <w:t> </w:t>
      </w:r>
      <w:r>
        <w:rPr>
          <w:w w:val="94"/>
        </w:rPr>
        <w:t>a</w:t>
      </w:r>
      <w:r>
        <w:rPr>
          <w:spacing w:val="-8"/>
          <w:w w:val="94"/>
        </w:rPr>
        <w:t> </w:t>
      </w:r>
      <w:r>
        <w:rPr>
          <w:spacing w:val="2"/>
          <w:w w:val="92"/>
        </w:rPr>
        <w:t>100</w:t>
      </w:r>
      <w:r>
        <w:rPr>
          <w:spacing w:val="-7"/>
          <w:w w:val="92"/>
        </w:rPr>
        <w:t> </w:t>
      </w:r>
      <w:r>
        <w:rPr>
          <w:spacing w:val="1"/>
          <w:w w:val="97"/>
        </w:rPr>
        <w:t>per</w:t>
      </w:r>
      <w:r>
        <w:rPr>
          <w:w w:val="97"/>
        </w:rPr>
        <w:t> </w:t>
      </w:r>
      <w:r>
        <w:rPr/>
        <w:t>cent</w:t>
      </w:r>
      <w:r>
        <w:rPr>
          <w:spacing w:val="-18"/>
        </w:rPr>
        <w:t> </w:t>
      </w:r>
      <w:r>
        <w:rPr/>
        <w:t>employment</w:t>
      </w:r>
      <w:r>
        <w:rPr>
          <w:spacing w:val="-18"/>
        </w:rPr>
        <w:t> </w:t>
      </w:r>
      <w:r>
        <w:rPr/>
        <w:t>rate</w:t>
      </w:r>
      <w:r>
        <w:rPr>
          <w:spacing w:val="-18"/>
        </w:rPr>
        <w:t> </w:t>
      </w:r>
      <w:r>
        <w:rPr/>
        <w:t>in</w:t>
      </w:r>
      <w:r>
        <w:rPr>
          <w:spacing w:val="-18"/>
        </w:rPr>
        <w:t> </w:t>
      </w:r>
      <w:r>
        <w:rPr/>
        <w:t>maternity</w:t>
      </w:r>
      <w:r>
        <w:rPr>
          <w:spacing w:val="-18"/>
        </w:rPr>
        <w:t> </w:t>
      </w:r>
      <w:r>
        <w:rPr/>
        <w:t>units</w:t>
      </w:r>
    </w:p>
    <w:p>
      <w:pPr>
        <w:pStyle w:val="BodyText"/>
        <w:spacing w:line="249" w:lineRule="auto"/>
        <w:ind w:left="107" w:right="175"/>
      </w:pPr>
      <w:r>
        <w:rPr/>
        <w:t>in NSW. Midwifery students successfully obtained</w:t>
      </w:r>
      <w:r>
        <w:rPr>
          <w:spacing w:val="-15"/>
        </w:rPr>
        <w:t> </w:t>
      </w:r>
      <w:r>
        <w:rPr/>
        <w:t>six</w:t>
      </w:r>
      <w:r>
        <w:rPr>
          <w:spacing w:val="-15"/>
        </w:rPr>
        <w:t> </w:t>
      </w:r>
      <w:r>
        <w:rPr/>
        <w:t>of</w:t>
      </w:r>
      <w:r>
        <w:rPr>
          <w:spacing w:val="-15"/>
        </w:rPr>
        <w:t> </w:t>
      </w:r>
      <w:r>
        <w:rPr/>
        <w:t>the</w:t>
      </w:r>
      <w:r>
        <w:rPr>
          <w:spacing w:val="-15"/>
        </w:rPr>
        <w:t> </w:t>
      </w:r>
      <w:r>
        <w:rPr/>
        <w:t>20</w:t>
      </w:r>
      <w:r>
        <w:rPr>
          <w:spacing w:val="-15"/>
        </w:rPr>
        <w:t> </w:t>
      </w:r>
      <w:r>
        <w:rPr/>
        <w:t>available</w:t>
      </w:r>
      <w:r>
        <w:rPr>
          <w:spacing w:val="-15"/>
        </w:rPr>
        <w:t> </w:t>
      </w:r>
      <w:r>
        <w:rPr/>
        <w:t>scholarships </w:t>
      </w:r>
      <w:r>
        <w:rPr>
          <w:spacing w:val="-1"/>
          <w:w w:val="101"/>
        </w:rPr>
        <w:t>to</w:t>
      </w:r>
      <w:r>
        <w:rPr>
          <w:spacing w:val="-11"/>
          <w:w w:val="101"/>
        </w:rPr>
        <w:t> </w:t>
      </w:r>
      <w:r>
        <w:rPr>
          <w:spacing w:val="1"/>
          <w:w w:val="98"/>
        </w:rPr>
        <w:t>attend</w:t>
      </w:r>
      <w:r>
        <w:rPr>
          <w:spacing w:val="-10"/>
          <w:w w:val="98"/>
        </w:rPr>
        <w:t> </w:t>
      </w:r>
      <w:r>
        <w:rPr>
          <w:w w:val="97"/>
        </w:rPr>
        <w:t>the</w:t>
      </w:r>
      <w:r>
        <w:rPr>
          <w:spacing w:val="-10"/>
          <w:w w:val="97"/>
        </w:rPr>
        <w:t> </w:t>
      </w:r>
      <w:r>
        <w:rPr>
          <w:spacing w:val="1"/>
          <w:w w:val="90"/>
        </w:rPr>
        <w:t>2016</w:t>
      </w:r>
      <w:r>
        <w:rPr>
          <w:spacing w:val="-6"/>
          <w:w w:val="90"/>
        </w:rPr>
        <w:t> </w:t>
      </w:r>
      <w:r>
        <w:rPr>
          <w:spacing w:val="-1"/>
          <w:w w:val="98"/>
        </w:rPr>
        <w:t>State</w:t>
      </w:r>
      <w:r>
        <w:rPr>
          <w:spacing w:val="-10"/>
          <w:w w:val="98"/>
        </w:rPr>
        <w:t> </w:t>
      </w:r>
      <w:r>
        <w:rPr>
          <w:w w:val="97"/>
        </w:rPr>
        <w:t>Conference</w:t>
      </w:r>
      <w:r>
        <w:rPr>
          <w:spacing w:val="-10"/>
          <w:w w:val="97"/>
        </w:rPr>
        <w:t> </w:t>
      </w:r>
      <w:r>
        <w:rPr>
          <w:spacing w:val="1"/>
          <w:w w:val="97"/>
        </w:rPr>
        <w:t>held</w:t>
      </w:r>
      <w:r>
        <w:rPr>
          <w:spacing w:val="-9"/>
          <w:w w:val="97"/>
        </w:rPr>
        <w:t> </w:t>
      </w:r>
      <w:r>
        <w:rPr>
          <w:spacing w:val="-1"/>
          <w:w w:val="102"/>
        </w:rPr>
        <w:t>by</w:t>
      </w:r>
      <w:r>
        <w:rPr>
          <w:w w:val="102"/>
        </w:rPr>
        <w:t> </w:t>
      </w:r>
      <w:r>
        <w:rPr/>
        <w:t>the NSW Branch of the Australian College of</w:t>
      </w:r>
      <w:r>
        <w:rPr>
          <w:spacing w:val="-17"/>
        </w:rPr>
        <w:t> </w:t>
      </w:r>
      <w:r>
        <w:rPr/>
        <w:t>Midwives.</w:t>
      </w:r>
      <w:r>
        <w:rPr>
          <w:spacing w:val="-17"/>
        </w:rPr>
        <w:t> </w:t>
      </w:r>
      <w:r>
        <w:rPr/>
        <w:t>The</w:t>
      </w:r>
      <w:r>
        <w:rPr>
          <w:spacing w:val="-17"/>
        </w:rPr>
        <w:t> </w:t>
      </w:r>
      <w:r>
        <w:rPr/>
        <w:t>course</w:t>
      </w:r>
      <w:r>
        <w:rPr>
          <w:spacing w:val="-17"/>
        </w:rPr>
        <w:t> </w:t>
      </w:r>
      <w:r>
        <w:rPr/>
        <w:t>continues</w:t>
      </w:r>
      <w:r>
        <w:rPr>
          <w:spacing w:val="-17"/>
        </w:rPr>
        <w:t> </w:t>
      </w:r>
      <w:r>
        <w:rPr/>
        <w:t>to</w:t>
      </w:r>
      <w:r>
        <w:rPr>
          <w:spacing w:val="-17"/>
        </w:rPr>
        <w:t> </w:t>
      </w:r>
      <w:r>
        <w:rPr/>
        <w:t>be</w:t>
      </w:r>
      <w:r>
        <w:rPr>
          <w:spacing w:val="-17"/>
        </w:rPr>
        <w:t> </w:t>
      </w:r>
      <w:r>
        <w:rPr/>
        <w:t>an extremely</w:t>
      </w:r>
      <w:r>
        <w:rPr>
          <w:spacing w:val="-20"/>
        </w:rPr>
        <w:t> </w:t>
      </w:r>
      <w:r>
        <w:rPr/>
        <w:t>popular,</w:t>
      </w:r>
      <w:r>
        <w:rPr>
          <w:spacing w:val="-20"/>
        </w:rPr>
        <w:t> </w:t>
      </w:r>
      <w:r>
        <w:rPr/>
        <w:t>and</w:t>
      </w:r>
      <w:r>
        <w:rPr>
          <w:spacing w:val="-20"/>
        </w:rPr>
        <w:t> </w:t>
      </w:r>
      <w:r>
        <w:rPr/>
        <w:t>entry</w:t>
      </w:r>
      <w:r>
        <w:rPr>
          <w:spacing w:val="-20"/>
        </w:rPr>
        <w:t> </w:t>
      </w:r>
      <w:r>
        <w:rPr/>
        <w:t>is</w:t>
      </w:r>
      <w:r>
        <w:rPr>
          <w:spacing w:val="-20"/>
        </w:rPr>
        <w:t> </w:t>
      </w:r>
      <w:r>
        <w:rPr/>
        <w:t>competitive. </w:t>
      </w: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w w:val="98"/>
        </w:rPr>
        <w:t>introduced </w:t>
      </w:r>
      <w:r>
        <w:rPr>
          <w:spacing w:val="1"/>
          <w:w w:val="97"/>
        </w:rPr>
        <w:t>behavioural</w:t>
      </w:r>
      <w:r>
        <w:rPr>
          <w:w w:val="97"/>
        </w:rPr>
        <w:t> </w:t>
      </w:r>
      <w:r>
        <w:rPr/>
        <w:t>interviews as an integral step in the entry process to help screen candidates for the limited</w:t>
      </w:r>
      <w:r>
        <w:rPr>
          <w:spacing w:val="-27"/>
        </w:rPr>
        <w:t> </w:t>
      </w:r>
      <w:r>
        <w:rPr/>
        <w:t>places</w:t>
      </w:r>
      <w:r>
        <w:rPr>
          <w:spacing w:val="-27"/>
        </w:rPr>
        <w:t> </w:t>
      </w:r>
      <w:r>
        <w:rPr/>
        <w:t>available.</w:t>
      </w:r>
    </w:p>
    <w:p>
      <w:pPr>
        <w:pStyle w:val="BodyText"/>
        <w:spacing w:before="6"/>
        <w:rPr>
          <w:sz w:val="14"/>
        </w:rPr>
      </w:pPr>
    </w:p>
    <w:p>
      <w:pPr>
        <w:pStyle w:val="Heading7"/>
        <w:ind w:right="-8"/>
      </w:pPr>
      <w:r>
        <w:rPr>
          <w:color w:val="615C58"/>
          <w:w w:val="95"/>
        </w:rPr>
        <w:t>Postgraduate Courses</w:t>
      </w:r>
    </w:p>
    <w:p>
      <w:pPr>
        <w:pStyle w:val="BodyText"/>
        <w:spacing w:line="249" w:lineRule="auto" w:before="86"/>
        <w:ind w:left="107" w:right="253"/>
      </w:pPr>
      <w:r>
        <w:rPr/>
        <w:t>The Bachelor of Nursing (Graduate Entry) program has been reviewed to meet student and industry demand, and the</w:t>
      </w:r>
    </w:p>
    <w:p>
      <w:pPr>
        <w:pStyle w:val="BodyText"/>
        <w:spacing w:before="10"/>
      </w:pPr>
      <w:r>
        <w:rPr/>
        <w:br w:type="column"/>
      </w:r>
      <w:r>
        <w:rPr/>
      </w:r>
    </w:p>
    <w:p>
      <w:pPr>
        <w:pStyle w:val="BodyText"/>
        <w:spacing w:line="249" w:lineRule="auto"/>
        <w:ind w:left="107" w:right="690"/>
        <w:jc w:val="both"/>
      </w:pPr>
      <w:r>
        <w:rPr/>
        <w:t>course</w:t>
      </w:r>
      <w:r>
        <w:rPr>
          <w:spacing w:val="-15"/>
        </w:rPr>
        <w:t> </w:t>
      </w:r>
      <w:r>
        <w:rPr/>
        <w:t>was</w:t>
      </w:r>
      <w:r>
        <w:rPr>
          <w:spacing w:val="-15"/>
        </w:rPr>
        <w:t> </w:t>
      </w:r>
      <w:r>
        <w:rPr/>
        <w:t>approved</w:t>
      </w:r>
      <w:r>
        <w:rPr>
          <w:spacing w:val="-15"/>
        </w:rPr>
        <w:t> </w:t>
      </w:r>
      <w:r>
        <w:rPr/>
        <w:t>for</w:t>
      </w:r>
      <w:r>
        <w:rPr>
          <w:spacing w:val="-15"/>
        </w:rPr>
        <w:t> </w:t>
      </w:r>
      <w:r>
        <w:rPr/>
        <w:t>expansion</w:t>
      </w:r>
      <w:r>
        <w:rPr>
          <w:spacing w:val="-15"/>
        </w:rPr>
        <w:t> </w:t>
      </w:r>
      <w:r>
        <w:rPr/>
        <w:t>to </w:t>
      </w:r>
      <w:r>
        <w:rPr>
          <w:w w:val="95"/>
        </w:rPr>
        <w:t>all</w:t>
      </w:r>
      <w:r>
        <w:rPr>
          <w:spacing w:val="-7"/>
          <w:w w:val="95"/>
        </w:rPr>
        <w:t> </w:t>
      </w:r>
      <w:r>
        <w:rPr>
          <w:spacing w:val="2"/>
          <w:w w:val="97"/>
        </w:rPr>
        <w:t>campuses</w:t>
      </w:r>
      <w:r>
        <w:rPr>
          <w:spacing w:val="-8"/>
          <w:w w:val="97"/>
        </w:rPr>
        <w:t> </w:t>
      </w:r>
      <w:r>
        <w:rPr>
          <w:w w:val="95"/>
        </w:rPr>
        <w:t>in</w:t>
      </w:r>
      <w:r>
        <w:rPr>
          <w:spacing w:val="-7"/>
          <w:w w:val="95"/>
        </w:rPr>
        <w:t> </w:t>
      </w:r>
      <w:r>
        <w:rPr>
          <w:spacing w:val="-2"/>
          <w:w w:val="83"/>
        </w:rPr>
        <w:t>2017, </w:t>
      </w:r>
      <w:r>
        <w:rPr>
          <w:w w:val="98"/>
        </w:rPr>
        <w:t>with</w:t>
      </w:r>
      <w:r>
        <w:rPr>
          <w:spacing w:val="-9"/>
          <w:w w:val="98"/>
        </w:rPr>
        <w:t> </w:t>
      </w:r>
      <w:r>
        <w:rPr>
          <w:w w:val="97"/>
        </w:rPr>
        <w:t>the</w:t>
      </w:r>
      <w:r>
        <w:rPr>
          <w:spacing w:val="-9"/>
          <w:w w:val="97"/>
        </w:rPr>
        <w:t> </w:t>
      </w:r>
      <w:r>
        <w:rPr>
          <w:spacing w:val="1"/>
          <w:w w:val="96"/>
        </w:rPr>
        <w:t>summer</w:t>
      </w:r>
      <w:r>
        <w:rPr>
          <w:w w:val="96"/>
        </w:rPr>
        <w:t> </w:t>
      </w:r>
      <w:r>
        <w:rPr/>
        <w:t>school</w:t>
      </w:r>
      <w:r>
        <w:rPr>
          <w:spacing w:val="-13"/>
        </w:rPr>
        <w:t> </w:t>
      </w:r>
      <w:r>
        <w:rPr/>
        <w:t>to</w:t>
      </w:r>
      <w:r>
        <w:rPr>
          <w:spacing w:val="-13"/>
        </w:rPr>
        <w:t> </w:t>
      </w:r>
      <w:r>
        <w:rPr/>
        <w:t>be</w:t>
      </w:r>
      <w:r>
        <w:rPr>
          <w:spacing w:val="-13"/>
        </w:rPr>
        <w:t> </w:t>
      </w:r>
      <w:r>
        <w:rPr/>
        <w:t>offered</w:t>
      </w:r>
      <w:r>
        <w:rPr>
          <w:spacing w:val="-13"/>
        </w:rPr>
        <w:t> </w:t>
      </w:r>
      <w:r>
        <w:rPr/>
        <w:t>at</w:t>
      </w:r>
      <w:r>
        <w:rPr>
          <w:spacing w:val="-13"/>
        </w:rPr>
        <w:t> </w:t>
      </w:r>
      <w:r>
        <w:rPr/>
        <w:t>Parramatta</w:t>
      </w:r>
      <w:r>
        <w:rPr>
          <w:spacing w:val="-13"/>
        </w:rPr>
        <w:t> </w:t>
      </w:r>
      <w:r>
        <w:rPr/>
        <w:t>to</w:t>
      </w:r>
    </w:p>
    <w:p>
      <w:pPr>
        <w:pStyle w:val="BodyText"/>
        <w:spacing w:line="249" w:lineRule="auto"/>
        <w:ind w:left="107" w:right="329"/>
      </w:pPr>
      <w:r>
        <w:rPr/>
        <w:t>meet demand from international markets. The course continues to attract high numbers of international students and will </w:t>
      </w:r>
      <w:r>
        <w:rPr>
          <w:w w:val="98"/>
        </w:rPr>
        <w:t>commence </w:t>
      </w:r>
      <w:r>
        <w:rPr>
          <w:w w:val="97"/>
        </w:rPr>
        <w:t>the </w:t>
      </w:r>
      <w:r>
        <w:rPr>
          <w:w w:val="97"/>
        </w:rPr>
        <w:t>revised </w:t>
      </w:r>
      <w:r>
        <w:rPr>
          <w:w w:val="97"/>
        </w:rPr>
        <w:t>curriculum </w:t>
      </w:r>
      <w:r>
        <w:rPr>
          <w:w w:val="95"/>
        </w:rPr>
        <w:t>in </w:t>
      </w:r>
      <w:r>
        <w:rPr>
          <w:w w:val="85"/>
        </w:rPr>
        <w:t>2018.</w:t>
      </w:r>
    </w:p>
    <w:p>
      <w:pPr>
        <w:pStyle w:val="BodyText"/>
        <w:rPr>
          <w:sz w:val="14"/>
        </w:rPr>
      </w:pPr>
    </w:p>
    <w:p>
      <w:pPr>
        <w:pStyle w:val="BodyText"/>
        <w:spacing w:line="249" w:lineRule="auto"/>
        <w:ind w:left="107" w:right="497"/>
      </w:pPr>
      <w:r>
        <w:rPr/>
        <w:t>The School continues to review its postgraduate offerings for quality and engagement, and it delivers interactive and collaborative learning and teaching activities online. The School uses collaboration and discussion boards to maximise student support, feedback and engagement for online units, and is currently</w:t>
      </w:r>
      <w:r>
        <w:rPr>
          <w:spacing w:val="-16"/>
        </w:rPr>
        <w:t> </w:t>
      </w:r>
      <w:r>
        <w:rPr/>
        <w:t>reviewing</w:t>
      </w:r>
      <w:r>
        <w:rPr>
          <w:spacing w:val="-16"/>
        </w:rPr>
        <w:t> </w:t>
      </w:r>
      <w:r>
        <w:rPr/>
        <w:t>strategies</w:t>
      </w:r>
      <w:r>
        <w:rPr>
          <w:spacing w:val="-16"/>
        </w:rPr>
        <w:t> </w:t>
      </w:r>
      <w:r>
        <w:rPr/>
        <w:t>to</w:t>
      </w:r>
      <w:r>
        <w:rPr>
          <w:spacing w:val="-16"/>
        </w:rPr>
        <w:t> </w:t>
      </w:r>
      <w:r>
        <w:rPr/>
        <w:t>provide effective</w:t>
      </w:r>
      <w:r>
        <w:rPr>
          <w:spacing w:val="-15"/>
        </w:rPr>
        <w:t> </w:t>
      </w:r>
      <w:r>
        <w:rPr/>
        <w:t>literacy</w:t>
      </w:r>
      <w:r>
        <w:rPr>
          <w:spacing w:val="-15"/>
        </w:rPr>
        <w:t> </w:t>
      </w:r>
      <w:r>
        <w:rPr/>
        <w:t>support</w:t>
      </w:r>
      <w:r>
        <w:rPr>
          <w:spacing w:val="-15"/>
        </w:rPr>
        <w:t> </w:t>
      </w:r>
      <w:r>
        <w:rPr/>
        <w:t>to</w:t>
      </w:r>
      <w:r>
        <w:rPr>
          <w:spacing w:val="-15"/>
        </w:rPr>
        <w:t> </w:t>
      </w:r>
      <w:r>
        <w:rPr/>
        <w:t>international students</w:t>
      </w:r>
      <w:r>
        <w:rPr>
          <w:spacing w:val="-18"/>
        </w:rPr>
        <w:t> </w:t>
      </w:r>
      <w:r>
        <w:rPr/>
        <w:t>in</w:t>
      </w:r>
      <w:r>
        <w:rPr>
          <w:spacing w:val="-18"/>
        </w:rPr>
        <w:t> </w:t>
      </w:r>
      <w:r>
        <w:rPr/>
        <w:t>their</w:t>
      </w:r>
      <w:r>
        <w:rPr>
          <w:spacing w:val="-18"/>
        </w:rPr>
        <w:t> </w:t>
      </w:r>
      <w:r>
        <w:rPr/>
        <w:t>first</w:t>
      </w:r>
      <w:r>
        <w:rPr>
          <w:spacing w:val="-18"/>
        </w:rPr>
        <w:t> </w:t>
      </w:r>
      <w:r>
        <w:rPr/>
        <w:t>session</w:t>
      </w:r>
      <w:r>
        <w:rPr>
          <w:spacing w:val="-18"/>
        </w:rPr>
        <w:t> </w:t>
      </w:r>
      <w:r>
        <w:rPr/>
        <w:t>of</w:t>
      </w:r>
      <w:r>
        <w:rPr>
          <w:spacing w:val="-18"/>
        </w:rPr>
        <w:t> </w:t>
      </w:r>
      <w:r>
        <w:rPr/>
        <w:t>study.</w:t>
      </w:r>
    </w:p>
    <w:p>
      <w:pPr>
        <w:pStyle w:val="BodyText"/>
        <w:rPr>
          <w:sz w:val="14"/>
        </w:rPr>
      </w:pPr>
    </w:p>
    <w:p>
      <w:pPr>
        <w:pStyle w:val="BodyText"/>
        <w:spacing w:line="249" w:lineRule="auto"/>
        <w:ind w:left="107" w:right="232"/>
      </w:pPr>
      <w:r>
        <w:rPr/>
        <w:t>The </w:t>
      </w:r>
      <w:r>
        <w:rPr>
          <w:spacing w:val="2"/>
        </w:rPr>
        <w:t>SoNM </w:t>
      </w:r>
      <w:r>
        <w:rPr/>
        <w:t>currently offers 42 postgraduate units across four program suites, and it has made targeted changes to selected courses in</w:t>
      </w:r>
      <w:r>
        <w:rPr>
          <w:spacing w:val="-18"/>
        </w:rPr>
        <w:t> </w:t>
      </w:r>
      <w:r>
        <w:rPr/>
        <w:t>response</w:t>
      </w:r>
      <w:r>
        <w:rPr>
          <w:spacing w:val="-18"/>
        </w:rPr>
        <w:t> </w:t>
      </w:r>
      <w:r>
        <w:rPr/>
        <w:t>to</w:t>
      </w:r>
      <w:r>
        <w:rPr>
          <w:spacing w:val="-18"/>
        </w:rPr>
        <w:t> </w:t>
      </w:r>
      <w:r>
        <w:rPr/>
        <w:t>market</w:t>
      </w:r>
      <w:r>
        <w:rPr>
          <w:spacing w:val="-18"/>
        </w:rPr>
        <w:t> </w:t>
      </w:r>
      <w:r>
        <w:rPr/>
        <w:t>and</w:t>
      </w:r>
      <w:r>
        <w:rPr>
          <w:spacing w:val="-18"/>
        </w:rPr>
        <w:t> </w:t>
      </w:r>
      <w:r>
        <w:rPr/>
        <w:t>sector</w:t>
      </w:r>
      <w:r>
        <w:rPr>
          <w:spacing w:val="-18"/>
        </w:rPr>
        <w:t> </w:t>
      </w:r>
      <w:r>
        <w:rPr/>
        <w:t>forces.</w:t>
      </w:r>
      <w:r>
        <w:rPr>
          <w:spacing w:val="-18"/>
        </w:rPr>
        <w:t> </w:t>
      </w:r>
      <w:r>
        <w:rPr/>
        <w:t>The Master of Nursing (Professional Studies), a new course specifically targeting onshore international students, has been extremely well received, garnering strong enrolments. The two-year program helps prepare newly graduated international registered nurses for</w:t>
      </w:r>
      <w:r>
        <w:rPr>
          <w:spacing w:val="-18"/>
        </w:rPr>
        <w:t> </w:t>
      </w:r>
      <w:r>
        <w:rPr/>
        <w:t>work</w:t>
      </w:r>
      <w:r>
        <w:rPr>
          <w:spacing w:val="-18"/>
        </w:rPr>
        <w:t> </w:t>
      </w:r>
      <w:r>
        <w:rPr/>
        <w:t>in</w:t>
      </w:r>
      <w:r>
        <w:rPr>
          <w:spacing w:val="-18"/>
        </w:rPr>
        <w:t> </w:t>
      </w:r>
      <w:r>
        <w:rPr/>
        <w:t>the</w:t>
      </w:r>
      <w:r>
        <w:rPr>
          <w:spacing w:val="-18"/>
        </w:rPr>
        <w:t> </w:t>
      </w:r>
      <w:r>
        <w:rPr/>
        <w:t>Australian</w:t>
      </w:r>
      <w:r>
        <w:rPr>
          <w:spacing w:val="-18"/>
        </w:rPr>
        <w:t> </w:t>
      </w:r>
      <w:r>
        <w:rPr/>
        <w:t>healthcare</w:t>
      </w:r>
      <w:r>
        <w:rPr>
          <w:spacing w:val="-18"/>
        </w:rPr>
        <w:t> </w:t>
      </w:r>
      <w:r>
        <w:rPr/>
        <w:t>system, and</w:t>
      </w:r>
      <w:r>
        <w:rPr>
          <w:spacing w:val="-17"/>
        </w:rPr>
        <w:t> </w:t>
      </w:r>
      <w:r>
        <w:rPr/>
        <w:t>caters</w:t>
      </w:r>
      <w:r>
        <w:rPr>
          <w:spacing w:val="-17"/>
        </w:rPr>
        <w:t> </w:t>
      </w:r>
      <w:r>
        <w:rPr/>
        <w:t>to</w:t>
      </w:r>
      <w:r>
        <w:rPr>
          <w:spacing w:val="-17"/>
        </w:rPr>
        <w:t> </w:t>
      </w:r>
      <w:r>
        <w:rPr/>
        <w:t>a</w:t>
      </w:r>
      <w:r>
        <w:rPr>
          <w:spacing w:val="-17"/>
        </w:rPr>
        <w:t> </w:t>
      </w:r>
      <w:r>
        <w:rPr/>
        <w:t>previously</w:t>
      </w:r>
      <w:r>
        <w:rPr>
          <w:spacing w:val="-17"/>
        </w:rPr>
        <w:t> </w:t>
      </w:r>
      <w:r>
        <w:rPr/>
        <w:t>untapped</w:t>
      </w:r>
      <w:r>
        <w:rPr>
          <w:spacing w:val="-17"/>
        </w:rPr>
        <w:t> </w:t>
      </w:r>
      <w:r>
        <w:rPr/>
        <w:t>market, increasing</w:t>
      </w:r>
      <w:r>
        <w:rPr>
          <w:spacing w:val="-18"/>
        </w:rPr>
        <w:t> </w:t>
      </w:r>
      <w:r>
        <w:rPr/>
        <w:t>postgraduate</w:t>
      </w:r>
      <w:r>
        <w:rPr>
          <w:spacing w:val="-18"/>
        </w:rPr>
        <w:t> </w:t>
      </w:r>
      <w:r>
        <w:rPr/>
        <w:t>equivalent</w:t>
      </w:r>
      <w:r>
        <w:rPr>
          <w:spacing w:val="-18"/>
        </w:rPr>
        <w:t> </w:t>
      </w:r>
      <w:r>
        <w:rPr/>
        <w:t>full-time student</w:t>
      </w:r>
      <w:r>
        <w:rPr>
          <w:spacing w:val="-31"/>
        </w:rPr>
        <w:t> </w:t>
      </w:r>
      <w:r>
        <w:rPr>
          <w:spacing w:val="2"/>
        </w:rPr>
        <w:t>load.</w:t>
      </w:r>
    </w:p>
    <w:p>
      <w:pPr>
        <w:pStyle w:val="BodyText"/>
        <w:rPr>
          <w:sz w:val="14"/>
        </w:rPr>
      </w:pPr>
    </w:p>
    <w:p>
      <w:pPr>
        <w:pStyle w:val="BodyText"/>
        <w:spacing w:line="249" w:lineRule="auto"/>
        <w:ind w:left="107" w:right="89"/>
      </w:pPr>
      <w:r>
        <w:rPr/>
        <w:t>The </w:t>
      </w:r>
      <w:r>
        <w:rPr>
          <w:spacing w:val="2"/>
        </w:rPr>
        <w:t>SoNM </w:t>
      </w:r>
      <w:r>
        <w:rPr/>
        <w:t>has developed a new Graduate Certificate in Acute and Critical Care Nursing in collaboration with Western Sydney Local Health District (WSLHD). This course, which </w:t>
      </w:r>
      <w:r>
        <w:rPr>
          <w:spacing w:val="1"/>
          <w:w w:val="95"/>
        </w:rPr>
        <w:t>has</w:t>
      </w:r>
      <w:r>
        <w:rPr>
          <w:w w:val="95"/>
        </w:rPr>
        <w:t> </w:t>
      </w:r>
      <w:r>
        <w:rPr>
          <w:spacing w:val="1"/>
          <w:w w:val="97"/>
        </w:rPr>
        <w:t>been</w:t>
      </w:r>
      <w:r>
        <w:rPr>
          <w:w w:val="97"/>
        </w:rPr>
        <w:t> </w:t>
      </w:r>
      <w:r>
        <w:rPr>
          <w:w w:val="99"/>
        </w:rPr>
        <w:t>approved </w:t>
      </w:r>
      <w:r>
        <w:rPr>
          <w:w w:val="98"/>
        </w:rPr>
        <w:t>for </w:t>
      </w:r>
      <w:r>
        <w:rPr>
          <w:spacing w:val="-2"/>
          <w:w w:val="83"/>
        </w:rPr>
        <w:t>2017,</w:t>
      </w:r>
      <w:r>
        <w:rPr>
          <w:w w:val="83"/>
        </w:rPr>
        <w:t> </w:t>
      </w:r>
      <w:r>
        <w:rPr>
          <w:w w:val="97"/>
        </w:rPr>
        <w:t>will </w:t>
      </w:r>
      <w:r>
        <w:rPr>
          <w:spacing w:val="1"/>
          <w:w w:val="97"/>
        </w:rPr>
        <w:t>help</w:t>
      </w:r>
      <w:r>
        <w:rPr>
          <w:w w:val="97"/>
        </w:rPr>
        <w:t> </w:t>
      </w:r>
      <w:r>
        <w:rPr>
          <w:spacing w:val="-1"/>
          <w:w w:val="101"/>
        </w:rPr>
        <w:t>to</w:t>
      </w:r>
      <w:r>
        <w:rPr>
          <w:w w:val="101"/>
        </w:rPr>
        <w:t> </w:t>
      </w:r>
      <w:r>
        <w:rPr/>
        <w:t>address skill </w:t>
      </w:r>
      <w:r>
        <w:rPr>
          <w:spacing w:val="2"/>
        </w:rPr>
        <w:t>shortages </w:t>
      </w:r>
      <w:r>
        <w:rPr/>
        <w:t>identified in the industry and will use simulation facilities at Blacktown Hospital. The School is developing an</w:t>
      </w:r>
      <w:r>
        <w:rPr>
          <w:spacing w:val="-14"/>
        </w:rPr>
        <w:t> </w:t>
      </w:r>
      <w:r>
        <w:rPr/>
        <w:t>additional</w:t>
      </w:r>
      <w:r>
        <w:rPr>
          <w:spacing w:val="-14"/>
        </w:rPr>
        <w:t> </w:t>
      </w:r>
      <w:r>
        <w:rPr/>
        <w:t>two</w:t>
      </w:r>
      <w:r>
        <w:rPr>
          <w:spacing w:val="-14"/>
        </w:rPr>
        <w:t> </w:t>
      </w:r>
      <w:r>
        <w:rPr/>
        <w:t>graduate</w:t>
      </w:r>
      <w:r>
        <w:rPr>
          <w:spacing w:val="-14"/>
        </w:rPr>
        <w:t> </w:t>
      </w:r>
      <w:r>
        <w:rPr/>
        <w:t>certificates</w:t>
      </w:r>
      <w:r>
        <w:rPr>
          <w:spacing w:val="-14"/>
        </w:rPr>
        <w:t> </w:t>
      </w:r>
      <w:r>
        <w:rPr/>
        <w:t>aligned with</w:t>
      </w:r>
      <w:r>
        <w:rPr>
          <w:spacing w:val="-16"/>
        </w:rPr>
        <w:t> </w:t>
      </w:r>
      <w:r>
        <w:rPr/>
        <w:t>employment</w:t>
      </w:r>
      <w:r>
        <w:rPr>
          <w:spacing w:val="-16"/>
        </w:rPr>
        <w:t> </w:t>
      </w:r>
      <w:r>
        <w:rPr/>
        <w:t>trends</w:t>
      </w:r>
      <w:r>
        <w:rPr>
          <w:spacing w:val="-16"/>
        </w:rPr>
        <w:t> </w:t>
      </w:r>
      <w:r>
        <w:rPr/>
        <w:t>(in</w:t>
      </w:r>
      <w:r>
        <w:rPr>
          <w:spacing w:val="-16"/>
        </w:rPr>
        <w:t> </w:t>
      </w:r>
      <w:r>
        <w:rPr/>
        <w:t>aged</w:t>
      </w:r>
      <w:r>
        <w:rPr>
          <w:spacing w:val="-16"/>
        </w:rPr>
        <w:t> </w:t>
      </w:r>
      <w:r>
        <w:rPr/>
        <w:t>care</w:t>
      </w:r>
      <w:r>
        <w:rPr>
          <w:spacing w:val="-16"/>
        </w:rPr>
        <w:t> </w:t>
      </w:r>
      <w:r>
        <w:rPr/>
        <w:t>nursing and health research), which are designed to attract</w:t>
      </w:r>
      <w:r>
        <w:rPr>
          <w:spacing w:val="-18"/>
        </w:rPr>
        <w:t> </w:t>
      </w:r>
      <w:r>
        <w:rPr/>
        <w:t>registered</w:t>
      </w:r>
      <w:r>
        <w:rPr>
          <w:spacing w:val="-18"/>
        </w:rPr>
        <w:t> </w:t>
      </w:r>
      <w:r>
        <w:rPr/>
        <w:t>nurses</w:t>
      </w:r>
      <w:r>
        <w:rPr>
          <w:spacing w:val="-18"/>
        </w:rPr>
        <w:t> </w:t>
      </w:r>
      <w:r>
        <w:rPr/>
        <w:t>working</w:t>
      </w:r>
      <w:r>
        <w:rPr>
          <w:spacing w:val="-18"/>
        </w:rPr>
        <w:t> </w:t>
      </w:r>
      <w:r>
        <w:rPr/>
        <w:t>in</w:t>
      </w:r>
      <w:r>
        <w:rPr>
          <w:spacing w:val="-18"/>
        </w:rPr>
        <w:t> </w:t>
      </w:r>
      <w:r>
        <w:rPr/>
        <w:t>residential care, as well as clinical nurse consultants (CNC)</w:t>
      </w:r>
      <w:r>
        <w:rPr>
          <w:spacing w:val="-18"/>
        </w:rPr>
        <w:t> </w:t>
      </w:r>
      <w:r>
        <w:rPr/>
        <w:t>and</w:t>
      </w:r>
      <w:r>
        <w:rPr>
          <w:spacing w:val="-18"/>
        </w:rPr>
        <w:t> </w:t>
      </w:r>
      <w:r>
        <w:rPr/>
        <w:t>clinical</w:t>
      </w:r>
      <w:r>
        <w:rPr>
          <w:spacing w:val="-18"/>
        </w:rPr>
        <w:t> </w:t>
      </w:r>
      <w:r>
        <w:rPr/>
        <w:t>nurse</w:t>
      </w:r>
      <w:r>
        <w:rPr>
          <w:spacing w:val="-18"/>
        </w:rPr>
        <w:t> </w:t>
      </w:r>
      <w:r>
        <w:rPr/>
        <w:t>specialists</w:t>
      </w:r>
      <w:r>
        <w:rPr>
          <w:spacing w:val="-18"/>
        </w:rPr>
        <w:t> </w:t>
      </w:r>
      <w:r>
        <w:rPr/>
        <w:t>(CNS).</w:t>
      </w:r>
    </w:p>
    <w:p>
      <w:pPr>
        <w:pStyle w:val="BodyText"/>
        <w:spacing w:before="6"/>
        <w:rPr>
          <w:sz w:val="14"/>
        </w:rPr>
      </w:pPr>
    </w:p>
    <w:p>
      <w:pPr>
        <w:pStyle w:val="Heading7"/>
        <w:ind w:right="460"/>
      </w:pPr>
      <w:r>
        <w:rPr>
          <w:color w:val="615C58"/>
          <w:w w:val="95"/>
        </w:rPr>
        <w:t>International Courses</w:t>
      </w:r>
    </w:p>
    <w:p>
      <w:pPr>
        <w:pStyle w:val="BodyText"/>
        <w:spacing w:line="249" w:lineRule="auto" w:before="86"/>
        <w:ind w:left="107" w:right="260"/>
      </w:pPr>
      <w:r>
        <w:rPr/>
        <w:t>With the approval of the Hong Kong Education</w:t>
      </w:r>
      <w:r>
        <w:rPr>
          <w:spacing w:val="-18"/>
        </w:rPr>
        <w:t> </w:t>
      </w:r>
      <w:r>
        <w:rPr/>
        <w:t>Bureau,</w:t>
      </w:r>
      <w:r>
        <w:rPr>
          <w:spacing w:val="-18"/>
        </w:rPr>
        <w:t> </w:t>
      </w:r>
      <w:r>
        <w:rPr/>
        <w:t>the</w:t>
      </w:r>
      <w:r>
        <w:rPr>
          <w:spacing w:val="-18"/>
        </w:rPr>
        <w:t> </w:t>
      </w:r>
      <w:r>
        <w:rPr/>
        <w:t>format</w:t>
      </w:r>
      <w:r>
        <w:rPr>
          <w:spacing w:val="-18"/>
        </w:rPr>
        <w:t> </w:t>
      </w:r>
      <w:r>
        <w:rPr/>
        <w:t>of</w:t>
      </w:r>
      <w:r>
        <w:rPr>
          <w:spacing w:val="-18"/>
        </w:rPr>
        <w:t> </w:t>
      </w:r>
      <w:r>
        <w:rPr/>
        <w:t>the</w:t>
      </w:r>
      <w:r>
        <w:rPr>
          <w:spacing w:val="-18"/>
        </w:rPr>
        <w:t> </w:t>
      </w:r>
      <w:r>
        <w:rPr/>
        <w:t>Master of</w:t>
      </w:r>
      <w:r>
        <w:rPr>
          <w:spacing w:val="-19"/>
        </w:rPr>
        <w:t> </w:t>
      </w:r>
      <w:r>
        <w:rPr/>
        <w:t>Nursing</w:t>
      </w:r>
      <w:r>
        <w:rPr>
          <w:spacing w:val="-19"/>
        </w:rPr>
        <w:t> </w:t>
      </w:r>
      <w:r>
        <w:rPr/>
        <w:t>(Clinical</w:t>
      </w:r>
      <w:r>
        <w:rPr>
          <w:spacing w:val="-19"/>
        </w:rPr>
        <w:t> </w:t>
      </w:r>
      <w:r>
        <w:rPr/>
        <w:t>Leadership)</w:t>
      </w:r>
      <w:r>
        <w:rPr>
          <w:spacing w:val="-19"/>
        </w:rPr>
        <w:t> </w:t>
      </w:r>
      <w:r>
        <w:rPr/>
        <w:t>program</w:t>
      </w:r>
    </w:p>
    <w:p>
      <w:pPr>
        <w:spacing w:after="0" w:line="249" w:lineRule="auto"/>
        <w:sectPr>
          <w:type w:val="continuous"/>
          <w:pgSz w:w="11910" w:h="16840"/>
          <w:pgMar w:top="1580" w:bottom="280" w:left="800" w:right="800"/>
          <w:cols w:num="3" w:equalWidth="0">
            <w:col w:w="3320" w:space="119"/>
            <w:col w:w="3321" w:space="119"/>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136"/>
      </w:pPr>
      <w:r>
        <w:rPr/>
        <w:t>(also offered onshore) has been reduced from 12 units to eight units to align with market demand, contributing to a 40 per cent increase in student enrolments going </w:t>
      </w:r>
      <w:r>
        <w:rPr>
          <w:spacing w:val="-1"/>
          <w:w w:val="98"/>
        </w:rPr>
        <w:t>into</w:t>
      </w:r>
      <w:r>
        <w:rPr>
          <w:w w:val="98"/>
        </w:rPr>
        <w:t> </w:t>
      </w:r>
      <w:r>
        <w:rPr>
          <w:spacing w:val="-2"/>
          <w:w w:val="83"/>
        </w:rPr>
        <w:t>2017.</w:t>
      </w:r>
      <w:r>
        <w:rPr>
          <w:w w:val="83"/>
        </w:rPr>
        <w:t> </w:t>
      </w:r>
      <w:r>
        <w:rPr>
          <w:spacing w:val="1"/>
          <w:w w:val="99"/>
        </w:rPr>
        <w:t>Ongoing</w:t>
      </w:r>
      <w:r>
        <w:rPr>
          <w:w w:val="99"/>
        </w:rPr>
        <w:t> </w:t>
      </w:r>
      <w:r>
        <w:rPr>
          <w:spacing w:val="1"/>
          <w:w w:val="98"/>
        </w:rPr>
        <w:t>quality</w:t>
      </w:r>
      <w:r>
        <w:rPr>
          <w:w w:val="98"/>
        </w:rPr>
        <w:t> </w:t>
      </w:r>
      <w:r>
        <w:rPr>
          <w:spacing w:val="1"/>
          <w:w w:val="98"/>
        </w:rPr>
        <w:t>improvements</w:t>
      </w:r>
      <w:r>
        <w:rPr>
          <w:w w:val="98"/>
        </w:rPr>
        <w:t> </w:t>
      </w:r>
      <w:r>
        <w:rPr>
          <w:spacing w:val="-1"/>
          <w:w w:val="101"/>
        </w:rPr>
        <w:t>to</w:t>
      </w:r>
      <w:r>
        <w:rPr>
          <w:w w:val="101"/>
        </w:rPr>
        <w:t> </w:t>
      </w:r>
      <w:r>
        <w:rPr/>
        <w:t>courses offered in collaboration with </w:t>
      </w:r>
      <w:r>
        <w:rPr>
          <w:spacing w:val="2"/>
        </w:rPr>
        <w:t>HKBU </w:t>
      </w:r>
      <w:r>
        <w:rPr/>
        <w:t>have</w:t>
      </w:r>
      <w:r>
        <w:rPr>
          <w:spacing w:val="-21"/>
        </w:rPr>
        <w:t> </w:t>
      </w:r>
      <w:r>
        <w:rPr/>
        <w:t>resulted</w:t>
      </w:r>
      <w:r>
        <w:rPr>
          <w:spacing w:val="-21"/>
        </w:rPr>
        <w:t> </w:t>
      </w:r>
      <w:r>
        <w:rPr/>
        <w:t>in</w:t>
      </w:r>
      <w:r>
        <w:rPr>
          <w:spacing w:val="-21"/>
        </w:rPr>
        <w:t> </w:t>
      </w:r>
      <w:r>
        <w:rPr/>
        <w:t>substantial</w:t>
      </w:r>
      <w:r>
        <w:rPr>
          <w:spacing w:val="-21"/>
        </w:rPr>
        <w:t> </w:t>
      </w:r>
      <w:r>
        <w:rPr/>
        <w:t>improvements</w:t>
      </w:r>
      <w:r>
        <w:rPr>
          <w:spacing w:val="-21"/>
        </w:rPr>
        <w:t> </w:t>
      </w:r>
      <w:r>
        <w:rPr/>
        <w:t>in student</w:t>
      </w:r>
      <w:r>
        <w:rPr>
          <w:spacing w:val="-18"/>
        </w:rPr>
        <w:t> </w:t>
      </w:r>
      <w:r>
        <w:rPr/>
        <w:t>feedback</w:t>
      </w:r>
      <w:r>
        <w:rPr>
          <w:spacing w:val="-18"/>
        </w:rPr>
        <w:t> </w:t>
      </w:r>
      <w:r>
        <w:rPr/>
        <w:t>on</w:t>
      </w:r>
      <w:r>
        <w:rPr>
          <w:spacing w:val="-18"/>
        </w:rPr>
        <w:t> </w:t>
      </w:r>
      <w:r>
        <w:rPr/>
        <w:t>units.</w:t>
      </w:r>
    </w:p>
    <w:p>
      <w:pPr>
        <w:pStyle w:val="BodyText"/>
        <w:rPr>
          <w:sz w:val="14"/>
        </w:rPr>
      </w:pPr>
    </w:p>
    <w:p>
      <w:pPr>
        <w:pStyle w:val="BodyText"/>
        <w:spacing w:line="249" w:lineRule="auto"/>
        <w:ind w:left="107" w:right="-14"/>
      </w:pPr>
      <w:r>
        <w:rPr/>
        <w:t>The </w:t>
      </w:r>
      <w:r>
        <w:rPr>
          <w:spacing w:val="2"/>
        </w:rPr>
        <w:t>SoNM </w:t>
      </w:r>
      <w:r>
        <w:rPr/>
        <w:t>is continuing to investigate further opportunities to expand into Asia, including accreditation with the Hong Kong Council for Accreditation of Academic and Vocational Qualifications.</w:t>
      </w:r>
      <w:r>
        <w:rPr>
          <w:spacing w:val="-17"/>
        </w:rPr>
        <w:t> </w:t>
      </w:r>
      <w:r>
        <w:rPr/>
        <w:t>Expansion</w:t>
      </w:r>
      <w:r>
        <w:rPr>
          <w:spacing w:val="-17"/>
        </w:rPr>
        <w:t> </w:t>
      </w:r>
      <w:r>
        <w:rPr/>
        <w:t>will</w:t>
      </w:r>
      <w:r>
        <w:rPr>
          <w:spacing w:val="-17"/>
        </w:rPr>
        <w:t> </w:t>
      </w:r>
      <w:r>
        <w:rPr/>
        <w:t>focus</w:t>
      </w:r>
      <w:r>
        <w:rPr>
          <w:spacing w:val="-17"/>
        </w:rPr>
        <w:t> </w:t>
      </w:r>
      <w:r>
        <w:rPr/>
        <w:t>on</w:t>
      </w:r>
      <w:r>
        <w:rPr>
          <w:spacing w:val="-17"/>
        </w:rPr>
        <w:t> </w:t>
      </w:r>
      <w:r>
        <w:rPr/>
        <w:t>courses targeted to meet demand and opportunities for postgraduate nursing education in Southeast</w:t>
      </w:r>
      <w:r>
        <w:rPr>
          <w:spacing w:val="-16"/>
        </w:rPr>
        <w:t> </w:t>
      </w:r>
      <w:r>
        <w:rPr/>
        <w:t>Asian</w:t>
      </w:r>
      <w:r>
        <w:rPr>
          <w:spacing w:val="-16"/>
        </w:rPr>
        <w:t> </w:t>
      </w:r>
      <w:r>
        <w:rPr/>
        <w:t>countries</w:t>
      </w:r>
      <w:r>
        <w:rPr>
          <w:spacing w:val="-16"/>
        </w:rPr>
        <w:t> </w:t>
      </w:r>
      <w:r>
        <w:rPr/>
        <w:t>with</w:t>
      </w:r>
      <w:r>
        <w:rPr>
          <w:spacing w:val="-16"/>
        </w:rPr>
        <w:t> </w:t>
      </w:r>
      <w:r>
        <w:rPr/>
        <w:t>health</w:t>
      </w:r>
      <w:r>
        <w:rPr>
          <w:spacing w:val="-16"/>
        </w:rPr>
        <w:t> </w:t>
      </w:r>
      <w:r>
        <w:rPr/>
        <w:t>systems that broadly face similar challenges to the Australian</w:t>
      </w:r>
      <w:r>
        <w:rPr>
          <w:spacing w:val="-27"/>
        </w:rPr>
        <w:t> </w:t>
      </w:r>
      <w:r>
        <w:rPr/>
        <w:t>healthcare</w:t>
      </w:r>
      <w:r>
        <w:rPr>
          <w:spacing w:val="-27"/>
        </w:rPr>
        <w:t> </w:t>
      </w:r>
      <w:r>
        <w:rPr/>
        <w:t>system.</w:t>
      </w:r>
    </w:p>
    <w:p>
      <w:pPr>
        <w:pStyle w:val="BodyText"/>
        <w:spacing w:before="6"/>
        <w:rPr>
          <w:sz w:val="14"/>
        </w:rPr>
      </w:pPr>
    </w:p>
    <w:p>
      <w:pPr>
        <w:pStyle w:val="Heading7"/>
        <w:ind w:right="-8"/>
      </w:pPr>
      <w:r>
        <w:rPr>
          <w:color w:val="615C58"/>
          <w:w w:val="95"/>
        </w:rPr>
        <w:t>Literacy Support</w:t>
      </w:r>
    </w:p>
    <w:p>
      <w:pPr>
        <w:pStyle w:val="BodyText"/>
        <w:spacing w:line="249" w:lineRule="auto" w:before="86"/>
        <w:ind w:left="107" w:right="138"/>
      </w:pPr>
      <w:r>
        <w:rPr/>
        <w:t>The SoNM continues to offer dedicated and targeted literacy support to students via Professional Communication and Academic Literacy (PCAL) staff members. These TESOL-qualified staff offer student support in a number of modes, and the resource is integrated into both undergraduate and</w:t>
      </w:r>
    </w:p>
    <w:p>
      <w:pPr>
        <w:pStyle w:val="BodyText"/>
        <w:spacing w:line="249" w:lineRule="auto"/>
        <w:ind w:left="107" w:right="11"/>
      </w:pPr>
      <w:r>
        <w:rPr>
          <w:w w:val="98"/>
        </w:rPr>
        <w:t>postgraduate </w:t>
      </w:r>
      <w:r>
        <w:rPr>
          <w:w w:val="95"/>
        </w:rPr>
        <w:t>coursework. </w:t>
      </w:r>
      <w:r>
        <w:rPr>
          <w:w w:val="80"/>
        </w:rPr>
        <w:t>In </w:t>
      </w:r>
      <w:r>
        <w:rPr>
          <w:w w:val="85"/>
        </w:rPr>
        <w:t>2016, </w:t>
      </w:r>
      <w:r>
        <w:rPr>
          <w:w w:val="97"/>
        </w:rPr>
        <w:t>the </w:t>
      </w:r>
      <w:r>
        <w:rPr>
          <w:w w:val="98"/>
        </w:rPr>
        <w:t>School </w:t>
      </w:r>
      <w:r>
        <w:rPr/>
        <w:t>instituted workshops specifically targeted at clinical communication. Student engagement </w:t>
      </w:r>
      <w:r>
        <w:rPr>
          <w:w w:val="97"/>
        </w:rPr>
        <w:t>continues </w:t>
      </w:r>
      <w:r>
        <w:rPr>
          <w:w w:val="101"/>
        </w:rPr>
        <w:t>to </w:t>
      </w:r>
      <w:r>
        <w:rPr>
          <w:w w:val="93"/>
        </w:rPr>
        <w:t>grow, </w:t>
      </w:r>
      <w:r>
        <w:rPr>
          <w:w w:val="98"/>
        </w:rPr>
        <w:t>with </w:t>
      </w:r>
      <w:r>
        <w:rPr>
          <w:w w:val="84"/>
        </w:rPr>
        <w:t>7,810 </w:t>
      </w:r>
      <w:r>
        <w:rPr>
          <w:w w:val="99"/>
        </w:rPr>
        <w:t>support </w:t>
      </w:r>
      <w:r>
        <w:rPr>
          <w:w w:val="97"/>
        </w:rPr>
        <w:t>visits </w:t>
      </w:r>
      <w:r>
        <w:rPr/>
        <w:t>undertaken in the period between January </w:t>
      </w:r>
      <w:r>
        <w:rPr>
          <w:w w:val="97"/>
        </w:rPr>
        <w:t>and </w:t>
      </w:r>
      <w:r>
        <w:rPr>
          <w:w w:val="98"/>
        </w:rPr>
        <w:t>November </w:t>
      </w:r>
      <w:r>
        <w:rPr>
          <w:w w:val="85"/>
        </w:rPr>
        <w:t>2016. </w:t>
      </w:r>
      <w:r>
        <w:rPr>
          <w:w w:val="94"/>
        </w:rPr>
        <w:t>The </w:t>
      </w:r>
      <w:r>
        <w:rPr>
          <w:w w:val="99"/>
        </w:rPr>
        <w:t>SoNM </w:t>
      </w:r>
      <w:r>
        <w:rPr>
          <w:w w:val="95"/>
        </w:rPr>
        <w:t>uses </w:t>
      </w:r>
      <w:r>
        <w:rPr>
          <w:w w:val="100"/>
        </w:rPr>
        <w:t>Post- </w:t>
      </w:r>
      <w:r>
        <w:rPr/>
        <w:t>Entry Language Assessment (PELA) statistics gleaned from data captured at orientation to identify students with specific needs and to inform PCAL support focus areas. The School was commended for its PCAL initiatives in</w:t>
      </w:r>
    </w:p>
    <w:p>
      <w:pPr>
        <w:pStyle w:val="BodyText"/>
        <w:spacing w:line="249" w:lineRule="auto"/>
        <w:ind w:left="107" w:right="196"/>
      </w:pPr>
      <w:r>
        <w:rPr/>
        <w:t>the</w:t>
      </w:r>
      <w:r>
        <w:rPr>
          <w:spacing w:val="-20"/>
        </w:rPr>
        <w:t> </w:t>
      </w:r>
      <w:r>
        <w:rPr/>
        <w:t>recent</w:t>
      </w:r>
      <w:r>
        <w:rPr>
          <w:spacing w:val="-20"/>
        </w:rPr>
        <w:t> </w:t>
      </w:r>
      <w:r>
        <w:rPr/>
        <w:t>Review</w:t>
      </w:r>
      <w:r>
        <w:rPr>
          <w:spacing w:val="-20"/>
        </w:rPr>
        <w:t> </w:t>
      </w:r>
      <w:r>
        <w:rPr/>
        <w:t>of</w:t>
      </w:r>
      <w:r>
        <w:rPr>
          <w:spacing w:val="-20"/>
        </w:rPr>
        <w:t> </w:t>
      </w:r>
      <w:r>
        <w:rPr/>
        <w:t>Student</w:t>
      </w:r>
      <w:r>
        <w:rPr>
          <w:spacing w:val="-20"/>
        </w:rPr>
        <w:t> </w:t>
      </w:r>
      <w:r>
        <w:rPr/>
        <w:t>Transition</w:t>
      </w:r>
      <w:r>
        <w:rPr>
          <w:spacing w:val="-20"/>
        </w:rPr>
        <w:t> </w:t>
      </w:r>
      <w:r>
        <w:rPr/>
        <w:t>and Academic Support</w:t>
      </w:r>
      <w:r>
        <w:rPr>
          <w:spacing w:val="-5"/>
        </w:rPr>
        <w:t> </w:t>
      </w:r>
      <w:r>
        <w:rPr/>
        <w:t>Programs.</w:t>
      </w:r>
    </w:p>
    <w:p>
      <w:pPr>
        <w:pStyle w:val="BodyText"/>
        <w:spacing w:before="6"/>
        <w:rPr>
          <w:sz w:val="14"/>
        </w:rPr>
      </w:pPr>
    </w:p>
    <w:p>
      <w:pPr>
        <w:pStyle w:val="Heading7"/>
        <w:ind w:right="-8"/>
      </w:pPr>
      <w:r>
        <w:rPr>
          <w:color w:val="615C58"/>
          <w:w w:val="95"/>
        </w:rPr>
        <w:t>Alternative Entry Pathways</w:t>
      </w:r>
    </w:p>
    <w:p>
      <w:pPr>
        <w:pStyle w:val="BodyText"/>
        <w:spacing w:line="249" w:lineRule="auto" w:before="86"/>
        <w:ind w:left="107" w:right="17"/>
      </w:pPr>
      <w:r>
        <w:rPr/>
        <w:t>To manage the large number of students entering into undergraduate courses through alternative pathways with high levels of advanced standing credit, the School has implemented strategies to better control the intake, increasing revenue while maintaining the quality of students entering courses:</w:t>
      </w:r>
    </w:p>
    <w:p>
      <w:pPr>
        <w:pStyle w:val="BodyText"/>
        <w:spacing w:line="247" w:lineRule="auto" w:before="55"/>
        <w:ind w:left="305" w:right="-2" w:hanging="199"/>
      </w:pPr>
      <w:r>
        <w:rPr>
          <w:rFonts w:ascii="Century Gothic" w:hAnsi="Century Gothic"/>
          <w:b/>
          <w:w w:val="115"/>
        </w:rPr>
        <w:t>≥ </w:t>
      </w:r>
      <w:r>
        <w:rPr/>
        <w:t>The school has introduced a minimum GPA rank</w:t>
      </w:r>
      <w:r>
        <w:rPr>
          <w:spacing w:val="-17"/>
        </w:rPr>
        <w:t> </w:t>
      </w:r>
      <w:r>
        <w:rPr/>
        <w:t>for</w:t>
      </w:r>
      <w:r>
        <w:rPr>
          <w:spacing w:val="-17"/>
        </w:rPr>
        <w:t> </w:t>
      </w:r>
      <w:r>
        <w:rPr/>
        <w:t>students</w:t>
      </w:r>
      <w:r>
        <w:rPr>
          <w:spacing w:val="-17"/>
        </w:rPr>
        <w:t> </w:t>
      </w:r>
      <w:r>
        <w:rPr/>
        <w:t>entering</w:t>
      </w:r>
      <w:r>
        <w:rPr>
          <w:spacing w:val="-17"/>
        </w:rPr>
        <w:t> </w:t>
      </w:r>
      <w:r>
        <w:rPr/>
        <w:t>from</w:t>
      </w:r>
      <w:r>
        <w:rPr>
          <w:spacing w:val="-17"/>
        </w:rPr>
        <w:t> </w:t>
      </w:r>
      <w:r>
        <w:rPr/>
        <w:t>The</w:t>
      </w:r>
      <w:r>
        <w:rPr>
          <w:spacing w:val="-17"/>
        </w:rPr>
        <w:t> </w:t>
      </w:r>
      <w:r>
        <w:rPr/>
        <w:t>College to</w:t>
      </w:r>
      <w:r>
        <w:rPr>
          <w:spacing w:val="-27"/>
        </w:rPr>
        <w:t> </w:t>
      </w:r>
      <w:r>
        <w:rPr/>
        <w:t>ensure</w:t>
      </w:r>
      <w:r>
        <w:rPr>
          <w:spacing w:val="-27"/>
        </w:rPr>
        <w:t> </w:t>
      </w:r>
      <w:r>
        <w:rPr/>
        <w:t>they</w:t>
      </w:r>
      <w:r>
        <w:rPr>
          <w:spacing w:val="-27"/>
        </w:rPr>
        <w:t> </w:t>
      </w:r>
      <w:r>
        <w:rPr/>
        <w:t>are</w:t>
      </w:r>
      <w:r>
        <w:rPr>
          <w:spacing w:val="-27"/>
        </w:rPr>
        <w:t> </w:t>
      </w:r>
      <w:r>
        <w:rPr/>
        <w:t>university-ready.</w:t>
      </w:r>
    </w:p>
    <w:p>
      <w:pPr>
        <w:pStyle w:val="BodyText"/>
        <w:rPr>
          <w:sz w:val="20"/>
        </w:rPr>
      </w:pPr>
      <w:r>
        <w:rPr/>
        <w:br w:type="column"/>
      </w:r>
      <w:r>
        <w:rPr>
          <w:sz w:val="20"/>
        </w:rPr>
      </w:r>
    </w:p>
    <w:p>
      <w:pPr>
        <w:pStyle w:val="BodyText"/>
        <w:spacing w:line="247" w:lineRule="auto"/>
        <w:ind w:left="305" w:right="165" w:hanging="199"/>
      </w:pPr>
      <w:r>
        <w:rPr>
          <w:rFonts w:ascii="Century Gothic" w:hAnsi="Century Gothic"/>
          <w:b/>
          <w:w w:val="145"/>
        </w:rPr>
        <w:t>≥ </w:t>
      </w:r>
      <w:r>
        <w:rPr>
          <w:spacing w:val="1"/>
          <w:w w:val="80"/>
        </w:rPr>
        <w:t>In</w:t>
      </w:r>
      <w:r>
        <w:rPr>
          <w:w w:val="80"/>
        </w:rPr>
        <w:t> </w:t>
      </w:r>
      <w:r>
        <w:rPr>
          <w:spacing w:val="-2"/>
          <w:w w:val="83"/>
        </w:rPr>
        <w:t>2017,</w:t>
      </w:r>
      <w:r>
        <w:rPr>
          <w:w w:val="83"/>
        </w:rPr>
        <w:t> </w:t>
      </w:r>
      <w:r>
        <w:rPr>
          <w:spacing w:val="1"/>
          <w:w w:val="97"/>
        </w:rPr>
        <w:t>enrolled</w:t>
      </w:r>
      <w:r>
        <w:rPr>
          <w:w w:val="97"/>
        </w:rPr>
        <w:t> </w:t>
      </w:r>
      <w:r>
        <w:rPr>
          <w:spacing w:val="1"/>
          <w:w w:val="95"/>
        </w:rPr>
        <w:t>nurses</w:t>
      </w:r>
      <w:r>
        <w:rPr>
          <w:w w:val="95"/>
        </w:rPr>
        <w:t> </w:t>
      </w:r>
      <w:r>
        <w:rPr>
          <w:w w:val="97"/>
        </w:rPr>
        <w:t>entering </w:t>
      </w:r>
      <w:r>
        <w:rPr>
          <w:w w:val="97"/>
        </w:rPr>
        <w:t>the </w:t>
      </w:r>
      <w:r>
        <w:rPr>
          <w:spacing w:val="2"/>
          <w:w w:val="102"/>
        </w:rPr>
        <w:t>BN</w:t>
      </w:r>
      <w:r>
        <w:rPr>
          <w:w w:val="102"/>
        </w:rPr>
        <w:t> </w:t>
      </w:r>
      <w:r>
        <w:rPr/>
        <w:t>course</w:t>
      </w:r>
      <w:r>
        <w:rPr>
          <w:spacing w:val="-15"/>
        </w:rPr>
        <w:t> </w:t>
      </w:r>
      <w:r>
        <w:rPr/>
        <w:t>via</w:t>
      </w:r>
      <w:r>
        <w:rPr>
          <w:spacing w:val="-15"/>
        </w:rPr>
        <w:t> </w:t>
      </w:r>
      <w:r>
        <w:rPr/>
        <w:t>TAFE</w:t>
      </w:r>
      <w:r>
        <w:rPr>
          <w:spacing w:val="-15"/>
        </w:rPr>
        <w:t> </w:t>
      </w:r>
      <w:r>
        <w:rPr/>
        <w:t>will</w:t>
      </w:r>
      <w:r>
        <w:rPr>
          <w:spacing w:val="-15"/>
        </w:rPr>
        <w:t> </w:t>
      </w:r>
      <w:r>
        <w:rPr/>
        <w:t>receive</w:t>
      </w:r>
      <w:r>
        <w:rPr>
          <w:spacing w:val="-15"/>
        </w:rPr>
        <w:t> </w:t>
      </w:r>
      <w:r>
        <w:rPr/>
        <w:t>eight</w:t>
      </w:r>
      <w:r>
        <w:rPr>
          <w:spacing w:val="-15"/>
        </w:rPr>
        <w:t> </w:t>
      </w:r>
      <w:r>
        <w:rPr/>
        <w:t>units</w:t>
      </w:r>
      <w:r>
        <w:rPr>
          <w:spacing w:val="-15"/>
        </w:rPr>
        <w:t> </w:t>
      </w:r>
      <w:r>
        <w:rPr/>
        <w:t>of advanced</w:t>
      </w:r>
      <w:r>
        <w:rPr>
          <w:spacing w:val="-19"/>
        </w:rPr>
        <w:t> </w:t>
      </w:r>
      <w:r>
        <w:rPr/>
        <w:t>standing</w:t>
      </w:r>
      <w:r>
        <w:rPr>
          <w:spacing w:val="-19"/>
        </w:rPr>
        <w:t> </w:t>
      </w:r>
      <w:r>
        <w:rPr/>
        <w:t>instead</w:t>
      </w:r>
      <w:r>
        <w:rPr>
          <w:spacing w:val="-19"/>
        </w:rPr>
        <w:t> </w:t>
      </w:r>
      <w:r>
        <w:rPr/>
        <w:t>of</w:t>
      </w:r>
      <w:r>
        <w:rPr>
          <w:spacing w:val="-19"/>
        </w:rPr>
        <w:t> </w:t>
      </w:r>
      <w:r>
        <w:rPr/>
        <w:t>nine.</w:t>
      </w:r>
    </w:p>
    <w:p>
      <w:pPr>
        <w:pStyle w:val="BodyText"/>
        <w:spacing w:before="8"/>
        <w:rPr>
          <w:sz w:val="14"/>
        </w:rPr>
      </w:pPr>
    </w:p>
    <w:p>
      <w:pPr>
        <w:pStyle w:val="Heading7"/>
      </w:pPr>
      <w:r>
        <w:rPr>
          <w:color w:val="615C58"/>
          <w:w w:val="95"/>
        </w:rPr>
        <w:t>Clinical Placements</w:t>
      </w:r>
    </w:p>
    <w:p>
      <w:pPr>
        <w:pStyle w:val="BodyText"/>
        <w:spacing w:line="249" w:lineRule="auto" w:before="86"/>
        <w:ind w:left="107" w:right="-2"/>
      </w:pPr>
      <w:r>
        <w:rPr/>
        <w:t>Clinical placements continue to remain a key focus area for the </w:t>
      </w:r>
      <w:r>
        <w:rPr>
          <w:spacing w:val="3"/>
        </w:rPr>
        <w:t>SoNM, </w:t>
      </w:r>
      <w:r>
        <w:rPr/>
        <w:t>with limited places and</w:t>
      </w:r>
      <w:r>
        <w:rPr>
          <w:spacing w:val="-16"/>
        </w:rPr>
        <w:t> </w:t>
      </w:r>
      <w:r>
        <w:rPr/>
        <w:t>a</w:t>
      </w:r>
      <w:r>
        <w:rPr>
          <w:spacing w:val="-16"/>
        </w:rPr>
        <w:t> </w:t>
      </w:r>
      <w:r>
        <w:rPr/>
        <w:t>large</w:t>
      </w:r>
      <w:r>
        <w:rPr>
          <w:spacing w:val="-16"/>
        </w:rPr>
        <w:t> </w:t>
      </w:r>
      <w:r>
        <w:rPr/>
        <w:t>number</w:t>
      </w:r>
      <w:r>
        <w:rPr>
          <w:spacing w:val="-16"/>
        </w:rPr>
        <w:t> </w:t>
      </w:r>
      <w:r>
        <w:rPr/>
        <w:t>of</w:t>
      </w:r>
      <w:r>
        <w:rPr>
          <w:spacing w:val="-16"/>
        </w:rPr>
        <w:t> </w:t>
      </w:r>
      <w:r>
        <w:rPr/>
        <w:t>enrolments</w:t>
      </w:r>
      <w:r>
        <w:rPr>
          <w:spacing w:val="-16"/>
        </w:rPr>
        <w:t> </w:t>
      </w:r>
      <w:r>
        <w:rPr/>
        <w:t>in</w:t>
      </w:r>
      <w:r>
        <w:rPr>
          <w:spacing w:val="-16"/>
        </w:rPr>
        <w:t> </w:t>
      </w:r>
      <w:r>
        <w:rPr/>
        <w:t>both</w:t>
      </w:r>
      <w:r>
        <w:rPr>
          <w:spacing w:val="-16"/>
        </w:rPr>
        <w:t> </w:t>
      </w:r>
      <w:r>
        <w:rPr/>
        <w:t>the BN</w:t>
      </w:r>
      <w:r>
        <w:rPr>
          <w:spacing w:val="-16"/>
        </w:rPr>
        <w:t> </w:t>
      </w:r>
      <w:r>
        <w:rPr/>
        <w:t>and</w:t>
      </w:r>
      <w:r>
        <w:rPr>
          <w:spacing w:val="-16"/>
        </w:rPr>
        <w:t> </w:t>
      </w:r>
      <w:r>
        <w:rPr>
          <w:spacing w:val="3"/>
        </w:rPr>
        <w:t>BM.</w:t>
      </w:r>
      <w:r>
        <w:rPr>
          <w:spacing w:val="-16"/>
        </w:rPr>
        <w:t> </w:t>
      </w:r>
      <w:r>
        <w:rPr/>
        <w:t>The</w:t>
      </w:r>
      <w:r>
        <w:rPr>
          <w:spacing w:val="-16"/>
        </w:rPr>
        <w:t> </w:t>
      </w:r>
      <w:r>
        <w:rPr/>
        <w:t>unexpected</w:t>
      </w:r>
      <w:r>
        <w:rPr>
          <w:spacing w:val="-16"/>
        </w:rPr>
        <w:t> </w:t>
      </w:r>
      <w:r>
        <w:rPr/>
        <w:t>withdrawal</w:t>
      </w:r>
      <w:r>
        <w:rPr>
          <w:spacing w:val="-16"/>
        </w:rPr>
        <w:t> </w:t>
      </w:r>
      <w:r>
        <w:rPr/>
        <w:t>of</w:t>
      </w:r>
      <w:r>
        <w:rPr>
          <w:spacing w:val="-16"/>
        </w:rPr>
        <w:t> </w:t>
      </w:r>
      <w:r>
        <w:rPr/>
        <w:t>the Clinical Training Funding (CTF) – previously Health</w:t>
      </w:r>
      <w:r>
        <w:rPr>
          <w:spacing w:val="-11"/>
        </w:rPr>
        <w:t> </w:t>
      </w:r>
      <w:r>
        <w:rPr/>
        <w:t>Workforce</w:t>
      </w:r>
      <w:r>
        <w:rPr>
          <w:spacing w:val="-11"/>
        </w:rPr>
        <w:t> </w:t>
      </w:r>
      <w:r>
        <w:rPr/>
        <w:t>Australia</w:t>
      </w:r>
      <w:r>
        <w:rPr>
          <w:spacing w:val="-11"/>
        </w:rPr>
        <w:t> </w:t>
      </w:r>
      <w:r>
        <w:rPr/>
        <w:t>(HWA)</w:t>
      </w:r>
      <w:r>
        <w:rPr>
          <w:spacing w:val="-11"/>
        </w:rPr>
        <w:t> </w:t>
      </w:r>
      <w:r>
        <w:rPr/>
        <w:t>funding</w:t>
      </w:r>
    </w:p>
    <w:p>
      <w:pPr>
        <w:pStyle w:val="BodyText"/>
        <w:spacing w:line="249" w:lineRule="auto"/>
        <w:ind w:left="107" w:right="29"/>
      </w:pPr>
      <w:r>
        <w:rPr/>
        <w:t>– has severely impacted the school, both financially and operationally. In response, extra</w:t>
      </w:r>
      <w:r>
        <w:rPr>
          <w:spacing w:val="-17"/>
        </w:rPr>
        <w:t> </w:t>
      </w:r>
      <w:r>
        <w:rPr/>
        <w:t>resources</w:t>
      </w:r>
      <w:r>
        <w:rPr>
          <w:spacing w:val="-17"/>
        </w:rPr>
        <w:t> </w:t>
      </w:r>
      <w:r>
        <w:rPr/>
        <w:t>have</w:t>
      </w:r>
      <w:r>
        <w:rPr>
          <w:spacing w:val="-17"/>
        </w:rPr>
        <w:t> </w:t>
      </w:r>
      <w:r>
        <w:rPr/>
        <w:t>been</w:t>
      </w:r>
      <w:r>
        <w:rPr>
          <w:spacing w:val="-17"/>
        </w:rPr>
        <w:t> </w:t>
      </w:r>
      <w:r>
        <w:rPr/>
        <w:t>diverted</w:t>
      </w:r>
      <w:r>
        <w:rPr>
          <w:spacing w:val="-17"/>
        </w:rPr>
        <w:t> </w:t>
      </w:r>
      <w:r>
        <w:rPr/>
        <w:t>to</w:t>
      </w:r>
      <w:r>
        <w:rPr>
          <w:spacing w:val="-17"/>
        </w:rPr>
        <w:t> </w:t>
      </w:r>
      <w:r>
        <w:rPr/>
        <w:t>seeking new clinical placement providers in both the private and public health systems, and 36 new</w:t>
      </w:r>
      <w:r>
        <w:rPr>
          <w:spacing w:val="-22"/>
        </w:rPr>
        <w:t> </w:t>
      </w:r>
      <w:r>
        <w:rPr/>
        <w:t>facilities</w:t>
      </w:r>
      <w:r>
        <w:rPr>
          <w:spacing w:val="-22"/>
        </w:rPr>
        <w:t> </w:t>
      </w:r>
      <w:r>
        <w:rPr/>
        <w:t>have</w:t>
      </w:r>
      <w:r>
        <w:rPr>
          <w:spacing w:val="-22"/>
        </w:rPr>
        <w:t> </w:t>
      </w:r>
      <w:r>
        <w:rPr/>
        <w:t>been</w:t>
      </w:r>
      <w:r>
        <w:rPr>
          <w:spacing w:val="-22"/>
        </w:rPr>
        <w:t> </w:t>
      </w:r>
      <w:r>
        <w:rPr/>
        <w:t>contracted.</w:t>
      </w:r>
      <w:r>
        <w:rPr>
          <w:spacing w:val="-22"/>
        </w:rPr>
        <w:t> </w:t>
      </w:r>
      <w:r>
        <w:rPr/>
        <w:t>However, the shortfall continues, and the School is exploring</w:t>
      </w:r>
      <w:r>
        <w:rPr>
          <w:spacing w:val="-13"/>
        </w:rPr>
        <w:t> </w:t>
      </w:r>
      <w:r>
        <w:rPr/>
        <w:t>other</w:t>
      </w:r>
      <w:r>
        <w:rPr>
          <w:spacing w:val="-13"/>
        </w:rPr>
        <w:t> </w:t>
      </w:r>
      <w:r>
        <w:rPr/>
        <w:t>options</w:t>
      </w:r>
      <w:r>
        <w:rPr>
          <w:spacing w:val="-13"/>
        </w:rPr>
        <w:t> </w:t>
      </w:r>
      <w:r>
        <w:rPr/>
        <w:t>for</w:t>
      </w:r>
      <w:r>
        <w:rPr>
          <w:spacing w:val="-13"/>
        </w:rPr>
        <w:t> </w:t>
      </w:r>
      <w:r>
        <w:rPr/>
        <w:t>placements</w:t>
      </w:r>
    </w:p>
    <w:p>
      <w:pPr>
        <w:pStyle w:val="BodyText"/>
        <w:spacing w:line="249" w:lineRule="auto"/>
        <w:ind w:left="107" w:right="105"/>
      </w:pPr>
      <w:r>
        <w:rPr/>
        <w:t>to meet the demand. The new student placement</w:t>
      </w:r>
      <w:r>
        <w:rPr>
          <w:spacing w:val="-25"/>
        </w:rPr>
        <w:t> </w:t>
      </w:r>
      <w:r>
        <w:rPr/>
        <w:t>system,</w:t>
      </w:r>
      <w:r>
        <w:rPr>
          <w:spacing w:val="-25"/>
        </w:rPr>
        <w:t> </w:t>
      </w:r>
      <w:r>
        <w:rPr/>
        <w:t>InPlace,</w:t>
      </w:r>
      <w:r>
        <w:rPr>
          <w:spacing w:val="-25"/>
        </w:rPr>
        <w:t> </w:t>
      </w:r>
      <w:r>
        <w:rPr/>
        <w:t>has</w:t>
      </w:r>
      <w:r>
        <w:rPr>
          <w:spacing w:val="-25"/>
        </w:rPr>
        <w:t> </w:t>
      </w:r>
      <w:r>
        <w:rPr/>
        <w:t>standardised placement opportunities and improved student outcomes by promoting student progression. The ability to access online information, </w:t>
      </w:r>
      <w:r>
        <w:rPr>
          <w:spacing w:val="2"/>
        </w:rPr>
        <w:t>select </w:t>
      </w:r>
      <w:r>
        <w:rPr/>
        <w:t>preferences and receive earlier</w:t>
      </w:r>
      <w:r>
        <w:rPr>
          <w:spacing w:val="-15"/>
        </w:rPr>
        <w:t> </w:t>
      </w:r>
      <w:r>
        <w:rPr/>
        <w:t>notification</w:t>
      </w:r>
      <w:r>
        <w:rPr>
          <w:spacing w:val="-15"/>
        </w:rPr>
        <w:t> </w:t>
      </w:r>
      <w:r>
        <w:rPr/>
        <w:t>of</w:t>
      </w:r>
      <w:r>
        <w:rPr>
          <w:spacing w:val="-15"/>
        </w:rPr>
        <w:t> </w:t>
      </w:r>
      <w:r>
        <w:rPr/>
        <w:t>placements</w:t>
      </w:r>
      <w:r>
        <w:rPr>
          <w:spacing w:val="-15"/>
        </w:rPr>
        <w:t> </w:t>
      </w:r>
      <w:r>
        <w:rPr/>
        <w:t>has</w:t>
      </w:r>
      <w:r>
        <w:rPr>
          <w:spacing w:val="-15"/>
        </w:rPr>
        <w:t> </w:t>
      </w:r>
      <w:r>
        <w:rPr/>
        <w:t>directly increased</w:t>
      </w:r>
      <w:r>
        <w:rPr>
          <w:spacing w:val="-18"/>
        </w:rPr>
        <w:t> </w:t>
      </w:r>
      <w:r>
        <w:rPr/>
        <w:t>the</w:t>
      </w:r>
      <w:r>
        <w:rPr>
          <w:spacing w:val="-18"/>
        </w:rPr>
        <w:t> </w:t>
      </w:r>
      <w:r>
        <w:rPr/>
        <w:t>uptake</w:t>
      </w:r>
      <w:r>
        <w:rPr>
          <w:spacing w:val="-18"/>
        </w:rPr>
        <w:t> </w:t>
      </w:r>
      <w:r>
        <w:rPr/>
        <w:t>of</w:t>
      </w:r>
      <w:r>
        <w:rPr>
          <w:spacing w:val="-18"/>
        </w:rPr>
        <w:t> </w:t>
      </w:r>
      <w:r>
        <w:rPr/>
        <w:t>available</w:t>
      </w:r>
      <w:r>
        <w:rPr>
          <w:spacing w:val="-18"/>
        </w:rPr>
        <w:t> </w:t>
      </w:r>
      <w:r>
        <w:rPr/>
        <w:t>placements and</w:t>
      </w:r>
      <w:r>
        <w:rPr>
          <w:spacing w:val="-17"/>
        </w:rPr>
        <w:t> </w:t>
      </w:r>
      <w:r>
        <w:rPr/>
        <w:t>improved</w:t>
      </w:r>
      <w:r>
        <w:rPr>
          <w:spacing w:val="-17"/>
        </w:rPr>
        <w:t> </w:t>
      </w:r>
      <w:r>
        <w:rPr/>
        <w:t>the</w:t>
      </w:r>
      <w:r>
        <w:rPr>
          <w:spacing w:val="-17"/>
        </w:rPr>
        <w:t> </w:t>
      </w:r>
      <w:r>
        <w:rPr/>
        <w:t>student</w:t>
      </w:r>
      <w:r>
        <w:rPr>
          <w:spacing w:val="-17"/>
        </w:rPr>
        <w:t> </w:t>
      </w:r>
      <w:r>
        <w:rPr/>
        <w:t>experience,</w:t>
      </w:r>
      <w:r>
        <w:rPr>
          <w:spacing w:val="-17"/>
        </w:rPr>
        <w:t> </w:t>
      </w:r>
      <w:r>
        <w:rPr/>
        <w:t>which is reflected in positive feedback from </w:t>
      </w:r>
      <w:r>
        <w:rPr>
          <w:spacing w:val="2"/>
        </w:rPr>
        <w:t>LHD </w:t>
      </w:r>
      <w:r>
        <w:rPr/>
        <w:t>providers.</w:t>
      </w:r>
      <w:r>
        <w:rPr>
          <w:spacing w:val="-13"/>
        </w:rPr>
        <w:t> </w:t>
      </w:r>
      <w:r>
        <w:rPr/>
        <w:t>A</w:t>
      </w:r>
      <w:r>
        <w:rPr>
          <w:spacing w:val="-13"/>
        </w:rPr>
        <w:t> </w:t>
      </w:r>
      <w:r>
        <w:rPr/>
        <w:t>tender</w:t>
      </w:r>
      <w:r>
        <w:rPr>
          <w:spacing w:val="-13"/>
        </w:rPr>
        <w:t> </w:t>
      </w:r>
      <w:r>
        <w:rPr/>
        <w:t>process</w:t>
      </w:r>
      <w:r>
        <w:rPr>
          <w:spacing w:val="-13"/>
        </w:rPr>
        <w:t> </w:t>
      </w:r>
      <w:r>
        <w:rPr/>
        <w:t>was</w:t>
      </w:r>
      <w:r>
        <w:rPr>
          <w:spacing w:val="-13"/>
        </w:rPr>
        <w:t> </w:t>
      </w:r>
      <w:r>
        <w:rPr/>
        <w:t>completed</w:t>
      </w:r>
    </w:p>
    <w:p>
      <w:pPr>
        <w:pStyle w:val="BodyText"/>
        <w:spacing w:line="249" w:lineRule="auto"/>
        <w:ind w:left="107" w:right="-2"/>
      </w:pPr>
      <w:r>
        <w:rPr/>
        <w:t>for</w:t>
      </w:r>
      <w:r>
        <w:rPr>
          <w:spacing w:val="-20"/>
        </w:rPr>
        <w:t> </w:t>
      </w:r>
      <w:r>
        <w:rPr/>
        <w:t>clinical</w:t>
      </w:r>
      <w:r>
        <w:rPr>
          <w:spacing w:val="-20"/>
        </w:rPr>
        <w:t> </w:t>
      </w:r>
      <w:r>
        <w:rPr/>
        <w:t>facilitation,</w:t>
      </w:r>
      <w:r>
        <w:rPr>
          <w:spacing w:val="-20"/>
        </w:rPr>
        <w:t> </w:t>
      </w:r>
      <w:r>
        <w:rPr/>
        <w:t>and</w:t>
      </w:r>
      <w:r>
        <w:rPr>
          <w:spacing w:val="-20"/>
        </w:rPr>
        <w:t> </w:t>
      </w:r>
      <w:r>
        <w:rPr/>
        <w:t>three</w:t>
      </w:r>
      <w:r>
        <w:rPr>
          <w:spacing w:val="-20"/>
        </w:rPr>
        <w:t> </w:t>
      </w:r>
      <w:r>
        <w:rPr/>
        <w:t>agencies</w:t>
      </w:r>
      <w:r>
        <w:rPr>
          <w:spacing w:val="-20"/>
        </w:rPr>
        <w:t> </w:t>
      </w:r>
      <w:r>
        <w:rPr/>
        <w:t>have </w:t>
      </w:r>
      <w:r>
        <w:rPr>
          <w:spacing w:val="1"/>
          <w:w w:val="97"/>
        </w:rPr>
        <w:t>been</w:t>
      </w:r>
      <w:r>
        <w:rPr>
          <w:spacing w:val="-8"/>
          <w:w w:val="97"/>
        </w:rPr>
        <w:t> </w:t>
      </w:r>
      <w:r>
        <w:rPr>
          <w:spacing w:val="1"/>
          <w:w w:val="99"/>
        </w:rPr>
        <w:t>contracted</w:t>
      </w:r>
      <w:r>
        <w:rPr>
          <w:spacing w:val="-9"/>
          <w:w w:val="99"/>
        </w:rPr>
        <w:t> </w:t>
      </w:r>
      <w:r>
        <w:rPr>
          <w:spacing w:val="-1"/>
          <w:w w:val="101"/>
        </w:rPr>
        <w:t>to</w:t>
      </w:r>
      <w:r>
        <w:rPr>
          <w:spacing w:val="-10"/>
          <w:w w:val="101"/>
        </w:rPr>
        <w:t> </w:t>
      </w:r>
      <w:r>
        <w:rPr>
          <w:w w:val="99"/>
        </w:rPr>
        <w:t>provide</w:t>
      </w:r>
      <w:r>
        <w:rPr>
          <w:spacing w:val="-9"/>
          <w:w w:val="99"/>
        </w:rPr>
        <w:t> </w:t>
      </w:r>
      <w:r>
        <w:rPr>
          <w:spacing w:val="1"/>
          <w:w w:val="97"/>
        </w:rPr>
        <w:t>staff</w:t>
      </w:r>
      <w:r>
        <w:rPr>
          <w:spacing w:val="-8"/>
          <w:w w:val="97"/>
        </w:rPr>
        <w:t> </w:t>
      </w:r>
      <w:r>
        <w:rPr>
          <w:spacing w:val="1"/>
          <w:w w:val="98"/>
        </w:rPr>
        <w:t>from</w:t>
      </w:r>
      <w:r>
        <w:rPr>
          <w:spacing w:val="-8"/>
          <w:w w:val="98"/>
        </w:rPr>
        <w:t> </w:t>
      </w:r>
      <w:r>
        <w:rPr>
          <w:spacing w:val="-2"/>
          <w:w w:val="83"/>
        </w:rPr>
        <w:t>2017.</w:t>
      </w:r>
    </w:p>
    <w:p>
      <w:pPr>
        <w:pStyle w:val="BodyText"/>
        <w:spacing w:before="3"/>
        <w:rPr>
          <w:sz w:val="19"/>
        </w:rPr>
      </w:pPr>
    </w:p>
    <w:p>
      <w:pPr>
        <w:pStyle w:val="Heading7"/>
        <w:spacing w:line="249" w:lineRule="auto"/>
        <w:ind w:right="1110"/>
      </w:pPr>
      <w:r>
        <w:rPr/>
        <w:t>ENGAGEMENT AND </w:t>
      </w:r>
      <w:r>
        <w:rPr>
          <w:w w:val="95"/>
        </w:rPr>
        <w:t>INTERNATIONAL  ACTIVITIES</w:t>
      </w:r>
    </w:p>
    <w:p>
      <w:pPr>
        <w:pStyle w:val="BodyText"/>
        <w:spacing w:line="249" w:lineRule="auto" w:before="50"/>
        <w:ind w:left="107" w:right="97"/>
      </w:pPr>
      <w:r>
        <w:rPr/>
        <w:t>The School maintained a full calendar of engagement and international activities in </w:t>
      </w:r>
      <w:r>
        <w:rPr>
          <w:w w:val="85"/>
        </w:rPr>
        <w:t>2016, </w:t>
      </w:r>
      <w:r>
        <w:rPr>
          <w:w w:val="97"/>
        </w:rPr>
        <w:t>undertaking </w:t>
      </w:r>
      <w:r>
        <w:rPr>
          <w:w w:val="103"/>
        </w:rPr>
        <w:t>50 </w:t>
      </w:r>
      <w:r>
        <w:rPr>
          <w:w w:val="97"/>
        </w:rPr>
        <w:t>separate </w:t>
      </w:r>
      <w:r>
        <w:rPr>
          <w:w w:val="97"/>
        </w:rPr>
        <w:t>engagement </w:t>
      </w:r>
      <w:r>
        <w:rPr/>
        <w:t>activities involving students, staff members, prospective students, community members, industry bodies and other external parties. The events catered to audiences ranging from primary school students to university</w:t>
      </w:r>
    </w:p>
    <w:p>
      <w:pPr>
        <w:pStyle w:val="BodyText"/>
        <w:spacing w:line="249" w:lineRule="auto"/>
        <w:ind w:left="107" w:right="23"/>
      </w:pPr>
      <w:r>
        <w:rPr/>
        <w:t>delegations,</w:t>
      </w:r>
      <w:r>
        <w:rPr>
          <w:spacing w:val="-16"/>
        </w:rPr>
        <w:t> </w:t>
      </w:r>
      <w:r>
        <w:rPr/>
        <w:t>and</w:t>
      </w:r>
      <w:r>
        <w:rPr>
          <w:spacing w:val="-16"/>
        </w:rPr>
        <w:t> </w:t>
      </w:r>
      <w:r>
        <w:rPr/>
        <w:t>spanned</w:t>
      </w:r>
      <w:r>
        <w:rPr>
          <w:spacing w:val="-16"/>
        </w:rPr>
        <w:t> </w:t>
      </w:r>
      <w:r>
        <w:rPr/>
        <w:t>school</w:t>
      </w:r>
      <w:r>
        <w:rPr>
          <w:spacing w:val="-16"/>
        </w:rPr>
        <w:t> </w:t>
      </w:r>
      <w:r>
        <w:rPr/>
        <w:t>engagement sessions</w:t>
      </w:r>
      <w:r>
        <w:rPr>
          <w:spacing w:val="-16"/>
        </w:rPr>
        <w:t> </w:t>
      </w:r>
      <w:r>
        <w:rPr/>
        <w:t>to</w:t>
      </w:r>
      <w:r>
        <w:rPr>
          <w:spacing w:val="-16"/>
        </w:rPr>
        <w:t> </w:t>
      </w:r>
      <w:r>
        <w:rPr/>
        <w:t>activities</w:t>
      </w:r>
      <w:r>
        <w:rPr>
          <w:spacing w:val="-16"/>
        </w:rPr>
        <w:t> </w:t>
      </w:r>
      <w:r>
        <w:rPr/>
        <w:t>oriented</w:t>
      </w:r>
      <w:r>
        <w:rPr>
          <w:spacing w:val="-16"/>
        </w:rPr>
        <w:t> </w:t>
      </w:r>
      <w:r>
        <w:rPr/>
        <w:t>to</w:t>
      </w:r>
      <w:r>
        <w:rPr>
          <w:spacing w:val="-16"/>
        </w:rPr>
        <w:t> </w:t>
      </w:r>
      <w:r>
        <w:rPr/>
        <w:t>international and</w:t>
      </w:r>
      <w:r>
        <w:rPr>
          <w:spacing w:val="-19"/>
        </w:rPr>
        <w:t> </w:t>
      </w:r>
      <w:r>
        <w:rPr/>
        <w:t>Indigenous</w:t>
      </w:r>
      <w:r>
        <w:rPr>
          <w:spacing w:val="-19"/>
        </w:rPr>
        <w:t> </w:t>
      </w:r>
      <w:r>
        <w:rPr/>
        <w:t>students.</w:t>
      </w:r>
      <w:r>
        <w:rPr>
          <w:spacing w:val="-19"/>
        </w:rPr>
        <w:t> </w:t>
      </w:r>
      <w:r>
        <w:rPr/>
        <w:t>All</w:t>
      </w:r>
      <w:r>
        <w:rPr>
          <w:spacing w:val="-19"/>
        </w:rPr>
        <w:t> </w:t>
      </w:r>
      <w:r>
        <w:rPr/>
        <w:t>events</w:t>
      </w:r>
      <w:r>
        <w:rPr>
          <w:spacing w:val="-19"/>
        </w:rPr>
        <w:t> </w:t>
      </w:r>
      <w:r>
        <w:rPr/>
        <w:t>aimed</w:t>
      </w:r>
    </w:p>
    <w:p>
      <w:pPr>
        <w:pStyle w:val="BodyText"/>
        <w:spacing w:line="249" w:lineRule="auto"/>
        <w:ind w:left="107" w:right="148"/>
      </w:pPr>
      <w:r>
        <w:rPr/>
        <w:t>to increase the participation, educational outcomes and opportunities of students and prospective students from the Western Sydney region.</w:t>
      </w:r>
    </w:p>
    <w:p>
      <w:pPr>
        <w:pStyle w:val="BodyText"/>
        <w:rPr>
          <w:sz w:val="14"/>
        </w:rPr>
      </w:pPr>
    </w:p>
    <w:p>
      <w:pPr>
        <w:pStyle w:val="BodyText"/>
        <w:spacing w:line="249" w:lineRule="auto"/>
        <w:ind w:left="107" w:right="308"/>
      </w:pPr>
      <w:r>
        <w:rPr/>
        <w:t>Maintaining</w:t>
      </w:r>
      <w:r>
        <w:rPr>
          <w:spacing w:val="-21"/>
        </w:rPr>
        <w:t> </w:t>
      </w:r>
      <w:r>
        <w:rPr/>
        <w:t>market</w:t>
      </w:r>
      <w:r>
        <w:rPr>
          <w:spacing w:val="-21"/>
        </w:rPr>
        <w:t> </w:t>
      </w:r>
      <w:r>
        <w:rPr/>
        <w:t>share</w:t>
      </w:r>
      <w:r>
        <w:rPr>
          <w:spacing w:val="-21"/>
        </w:rPr>
        <w:t> </w:t>
      </w:r>
      <w:r>
        <w:rPr/>
        <w:t>in</w:t>
      </w:r>
      <w:r>
        <w:rPr>
          <w:spacing w:val="-21"/>
        </w:rPr>
        <w:t> </w:t>
      </w:r>
      <w:r>
        <w:rPr/>
        <w:t>a</w:t>
      </w:r>
      <w:r>
        <w:rPr>
          <w:spacing w:val="-21"/>
        </w:rPr>
        <w:t> </w:t>
      </w:r>
      <w:r>
        <w:rPr/>
        <w:t>deregulated and highly competitive higher education market</w:t>
      </w:r>
      <w:r>
        <w:rPr>
          <w:spacing w:val="-19"/>
        </w:rPr>
        <w:t> </w:t>
      </w:r>
      <w:r>
        <w:rPr/>
        <w:t>remains</w:t>
      </w:r>
      <w:r>
        <w:rPr>
          <w:spacing w:val="-19"/>
        </w:rPr>
        <w:t> </w:t>
      </w:r>
      <w:r>
        <w:rPr/>
        <w:t>a</w:t>
      </w:r>
      <w:r>
        <w:rPr>
          <w:spacing w:val="-19"/>
        </w:rPr>
        <w:t> </w:t>
      </w:r>
      <w:r>
        <w:rPr/>
        <w:t>primary</w:t>
      </w:r>
      <w:r>
        <w:rPr>
          <w:spacing w:val="-19"/>
        </w:rPr>
        <w:t> </w:t>
      </w:r>
      <w:r>
        <w:rPr/>
        <w:t>focus,</w:t>
      </w:r>
      <w:r>
        <w:rPr>
          <w:spacing w:val="-19"/>
        </w:rPr>
        <w:t> </w:t>
      </w:r>
      <w:r>
        <w:rPr/>
        <w:t>and</w:t>
      </w:r>
      <w:r>
        <w:rPr>
          <w:spacing w:val="-19"/>
        </w:rPr>
        <w:t> </w:t>
      </w:r>
      <w:r>
        <w:rPr/>
        <w:t>the</w:t>
      </w:r>
    </w:p>
    <w:p>
      <w:pPr>
        <w:pStyle w:val="BodyText"/>
        <w:spacing w:before="1"/>
        <w:rPr>
          <w:sz w:val="20"/>
        </w:rPr>
      </w:pPr>
      <w:r>
        <w:rPr/>
        <w:br w:type="column"/>
      </w:r>
      <w:r>
        <w:rPr>
          <w:sz w:val="20"/>
        </w:rPr>
      </w:r>
    </w:p>
    <w:p>
      <w:pPr>
        <w:pStyle w:val="BodyText"/>
        <w:spacing w:line="249" w:lineRule="auto"/>
        <w:ind w:left="107" w:right="83"/>
      </w:pPr>
      <w:r>
        <w:rPr/>
        <w:t>School undertook targeted engagement </w:t>
      </w:r>
      <w:r>
        <w:rPr>
          <w:w w:val="98"/>
        </w:rPr>
        <w:t>activities </w:t>
      </w:r>
      <w:r>
        <w:rPr>
          <w:w w:val="95"/>
        </w:rPr>
        <w:t>in </w:t>
      </w:r>
      <w:r>
        <w:rPr>
          <w:w w:val="85"/>
        </w:rPr>
        <w:t>2016. </w:t>
      </w:r>
      <w:r>
        <w:rPr>
          <w:w w:val="95"/>
        </w:rPr>
        <w:t>Improving </w:t>
      </w:r>
      <w:r>
        <w:rPr>
          <w:w w:val="97"/>
        </w:rPr>
        <w:t>the </w:t>
      </w:r>
      <w:r>
        <w:rPr>
          <w:w w:val="97"/>
        </w:rPr>
        <w:t>profile </w:t>
      </w:r>
      <w:r>
        <w:rPr>
          <w:w w:val="99"/>
        </w:rPr>
        <w:t>of </w:t>
      </w:r>
      <w:r>
        <w:rPr>
          <w:w w:val="97"/>
        </w:rPr>
        <w:t>the </w:t>
      </w:r>
      <w:r>
        <w:rPr/>
        <w:t>School and University through community </w:t>
      </w:r>
      <w:r>
        <w:rPr>
          <w:w w:val="97"/>
        </w:rPr>
        <w:t>engagement </w:t>
      </w:r>
      <w:r>
        <w:rPr>
          <w:w w:val="96"/>
        </w:rPr>
        <w:t>was </w:t>
      </w:r>
      <w:r>
        <w:rPr>
          <w:w w:val="94"/>
        </w:rPr>
        <w:t>a </w:t>
      </w:r>
      <w:r>
        <w:rPr>
          <w:w w:val="98"/>
        </w:rPr>
        <w:t>key </w:t>
      </w:r>
      <w:r>
        <w:rPr>
          <w:w w:val="98"/>
        </w:rPr>
        <w:t>goal </w:t>
      </w:r>
      <w:r>
        <w:rPr>
          <w:w w:val="95"/>
        </w:rPr>
        <w:t>in </w:t>
      </w:r>
      <w:r>
        <w:rPr>
          <w:w w:val="85"/>
        </w:rPr>
        <w:t>2016. </w:t>
      </w:r>
      <w:r>
        <w:rPr>
          <w:w w:val="97"/>
        </w:rPr>
        <w:t>Nursing </w:t>
      </w:r>
      <w:r>
        <w:rPr/>
        <w:t>and midwifery students engaged with the community and refined their clinical skills, providing free health checks at seven events, including Western Sydney Homeless Connect, Macarthur Homeless Hub, Bankstown Wellness Festival and Rail Safety Week for Sydney Trains. Students from the SoNM</w:t>
      </w:r>
    </w:p>
    <w:p>
      <w:pPr>
        <w:pStyle w:val="BodyText"/>
        <w:spacing w:line="249" w:lineRule="auto"/>
        <w:ind w:left="107" w:right="268"/>
      </w:pPr>
      <w:r>
        <w:rPr/>
        <w:t>and the School of Medicine volunteered their time to offer basic health services to the community such as blood pressure and blood sugar level checks, which provided an excellent primary healthcare learning experience and contributed to their clinical placement hours.</w:t>
      </w:r>
    </w:p>
    <w:p>
      <w:pPr>
        <w:pStyle w:val="BodyText"/>
        <w:spacing w:before="6"/>
        <w:rPr>
          <w:sz w:val="14"/>
        </w:rPr>
      </w:pPr>
    </w:p>
    <w:p>
      <w:pPr>
        <w:pStyle w:val="Heading7"/>
        <w:ind w:right="0"/>
      </w:pPr>
      <w:r>
        <w:rPr>
          <w:color w:val="615C58"/>
          <w:w w:val="95"/>
        </w:rPr>
        <w:t>Western Sydney Homeless Connect</w:t>
      </w:r>
    </w:p>
    <w:p>
      <w:pPr>
        <w:pStyle w:val="BodyText"/>
        <w:spacing w:line="249" w:lineRule="auto" w:before="86"/>
        <w:ind w:left="107" w:right="194"/>
      </w:pPr>
      <w:r>
        <w:rPr/>
        <w:t>The School’s commitment to the community was illustrated by its involvement in the Western Sydney Homeless Connect event</w:t>
      </w:r>
    </w:p>
    <w:p>
      <w:pPr>
        <w:pStyle w:val="BodyText"/>
        <w:spacing w:line="249" w:lineRule="auto"/>
        <w:ind w:left="107" w:right="262"/>
      </w:pPr>
      <w:r>
        <w:rPr/>
        <w:t>in Parramatta. School staff and students assembled 500 personal care kits from 3,500 items donated by staff, students and community members and participated on the day by conducting health checks and distributing the personal care kits.</w:t>
      </w:r>
    </w:p>
    <w:p>
      <w:pPr>
        <w:pStyle w:val="BodyText"/>
        <w:spacing w:line="249" w:lineRule="auto"/>
        <w:ind w:left="107" w:right="476"/>
      </w:pPr>
      <w:r>
        <w:rPr>
          <w:spacing w:val="2"/>
        </w:rPr>
        <w:t>Homeless</w:t>
      </w:r>
      <w:r>
        <w:rPr>
          <w:spacing w:val="-22"/>
        </w:rPr>
        <w:t> </w:t>
      </w:r>
      <w:r>
        <w:rPr>
          <w:spacing w:val="2"/>
        </w:rPr>
        <w:t>Connect</w:t>
      </w:r>
      <w:r>
        <w:rPr>
          <w:spacing w:val="-22"/>
        </w:rPr>
        <w:t> </w:t>
      </w:r>
      <w:r>
        <w:rPr/>
        <w:t>is</w:t>
      </w:r>
      <w:r>
        <w:rPr>
          <w:spacing w:val="-22"/>
        </w:rPr>
        <w:t> </w:t>
      </w:r>
      <w:r>
        <w:rPr/>
        <w:t>an</w:t>
      </w:r>
      <w:r>
        <w:rPr>
          <w:spacing w:val="-22"/>
        </w:rPr>
        <w:t> </w:t>
      </w:r>
      <w:r>
        <w:rPr/>
        <w:t>annual</w:t>
      </w:r>
      <w:r>
        <w:rPr>
          <w:spacing w:val="-22"/>
        </w:rPr>
        <w:t> </w:t>
      </w:r>
      <w:r>
        <w:rPr/>
        <w:t>event</w:t>
      </w:r>
      <w:r>
        <w:rPr>
          <w:spacing w:val="-22"/>
        </w:rPr>
        <w:t> </w:t>
      </w:r>
      <w:r>
        <w:rPr/>
        <w:t>run in</w:t>
      </w:r>
      <w:r>
        <w:rPr>
          <w:spacing w:val="-14"/>
        </w:rPr>
        <w:t> </w:t>
      </w:r>
      <w:r>
        <w:rPr/>
        <w:t>Western</w:t>
      </w:r>
      <w:r>
        <w:rPr>
          <w:spacing w:val="-14"/>
        </w:rPr>
        <w:t> </w:t>
      </w:r>
      <w:r>
        <w:rPr/>
        <w:t>Sydney</w:t>
      </w:r>
      <w:r>
        <w:rPr>
          <w:spacing w:val="-14"/>
        </w:rPr>
        <w:t> </w:t>
      </w:r>
      <w:r>
        <w:rPr/>
        <w:t>to</w:t>
      </w:r>
      <w:r>
        <w:rPr>
          <w:spacing w:val="-14"/>
        </w:rPr>
        <w:t> </w:t>
      </w:r>
      <w:r>
        <w:rPr/>
        <w:t>connect</w:t>
      </w:r>
      <w:r>
        <w:rPr>
          <w:spacing w:val="-14"/>
        </w:rPr>
        <w:t> </w:t>
      </w:r>
      <w:r>
        <w:rPr/>
        <w:t>the</w:t>
      </w:r>
      <w:r>
        <w:rPr>
          <w:spacing w:val="-14"/>
        </w:rPr>
        <w:t> </w:t>
      </w:r>
      <w:r>
        <w:rPr/>
        <w:t>local</w:t>
      </w:r>
    </w:p>
    <w:p>
      <w:pPr>
        <w:pStyle w:val="BodyText"/>
        <w:spacing w:line="249" w:lineRule="auto"/>
        <w:ind w:left="107" w:right="174"/>
      </w:pPr>
      <w:r>
        <w:rPr/>
        <w:t>homeless community with government and community </w:t>
      </w:r>
      <w:r>
        <w:rPr>
          <w:spacing w:val="2"/>
        </w:rPr>
        <w:t>services, </w:t>
      </w:r>
      <w:r>
        <w:rPr/>
        <w:t>medical providers and social</w:t>
      </w:r>
      <w:r>
        <w:rPr>
          <w:spacing w:val="-18"/>
        </w:rPr>
        <w:t> </w:t>
      </w:r>
      <w:r>
        <w:rPr/>
        <w:t>workers,</w:t>
      </w:r>
      <w:r>
        <w:rPr>
          <w:spacing w:val="-18"/>
        </w:rPr>
        <w:t> </w:t>
      </w:r>
      <w:r>
        <w:rPr/>
        <w:t>as</w:t>
      </w:r>
      <w:r>
        <w:rPr>
          <w:spacing w:val="-18"/>
        </w:rPr>
        <w:t> </w:t>
      </w:r>
      <w:r>
        <w:rPr/>
        <w:t>well</w:t>
      </w:r>
      <w:r>
        <w:rPr>
          <w:spacing w:val="-18"/>
        </w:rPr>
        <w:t> </w:t>
      </w:r>
      <w:r>
        <w:rPr/>
        <w:t>as</w:t>
      </w:r>
      <w:r>
        <w:rPr>
          <w:spacing w:val="-18"/>
        </w:rPr>
        <w:t> </w:t>
      </w:r>
      <w:r>
        <w:rPr/>
        <w:t>to</w:t>
      </w:r>
      <w:r>
        <w:rPr>
          <w:spacing w:val="-18"/>
        </w:rPr>
        <w:t> </w:t>
      </w:r>
      <w:r>
        <w:rPr/>
        <w:t>raise</w:t>
      </w:r>
      <w:r>
        <w:rPr>
          <w:spacing w:val="-18"/>
        </w:rPr>
        <w:t> </w:t>
      </w:r>
      <w:r>
        <w:rPr/>
        <w:t>awareness of</w:t>
      </w:r>
      <w:r>
        <w:rPr>
          <w:spacing w:val="-23"/>
        </w:rPr>
        <w:t> </w:t>
      </w:r>
      <w:r>
        <w:rPr>
          <w:spacing w:val="2"/>
        </w:rPr>
        <w:t>homelessness</w:t>
      </w:r>
      <w:r>
        <w:rPr>
          <w:spacing w:val="-23"/>
        </w:rPr>
        <w:t> </w:t>
      </w:r>
      <w:r>
        <w:rPr/>
        <w:t>in</w:t>
      </w:r>
      <w:r>
        <w:rPr>
          <w:spacing w:val="-23"/>
        </w:rPr>
        <w:t> </w:t>
      </w:r>
      <w:r>
        <w:rPr/>
        <w:t>the</w:t>
      </w:r>
      <w:r>
        <w:rPr>
          <w:spacing w:val="-23"/>
        </w:rPr>
        <w:t> </w:t>
      </w:r>
      <w:r>
        <w:rPr/>
        <w:t>wider</w:t>
      </w:r>
      <w:r>
        <w:rPr>
          <w:spacing w:val="-23"/>
        </w:rPr>
        <w:t> </w:t>
      </w:r>
      <w:r>
        <w:rPr/>
        <w:t>community.</w:t>
      </w:r>
      <w:r>
        <w:rPr>
          <w:spacing w:val="-23"/>
        </w:rPr>
        <w:t> </w:t>
      </w:r>
      <w:r>
        <w:rPr/>
        <w:t>The SoNM’s</w:t>
      </w:r>
      <w:r>
        <w:rPr>
          <w:spacing w:val="-18"/>
        </w:rPr>
        <w:t> </w:t>
      </w:r>
      <w:r>
        <w:rPr/>
        <w:t>Western</w:t>
      </w:r>
      <w:r>
        <w:rPr>
          <w:spacing w:val="-18"/>
        </w:rPr>
        <w:t> </w:t>
      </w:r>
      <w:r>
        <w:rPr/>
        <w:t>Sydney</w:t>
      </w:r>
      <w:r>
        <w:rPr>
          <w:spacing w:val="-18"/>
        </w:rPr>
        <w:t> </w:t>
      </w:r>
      <w:r>
        <w:rPr/>
        <w:t>University</w:t>
      </w:r>
      <w:r>
        <w:rPr>
          <w:spacing w:val="-18"/>
        </w:rPr>
        <w:t> </w:t>
      </w:r>
      <w:r>
        <w:rPr>
          <w:spacing w:val="2"/>
        </w:rPr>
        <w:t>Homeless Connect</w:t>
      </w:r>
      <w:r>
        <w:rPr>
          <w:spacing w:val="-18"/>
        </w:rPr>
        <w:t> </w:t>
      </w:r>
      <w:r>
        <w:rPr/>
        <w:t>Team</w:t>
      </w:r>
      <w:r>
        <w:rPr>
          <w:spacing w:val="-18"/>
        </w:rPr>
        <w:t> </w:t>
      </w:r>
      <w:r>
        <w:rPr/>
        <w:t>was</w:t>
      </w:r>
      <w:r>
        <w:rPr>
          <w:spacing w:val="-18"/>
        </w:rPr>
        <w:t> </w:t>
      </w:r>
      <w:r>
        <w:rPr/>
        <w:t>highly</w:t>
      </w:r>
      <w:r>
        <w:rPr>
          <w:spacing w:val="-18"/>
        </w:rPr>
        <w:t> </w:t>
      </w:r>
      <w:r>
        <w:rPr/>
        <w:t>commended</w:t>
      </w:r>
      <w:r>
        <w:rPr>
          <w:spacing w:val="-18"/>
        </w:rPr>
        <w:t> </w:t>
      </w:r>
      <w:r>
        <w:rPr/>
        <w:t>in</w:t>
      </w:r>
    </w:p>
    <w:p>
      <w:pPr>
        <w:pStyle w:val="BodyText"/>
        <w:spacing w:line="249" w:lineRule="auto"/>
        <w:ind w:left="107" w:right="401"/>
      </w:pPr>
      <w:r>
        <w:rPr/>
        <w:t>the Excellence in University Engagement and Sustainability category in the Vice- Chancellor’s Excellence Awards for their contribution to the event.</w:t>
      </w:r>
    </w:p>
    <w:p>
      <w:pPr>
        <w:pStyle w:val="BodyText"/>
        <w:spacing w:before="6"/>
        <w:rPr>
          <w:sz w:val="14"/>
        </w:rPr>
      </w:pPr>
    </w:p>
    <w:p>
      <w:pPr>
        <w:pStyle w:val="Heading7"/>
        <w:ind w:right="0"/>
      </w:pPr>
      <w:r>
        <w:rPr>
          <w:color w:val="615C58"/>
          <w:w w:val="95"/>
        </w:rPr>
        <w:t>Indigenous Engagement Activities</w:t>
      </w:r>
    </w:p>
    <w:p>
      <w:pPr>
        <w:pStyle w:val="BodyText"/>
        <w:spacing w:line="249" w:lineRule="auto" w:before="86"/>
        <w:ind w:left="107" w:right="206"/>
      </w:pPr>
      <w:r>
        <w:rPr/>
        <w:t>The School is aligned with the University’s strategic goals and has actively progressed Indigenous engagement, participating in activities</w:t>
      </w:r>
      <w:r>
        <w:rPr>
          <w:spacing w:val="-17"/>
        </w:rPr>
        <w:t> </w:t>
      </w:r>
      <w:r>
        <w:rPr/>
        <w:t>including</w:t>
      </w:r>
      <w:r>
        <w:rPr>
          <w:spacing w:val="-17"/>
        </w:rPr>
        <w:t> </w:t>
      </w:r>
      <w:r>
        <w:rPr/>
        <w:t>an</w:t>
      </w:r>
      <w:r>
        <w:rPr>
          <w:spacing w:val="-17"/>
        </w:rPr>
        <w:t> </w:t>
      </w:r>
      <w:r>
        <w:rPr>
          <w:spacing w:val="2"/>
        </w:rPr>
        <w:t>NRL</w:t>
      </w:r>
      <w:r>
        <w:rPr>
          <w:spacing w:val="-17"/>
        </w:rPr>
        <w:t> </w:t>
      </w:r>
      <w:r>
        <w:rPr/>
        <w:t>Indigenous</w:t>
      </w:r>
      <w:r>
        <w:rPr>
          <w:spacing w:val="-17"/>
        </w:rPr>
        <w:t> </w:t>
      </w:r>
      <w:r>
        <w:rPr/>
        <w:t>player visit,</w:t>
      </w:r>
      <w:r>
        <w:rPr>
          <w:spacing w:val="-21"/>
        </w:rPr>
        <w:t> </w:t>
      </w:r>
      <w:r>
        <w:rPr/>
        <w:t>the</w:t>
      </w:r>
      <w:r>
        <w:rPr>
          <w:spacing w:val="-21"/>
        </w:rPr>
        <w:t> </w:t>
      </w:r>
      <w:r>
        <w:rPr/>
        <w:t>University’s</w:t>
      </w:r>
      <w:r>
        <w:rPr>
          <w:spacing w:val="-21"/>
        </w:rPr>
        <w:t> </w:t>
      </w:r>
      <w:r>
        <w:rPr/>
        <w:t>Heartbeat</w:t>
      </w:r>
      <w:r>
        <w:rPr>
          <w:spacing w:val="-21"/>
        </w:rPr>
        <w:t> </w:t>
      </w:r>
      <w:r>
        <w:rPr/>
        <w:t>program,</w:t>
      </w:r>
      <w:r>
        <w:rPr>
          <w:spacing w:val="-24"/>
        </w:rPr>
        <w:t> </w:t>
      </w:r>
      <w:r>
        <w:rPr/>
        <w:t>and</w:t>
      </w:r>
      <w:r>
        <w:rPr>
          <w:spacing w:val="-12"/>
        </w:rPr>
        <w:t> </w:t>
      </w:r>
      <w:r>
        <w:rPr/>
        <w:t>the Koori Education Carnival across the three</w:t>
      </w:r>
      <w:r>
        <w:rPr>
          <w:spacing w:val="-22"/>
        </w:rPr>
        <w:t> </w:t>
      </w:r>
      <w:r>
        <w:rPr>
          <w:spacing w:val="2"/>
        </w:rPr>
        <w:t>campuses.</w:t>
      </w:r>
      <w:r>
        <w:rPr>
          <w:spacing w:val="-22"/>
        </w:rPr>
        <w:t> </w:t>
      </w:r>
      <w:r>
        <w:rPr/>
        <w:t>All</w:t>
      </w:r>
      <w:r>
        <w:rPr>
          <w:spacing w:val="-22"/>
        </w:rPr>
        <w:t> </w:t>
      </w:r>
      <w:r>
        <w:rPr/>
        <w:t>these</w:t>
      </w:r>
      <w:r>
        <w:rPr>
          <w:spacing w:val="-22"/>
        </w:rPr>
        <w:t> </w:t>
      </w:r>
      <w:r>
        <w:rPr/>
        <w:t>events</w:t>
      </w:r>
      <w:r>
        <w:rPr>
          <w:spacing w:val="-22"/>
        </w:rPr>
        <w:t> </w:t>
      </w:r>
      <w:r>
        <w:rPr/>
        <w:t>involved</w:t>
      </w:r>
    </w:p>
    <w:p>
      <w:pPr>
        <w:pStyle w:val="BodyText"/>
        <w:spacing w:line="249" w:lineRule="auto"/>
        <w:ind w:left="107" w:right="92"/>
      </w:pPr>
      <w:r>
        <w:rPr/>
        <w:t>career-oriented talks from staff members and interactive activities in the Clinical Practice Units showcasing nursing and midwifery education and career opportunities.</w:t>
      </w:r>
    </w:p>
    <w:p>
      <w:pPr>
        <w:spacing w:after="0" w:line="249" w:lineRule="auto"/>
        <w:sectPr>
          <w:type w:val="continuous"/>
          <w:pgSz w:w="11910" w:h="16840"/>
          <w:pgMar w:top="1580" w:bottom="280" w:left="800" w:right="800"/>
          <w:cols w:num="3" w:equalWidth="0">
            <w:col w:w="3321" w:space="118"/>
            <w:col w:w="3320" w:space="119"/>
            <w:col w:w="3432"/>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152"/>
      </w:pPr>
      <w:r>
        <w:rPr/>
        <w:t>The SoNM liaison officer for Aboriginal and Torres Strait Islander students organised</w:t>
      </w:r>
    </w:p>
    <w:p>
      <w:pPr>
        <w:pStyle w:val="BodyText"/>
        <w:spacing w:line="249" w:lineRule="auto"/>
        <w:ind w:left="107" w:right="352"/>
      </w:pPr>
      <w:r>
        <w:rPr/>
        <w:t>a</w:t>
      </w:r>
      <w:r>
        <w:rPr>
          <w:spacing w:val="-18"/>
        </w:rPr>
        <w:t> </w:t>
      </w:r>
      <w:r>
        <w:rPr/>
        <w:t>number</w:t>
      </w:r>
      <w:r>
        <w:rPr>
          <w:spacing w:val="-18"/>
        </w:rPr>
        <w:t> </w:t>
      </w:r>
      <w:r>
        <w:rPr/>
        <w:t>of</w:t>
      </w:r>
      <w:r>
        <w:rPr>
          <w:spacing w:val="-18"/>
        </w:rPr>
        <w:t> </w:t>
      </w:r>
      <w:r>
        <w:rPr/>
        <w:t>successful</w:t>
      </w:r>
      <w:r>
        <w:rPr>
          <w:spacing w:val="-18"/>
        </w:rPr>
        <w:t> </w:t>
      </w:r>
      <w:r>
        <w:rPr/>
        <w:t>events,</w:t>
      </w:r>
      <w:r>
        <w:rPr>
          <w:spacing w:val="-18"/>
        </w:rPr>
        <w:t> </w:t>
      </w:r>
      <w:r>
        <w:rPr/>
        <w:t>including </w:t>
      </w:r>
      <w:r>
        <w:rPr>
          <w:spacing w:val="2"/>
        </w:rPr>
        <w:t>NAIDOC </w:t>
      </w:r>
      <w:r>
        <w:rPr/>
        <w:t>Week, the first Aboriginal and Torres</w:t>
      </w:r>
      <w:r>
        <w:rPr>
          <w:spacing w:val="-23"/>
        </w:rPr>
        <w:t> </w:t>
      </w:r>
      <w:r>
        <w:rPr/>
        <w:t>Strait</w:t>
      </w:r>
      <w:r>
        <w:rPr>
          <w:spacing w:val="-23"/>
        </w:rPr>
        <w:t> </w:t>
      </w:r>
      <w:r>
        <w:rPr/>
        <w:t>Islander</w:t>
      </w:r>
      <w:r>
        <w:rPr>
          <w:spacing w:val="-23"/>
        </w:rPr>
        <w:t> </w:t>
      </w:r>
      <w:r>
        <w:rPr/>
        <w:t>student</w:t>
      </w:r>
      <w:r>
        <w:rPr>
          <w:spacing w:val="-23"/>
        </w:rPr>
        <w:t> </w:t>
      </w:r>
      <w:r>
        <w:rPr/>
        <w:t>and</w:t>
      </w:r>
      <w:r>
        <w:rPr>
          <w:spacing w:val="-23"/>
        </w:rPr>
        <w:t> </w:t>
      </w:r>
      <w:r>
        <w:rPr/>
        <w:t>alumni information</w:t>
      </w:r>
      <w:r>
        <w:rPr>
          <w:spacing w:val="-21"/>
        </w:rPr>
        <w:t> </w:t>
      </w:r>
      <w:r>
        <w:rPr/>
        <w:t>evening,</w:t>
      </w:r>
      <w:r>
        <w:rPr>
          <w:spacing w:val="-21"/>
        </w:rPr>
        <w:t> </w:t>
      </w:r>
      <w:r>
        <w:rPr/>
        <w:t>a</w:t>
      </w:r>
      <w:r>
        <w:rPr>
          <w:spacing w:val="-21"/>
        </w:rPr>
        <w:t> </w:t>
      </w:r>
      <w:r>
        <w:rPr/>
        <w:t>cultural</w:t>
      </w:r>
      <w:r>
        <w:rPr>
          <w:spacing w:val="-21"/>
        </w:rPr>
        <w:t> </w:t>
      </w:r>
      <w:r>
        <w:rPr/>
        <w:t>education field</w:t>
      </w:r>
      <w:r>
        <w:rPr>
          <w:spacing w:val="-14"/>
        </w:rPr>
        <w:t> </w:t>
      </w:r>
      <w:r>
        <w:rPr/>
        <w:t>trip</w:t>
      </w:r>
      <w:r>
        <w:rPr>
          <w:spacing w:val="-14"/>
        </w:rPr>
        <w:t> </w:t>
      </w:r>
      <w:r>
        <w:rPr/>
        <w:t>to</w:t>
      </w:r>
      <w:r>
        <w:rPr>
          <w:spacing w:val="-14"/>
        </w:rPr>
        <w:t> </w:t>
      </w:r>
      <w:r>
        <w:rPr/>
        <w:t>Yengo</w:t>
      </w:r>
      <w:r>
        <w:rPr>
          <w:spacing w:val="-14"/>
        </w:rPr>
        <w:t> </w:t>
      </w:r>
      <w:r>
        <w:rPr/>
        <w:t>National</w:t>
      </w:r>
      <w:r>
        <w:rPr>
          <w:spacing w:val="-14"/>
        </w:rPr>
        <w:t> </w:t>
      </w:r>
      <w:r>
        <w:rPr/>
        <w:t>Park</w:t>
      </w:r>
      <w:r>
        <w:rPr>
          <w:spacing w:val="-14"/>
        </w:rPr>
        <w:t> </w:t>
      </w:r>
      <w:r>
        <w:rPr/>
        <w:t>and</w:t>
      </w:r>
    </w:p>
    <w:p>
      <w:pPr>
        <w:pStyle w:val="BodyText"/>
        <w:spacing w:line="249" w:lineRule="auto"/>
        <w:ind w:left="107" w:right="81"/>
      </w:pPr>
      <w:r>
        <w:rPr/>
        <w:t>a community partnership with Marrin Weejali Aboriginal Corporation in Blackett. The School was also invited to join the Baabayn Aboriginal Corporation funding committee.</w:t>
      </w:r>
      <w:r>
        <w:rPr>
          <w:spacing w:val="-16"/>
        </w:rPr>
        <w:t> </w:t>
      </w:r>
      <w:r>
        <w:rPr/>
        <w:t>The</w:t>
      </w:r>
      <w:r>
        <w:rPr>
          <w:spacing w:val="-16"/>
        </w:rPr>
        <w:t> </w:t>
      </w:r>
      <w:r>
        <w:rPr>
          <w:spacing w:val="2"/>
        </w:rPr>
        <w:t>SoNM</w:t>
      </w:r>
      <w:r>
        <w:rPr>
          <w:spacing w:val="-16"/>
        </w:rPr>
        <w:t> </w:t>
      </w:r>
      <w:r>
        <w:rPr/>
        <w:t>has</w:t>
      </w:r>
      <w:r>
        <w:rPr>
          <w:spacing w:val="-16"/>
        </w:rPr>
        <w:t> </w:t>
      </w:r>
      <w:r>
        <w:rPr/>
        <w:t>actively</w:t>
      </w:r>
      <w:r>
        <w:rPr>
          <w:spacing w:val="-16"/>
        </w:rPr>
        <w:t> </w:t>
      </w:r>
      <w:r>
        <w:rPr/>
        <w:t>engaged with Badanami and Indigenous students, organising</w:t>
      </w:r>
      <w:r>
        <w:rPr>
          <w:spacing w:val="-15"/>
        </w:rPr>
        <w:t> </w:t>
      </w:r>
      <w:r>
        <w:rPr/>
        <w:t>a</w:t>
      </w:r>
      <w:r>
        <w:rPr>
          <w:spacing w:val="-15"/>
        </w:rPr>
        <w:t> </w:t>
      </w:r>
      <w:r>
        <w:rPr/>
        <w:t>textbook</w:t>
      </w:r>
      <w:r>
        <w:rPr>
          <w:spacing w:val="-15"/>
        </w:rPr>
        <w:t> </w:t>
      </w:r>
      <w:r>
        <w:rPr/>
        <w:t>drive</w:t>
      </w:r>
      <w:r>
        <w:rPr>
          <w:spacing w:val="-15"/>
        </w:rPr>
        <w:t> </w:t>
      </w:r>
      <w:r>
        <w:rPr/>
        <w:t>and</w:t>
      </w:r>
      <w:r>
        <w:rPr>
          <w:spacing w:val="-15"/>
        </w:rPr>
        <w:t> </w:t>
      </w:r>
      <w:r>
        <w:rPr/>
        <w:t>encouraging students to participate in peer mentoring and</w:t>
      </w:r>
      <w:r>
        <w:rPr>
          <w:spacing w:val="-16"/>
        </w:rPr>
        <w:t> </w:t>
      </w:r>
      <w:r>
        <w:rPr/>
        <w:t>apply</w:t>
      </w:r>
      <w:r>
        <w:rPr>
          <w:spacing w:val="-16"/>
        </w:rPr>
        <w:t> </w:t>
      </w:r>
      <w:r>
        <w:rPr/>
        <w:t>for</w:t>
      </w:r>
      <w:r>
        <w:rPr>
          <w:spacing w:val="-16"/>
        </w:rPr>
        <w:t> </w:t>
      </w:r>
      <w:r>
        <w:rPr/>
        <w:t>cadetships</w:t>
      </w:r>
      <w:r>
        <w:rPr>
          <w:spacing w:val="-16"/>
        </w:rPr>
        <w:t> </w:t>
      </w:r>
      <w:r>
        <w:rPr/>
        <w:t>and</w:t>
      </w:r>
      <w:r>
        <w:rPr>
          <w:spacing w:val="-16"/>
        </w:rPr>
        <w:t> </w:t>
      </w:r>
      <w:r>
        <w:rPr/>
        <w:t>scholarships.</w:t>
      </w:r>
    </w:p>
    <w:p>
      <w:pPr>
        <w:pStyle w:val="BodyText"/>
        <w:spacing w:before="6"/>
        <w:rPr>
          <w:sz w:val="14"/>
        </w:rPr>
      </w:pPr>
    </w:p>
    <w:p>
      <w:pPr>
        <w:pStyle w:val="Heading7"/>
        <w:ind w:right="-17"/>
      </w:pPr>
      <w:r>
        <w:rPr>
          <w:color w:val="615C58"/>
          <w:w w:val="95"/>
        </w:rPr>
        <w:t>International Engagement Activities</w:t>
      </w:r>
    </w:p>
    <w:p>
      <w:pPr>
        <w:pStyle w:val="BodyText"/>
        <w:spacing w:line="249" w:lineRule="auto" w:before="86"/>
        <w:ind w:left="107" w:right="357"/>
      </w:pPr>
      <w:r>
        <w:rPr/>
        <w:t>Internationally, the </w:t>
      </w:r>
      <w:r>
        <w:rPr>
          <w:spacing w:val="2"/>
        </w:rPr>
        <w:t>SoNM </w:t>
      </w:r>
      <w:r>
        <w:rPr/>
        <w:t>continues to strengthen its long-term relationship with </w:t>
      </w:r>
      <w:r>
        <w:rPr>
          <w:spacing w:val="2"/>
        </w:rPr>
        <w:t>HKBU </w:t>
      </w:r>
      <w:r>
        <w:rPr/>
        <w:t>and Huazhong University of Science</w:t>
      </w:r>
      <w:r>
        <w:rPr>
          <w:spacing w:val="-20"/>
        </w:rPr>
        <w:t> </w:t>
      </w:r>
      <w:r>
        <w:rPr/>
        <w:t>and</w:t>
      </w:r>
      <w:r>
        <w:rPr>
          <w:spacing w:val="-20"/>
        </w:rPr>
        <w:t> </w:t>
      </w:r>
      <w:r>
        <w:rPr/>
        <w:t>Technology</w:t>
      </w:r>
      <w:r>
        <w:rPr>
          <w:spacing w:val="-20"/>
        </w:rPr>
        <w:t> </w:t>
      </w:r>
      <w:r>
        <w:rPr>
          <w:spacing w:val="3"/>
        </w:rPr>
        <w:t>(HUST)</w:t>
      </w:r>
      <w:r>
        <w:rPr>
          <w:spacing w:val="-20"/>
        </w:rPr>
        <w:t> </w:t>
      </w:r>
      <w:r>
        <w:rPr/>
        <w:t>in</w:t>
      </w:r>
      <w:r>
        <w:rPr>
          <w:spacing w:val="-20"/>
        </w:rPr>
        <w:t> </w:t>
      </w:r>
      <w:r>
        <w:rPr/>
        <w:t>China</w:t>
      </w:r>
    </w:p>
    <w:p>
      <w:pPr>
        <w:pStyle w:val="BodyText"/>
        <w:spacing w:line="249" w:lineRule="auto"/>
        <w:ind w:left="107" w:right="148"/>
      </w:pPr>
      <w:r>
        <w:rPr/>
        <w:t>with ongoing staff exchanges and student visits. The School’s success in the QS World University Rankings has significantly expanded its international reach, with the SoNM fielding a large number of requests</w:t>
      </w:r>
    </w:p>
    <w:p>
      <w:pPr>
        <w:pStyle w:val="BodyText"/>
        <w:spacing w:line="249" w:lineRule="auto"/>
        <w:ind w:left="107" w:right="36"/>
      </w:pPr>
      <w:r>
        <w:rPr>
          <w:w w:val="95"/>
        </w:rPr>
        <w:t>in </w:t>
      </w:r>
      <w:r>
        <w:rPr>
          <w:w w:val="90"/>
        </w:rPr>
        <w:t>2016 </w:t>
      </w:r>
      <w:r>
        <w:rPr>
          <w:w w:val="97"/>
        </w:rPr>
        <w:t>and </w:t>
      </w:r>
      <w:r>
        <w:rPr>
          <w:w w:val="98"/>
        </w:rPr>
        <w:t>hosting </w:t>
      </w:r>
      <w:r>
        <w:rPr>
          <w:w w:val="95"/>
        </w:rPr>
        <w:t>an </w:t>
      </w:r>
      <w:r>
        <w:rPr>
          <w:w w:val="97"/>
        </w:rPr>
        <w:t>increased </w:t>
      </w:r>
      <w:r>
        <w:rPr>
          <w:w w:val="97"/>
        </w:rPr>
        <w:t>number </w:t>
      </w:r>
      <w:r>
        <w:rPr>
          <w:w w:val="99"/>
        </w:rPr>
        <w:t>of </w:t>
      </w:r>
      <w:r>
        <w:rPr/>
        <w:t>visiting international academics from Macau, China and South Korea. These academics are seeking information about learning</w:t>
      </w:r>
    </w:p>
    <w:p>
      <w:pPr>
        <w:pStyle w:val="BodyText"/>
        <w:spacing w:line="249" w:lineRule="auto"/>
        <w:ind w:left="107" w:right="361"/>
      </w:pPr>
      <w:r>
        <w:rPr/>
        <w:t>and teaching, including simulation and blended</w:t>
      </w:r>
      <w:r>
        <w:rPr>
          <w:spacing w:val="-27"/>
        </w:rPr>
        <w:t> </w:t>
      </w:r>
      <w:r>
        <w:rPr/>
        <w:t>learning</w:t>
      </w:r>
      <w:r>
        <w:rPr>
          <w:spacing w:val="-27"/>
        </w:rPr>
        <w:t> </w:t>
      </w:r>
      <w:r>
        <w:rPr/>
        <w:t>strategies.</w:t>
      </w:r>
      <w:r>
        <w:rPr>
          <w:spacing w:val="-27"/>
        </w:rPr>
        <w:t> </w:t>
      </w:r>
      <w:r>
        <w:rPr/>
        <w:t>In</w:t>
      </w:r>
      <w:r>
        <w:rPr>
          <w:spacing w:val="-27"/>
        </w:rPr>
        <w:t> </w:t>
      </w:r>
      <w:r>
        <w:rPr/>
        <w:t>particular, they</w:t>
      </w:r>
      <w:r>
        <w:rPr>
          <w:spacing w:val="-16"/>
        </w:rPr>
        <w:t> </w:t>
      </w:r>
      <w:r>
        <w:rPr/>
        <w:t>want</w:t>
      </w:r>
      <w:r>
        <w:rPr>
          <w:spacing w:val="-16"/>
        </w:rPr>
        <w:t> </w:t>
      </w:r>
      <w:r>
        <w:rPr/>
        <w:t>to</w:t>
      </w:r>
      <w:r>
        <w:rPr>
          <w:spacing w:val="-16"/>
        </w:rPr>
        <w:t> </w:t>
      </w:r>
      <w:r>
        <w:rPr/>
        <w:t>understand</w:t>
      </w:r>
      <w:r>
        <w:rPr>
          <w:spacing w:val="-16"/>
        </w:rPr>
        <w:t> </w:t>
      </w:r>
      <w:r>
        <w:rPr/>
        <w:t>the</w:t>
      </w:r>
      <w:r>
        <w:rPr>
          <w:spacing w:val="-16"/>
        </w:rPr>
        <w:t> </w:t>
      </w:r>
      <w:r>
        <w:rPr/>
        <w:t>University’s student-focused approach, with a view to</w:t>
      </w:r>
      <w:r>
        <w:rPr>
          <w:spacing w:val="-19"/>
        </w:rPr>
        <w:t> </w:t>
      </w:r>
      <w:r>
        <w:rPr/>
        <w:t>implementing</w:t>
      </w:r>
      <w:r>
        <w:rPr>
          <w:spacing w:val="-19"/>
        </w:rPr>
        <w:t> </w:t>
      </w:r>
      <w:r>
        <w:rPr/>
        <w:t>similar</w:t>
      </w:r>
      <w:r>
        <w:rPr>
          <w:spacing w:val="-19"/>
        </w:rPr>
        <w:t> </w:t>
      </w:r>
      <w:r>
        <w:rPr/>
        <w:t>practices.</w:t>
      </w:r>
    </w:p>
    <w:p>
      <w:pPr>
        <w:pStyle w:val="BodyText"/>
        <w:spacing w:before="6"/>
        <w:rPr>
          <w:sz w:val="14"/>
        </w:rPr>
      </w:pPr>
    </w:p>
    <w:p>
      <w:pPr>
        <w:pStyle w:val="Heading7"/>
        <w:ind w:right="-17"/>
      </w:pPr>
      <w:r>
        <w:rPr>
          <w:color w:val="615C58"/>
        </w:rPr>
        <w:t>Making the Difference in Health Care</w:t>
      </w:r>
    </w:p>
    <w:p>
      <w:pPr>
        <w:pStyle w:val="BodyText"/>
        <w:spacing w:line="249" w:lineRule="auto" w:before="86"/>
        <w:ind w:left="107" w:right="58"/>
      </w:pPr>
      <w:r>
        <w:rPr/>
        <w:t>The annual Making the Difference in Health Care forum, held at the Parramatta campus Female Orphan School, attracted senior clinicians, managers from the School’s </w:t>
      </w:r>
      <w:r>
        <w:rPr>
          <w:spacing w:val="2"/>
        </w:rPr>
        <w:t>LHD </w:t>
      </w:r>
      <w:r>
        <w:rPr/>
        <w:t>partners and representatives from NSW Health. Among the speakers at the forum were three new graduates and a third-year Bachelor of Nursing (Advanced) student who was ranked in the top 50 nursing students</w:t>
      </w:r>
      <w:r>
        <w:rPr>
          <w:spacing w:val="-20"/>
        </w:rPr>
        <w:t> </w:t>
      </w:r>
      <w:r>
        <w:rPr/>
        <w:t>in</w:t>
      </w:r>
      <w:r>
        <w:rPr>
          <w:spacing w:val="-20"/>
        </w:rPr>
        <w:t> </w:t>
      </w:r>
      <w:r>
        <w:rPr/>
        <w:t>Australia.</w:t>
      </w:r>
      <w:r>
        <w:rPr>
          <w:spacing w:val="-20"/>
        </w:rPr>
        <w:t> </w:t>
      </w:r>
      <w:r>
        <w:rPr/>
        <w:t>These</w:t>
      </w:r>
      <w:r>
        <w:rPr>
          <w:spacing w:val="-20"/>
        </w:rPr>
        <w:t> </w:t>
      </w:r>
      <w:r>
        <w:rPr/>
        <w:t>student</w:t>
      </w:r>
      <w:r>
        <w:rPr>
          <w:spacing w:val="-20"/>
        </w:rPr>
        <w:t> </w:t>
      </w:r>
      <w:r>
        <w:rPr/>
        <w:t>speakers</w:t>
      </w:r>
    </w:p>
    <w:p>
      <w:pPr>
        <w:pStyle w:val="BodyText"/>
        <w:spacing w:line="249" w:lineRule="auto"/>
        <w:ind w:left="107" w:right="-17"/>
      </w:pPr>
      <w:r>
        <w:rPr/>
        <w:t>identified</w:t>
      </w:r>
      <w:r>
        <w:rPr>
          <w:spacing w:val="-17"/>
        </w:rPr>
        <w:t> </w:t>
      </w:r>
      <w:r>
        <w:rPr/>
        <w:t>the</w:t>
      </w:r>
      <w:r>
        <w:rPr>
          <w:spacing w:val="-17"/>
        </w:rPr>
        <w:t> </w:t>
      </w:r>
      <w:r>
        <w:rPr/>
        <w:t>challenges</w:t>
      </w:r>
      <w:r>
        <w:rPr>
          <w:spacing w:val="-17"/>
        </w:rPr>
        <w:t> </w:t>
      </w:r>
      <w:r>
        <w:rPr/>
        <w:t>nursing</w:t>
      </w:r>
      <w:r>
        <w:rPr>
          <w:spacing w:val="-17"/>
        </w:rPr>
        <w:t> </w:t>
      </w:r>
      <w:r>
        <w:rPr/>
        <w:t>students</w:t>
      </w:r>
      <w:r>
        <w:rPr>
          <w:spacing w:val="-17"/>
        </w:rPr>
        <w:t> </w:t>
      </w:r>
      <w:r>
        <w:rPr/>
        <w:t>and clinicians experience during their transition from student to registered nurse. The event also showcased the strength of the SoNM’s current research and facilitated networking opportunities</w:t>
      </w:r>
      <w:r>
        <w:rPr>
          <w:spacing w:val="-19"/>
        </w:rPr>
        <w:t> </w:t>
      </w:r>
      <w:r>
        <w:rPr/>
        <w:t>with</w:t>
      </w:r>
      <w:r>
        <w:rPr>
          <w:spacing w:val="-19"/>
        </w:rPr>
        <w:t> </w:t>
      </w:r>
      <w:r>
        <w:rPr/>
        <w:t>health</w:t>
      </w:r>
      <w:r>
        <w:rPr>
          <w:spacing w:val="-19"/>
        </w:rPr>
        <w:t> </w:t>
      </w:r>
      <w:r>
        <w:rPr/>
        <w:t>colleagues.</w:t>
      </w:r>
    </w:p>
    <w:p>
      <w:pPr>
        <w:pStyle w:val="BodyText"/>
        <w:spacing w:before="4"/>
        <w:rPr>
          <w:sz w:val="17"/>
        </w:rPr>
      </w:pPr>
      <w:r>
        <w:rPr/>
        <w:br w:type="column"/>
      </w:r>
      <w:r>
        <w:rPr>
          <w:sz w:val="17"/>
        </w:rPr>
      </w:r>
    </w:p>
    <w:p>
      <w:pPr>
        <w:pStyle w:val="Heading7"/>
        <w:spacing w:line="249" w:lineRule="auto"/>
        <w:ind w:right="492"/>
      </w:pPr>
      <w:r>
        <w:rPr>
          <w:color w:val="615C58"/>
          <w:w w:val="95"/>
        </w:rPr>
        <w:t>International Normal Labour and Birth Conference</w:t>
      </w:r>
    </w:p>
    <w:p>
      <w:pPr>
        <w:pStyle w:val="BodyText"/>
        <w:spacing w:line="249" w:lineRule="auto" w:before="79"/>
        <w:ind w:left="107" w:right="198"/>
      </w:pPr>
      <w:r>
        <w:rPr/>
        <w:t>Hosted by the School and the Australian College</w:t>
      </w:r>
      <w:r>
        <w:rPr>
          <w:spacing w:val="-30"/>
        </w:rPr>
        <w:t> </w:t>
      </w:r>
      <w:r>
        <w:rPr/>
        <w:t>of</w:t>
      </w:r>
      <w:r>
        <w:rPr>
          <w:spacing w:val="-30"/>
        </w:rPr>
        <w:t> </w:t>
      </w:r>
      <w:r>
        <w:rPr/>
        <w:t>Midwives,</w:t>
      </w:r>
      <w:r>
        <w:rPr>
          <w:spacing w:val="-30"/>
        </w:rPr>
        <w:t> </w:t>
      </w:r>
      <w:r>
        <w:rPr/>
        <w:t>the</w:t>
      </w:r>
      <w:r>
        <w:rPr>
          <w:spacing w:val="-30"/>
        </w:rPr>
        <w:t> </w:t>
      </w:r>
      <w:r>
        <w:rPr/>
        <w:t>11th</w:t>
      </w:r>
      <w:r>
        <w:rPr>
          <w:spacing w:val="-30"/>
        </w:rPr>
        <w:t> </w:t>
      </w:r>
      <w:r>
        <w:rPr/>
        <w:t>International </w:t>
      </w:r>
      <w:r>
        <w:rPr>
          <w:spacing w:val="1"/>
          <w:w w:val="97"/>
        </w:rPr>
        <w:t>Normal</w:t>
      </w:r>
      <w:r>
        <w:rPr>
          <w:w w:val="97"/>
        </w:rPr>
        <w:t> </w:t>
      </w:r>
      <w:r>
        <w:rPr>
          <w:spacing w:val="1"/>
          <w:w w:val="98"/>
        </w:rPr>
        <w:t>Labour</w:t>
      </w:r>
      <w:r>
        <w:rPr>
          <w:w w:val="98"/>
        </w:rPr>
        <w:t> </w:t>
      </w:r>
      <w:r>
        <w:rPr>
          <w:spacing w:val="1"/>
          <w:w w:val="97"/>
        </w:rPr>
        <w:t>and</w:t>
      </w:r>
      <w:r>
        <w:rPr>
          <w:w w:val="97"/>
        </w:rPr>
        <w:t> </w:t>
      </w:r>
      <w:r>
        <w:rPr>
          <w:spacing w:val="1"/>
          <w:w w:val="98"/>
        </w:rPr>
        <w:t>Birth</w:t>
      </w:r>
      <w:r>
        <w:rPr>
          <w:w w:val="98"/>
        </w:rPr>
        <w:t> </w:t>
      </w:r>
      <w:r>
        <w:rPr>
          <w:w w:val="97"/>
        </w:rPr>
        <w:t>Conference </w:t>
      </w:r>
      <w:r>
        <w:rPr>
          <w:spacing w:val="1"/>
          <w:w w:val="90"/>
        </w:rPr>
        <w:t>2016</w:t>
      </w:r>
      <w:r>
        <w:rPr>
          <w:w w:val="90"/>
        </w:rPr>
        <w:t> </w:t>
      </w:r>
      <w:r>
        <w:rPr/>
        <w:t>was</w:t>
      </w:r>
      <w:r>
        <w:rPr>
          <w:spacing w:val="-12"/>
        </w:rPr>
        <w:t> </w:t>
      </w:r>
      <w:r>
        <w:rPr/>
        <w:t>attended</w:t>
      </w:r>
      <w:r>
        <w:rPr>
          <w:spacing w:val="-12"/>
        </w:rPr>
        <w:t> </w:t>
      </w:r>
      <w:r>
        <w:rPr/>
        <w:t>by</w:t>
      </w:r>
      <w:r>
        <w:rPr>
          <w:spacing w:val="-12"/>
        </w:rPr>
        <w:t> </w:t>
      </w:r>
      <w:r>
        <w:rPr/>
        <w:t>more</w:t>
      </w:r>
      <w:r>
        <w:rPr>
          <w:spacing w:val="-12"/>
        </w:rPr>
        <w:t> </w:t>
      </w:r>
      <w:r>
        <w:rPr/>
        <w:t>than</w:t>
      </w:r>
      <w:r>
        <w:rPr>
          <w:spacing w:val="-12"/>
        </w:rPr>
        <w:t> </w:t>
      </w:r>
      <w:r>
        <w:rPr>
          <w:spacing w:val="2"/>
        </w:rPr>
        <w:t>500</w:t>
      </w:r>
      <w:r>
        <w:rPr>
          <w:spacing w:val="-12"/>
        </w:rPr>
        <w:t> </w:t>
      </w:r>
      <w:r>
        <w:rPr/>
        <w:t>delegates from over 20 countries. The conference addressed social, cultural, physiological, psychological, emotional and spiritual </w:t>
      </w:r>
      <w:r>
        <w:rPr>
          <w:spacing w:val="2"/>
        </w:rPr>
        <w:t>aspects</w:t>
      </w:r>
      <w:r>
        <w:rPr>
          <w:spacing w:val="-15"/>
        </w:rPr>
        <w:t> </w:t>
      </w:r>
      <w:r>
        <w:rPr/>
        <w:t>of</w:t>
      </w:r>
      <w:r>
        <w:rPr>
          <w:spacing w:val="-15"/>
        </w:rPr>
        <w:t> </w:t>
      </w:r>
      <w:r>
        <w:rPr/>
        <w:t>labour</w:t>
      </w:r>
      <w:r>
        <w:rPr>
          <w:spacing w:val="-15"/>
        </w:rPr>
        <w:t> </w:t>
      </w:r>
      <w:r>
        <w:rPr/>
        <w:t>and</w:t>
      </w:r>
      <w:r>
        <w:rPr>
          <w:spacing w:val="-15"/>
        </w:rPr>
        <w:t> </w:t>
      </w:r>
      <w:r>
        <w:rPr/>
        <w:t>birth</w:t>
      </w:r>
      <w:r>
        <w:rPr>
          <w:spacing w:val="-15"/>
        </w:rPr>
        <w:t> </w:t>
      </w:r>
      <w:r>
        <w:rPr/>
        <w:t>over</w:t>
      </w:r>
      <w:r>
        <w:rPr>
          <w:spacing w:val="-15"/>
        </w:rPr>
        <w:t> </w:t>
      </w:r>
      <w:r>
        <w:rPr/>
        <w:t>four</w:t>
      </w:r>
    </w:p>
    <w:p>
      <w:pPr>
        <w:pStyle w:val="BodyText"/>
        <w:spacing w:line="249" w:lineRule="auto"/>
        <w:ind w:left="107" w:right="221"/>
      </w:pPr>
      <w:r>
        <w:rPr/>
        <w:t>days, examining new developments in the evidence base on the nature of, and cultures around, birth and the associated</w:t>
      </w:r>
    </w:p>
    <w:p>
      <w:pPr>
        <w:pStyle w:val="BodyText"/>
        <w:spacing w:line="249" w:lineRule="auto"/>
        <w:ind w:left="107" w:right="45"/>
      </w:pPr>
      <w:r>
        <w:rPr/>
        <w:t>processes</w:t>
      </w:r>
      <w:r>
        <w:rPr>
          <w:spacing w:val="-15"/>
        </w:rPr>
        <w:t> </w:t>
      </w:r>
      <w:r>
        <w:rPr/>
        <w:t>and</w:t>
      </w:r>
      <w:r>
        <w:rPr>
          <w:spacing w:val="-15"/>
        </w:rPr>
        <w:t> </w:t>
      </w:r>
      <w:r>
        <w:rPr/>
        <w:t>outcomes</w:t>
      </w:r>
      <w:r>
        <w:rPr>
          <w:spacing w:val="-15"/>
        </w:rPr>
        <w:t> </w:t>
      </w:r>
      <w:r>
        <w:rPr/>
        <w:t>of</w:t>
      </w:r>
      <w:r>
        <w:rPr>
          <w:spacing w:val="-15"/>
        </w:rPr>
        <w:t> </w:t>
      </w:r>
      <w:r>
        <w:rPr/>
        <w:t>labour</w:t>
      </w:r>
      <w:r>
        <w:rPr>
          <w:spacing w:val="-15"/>
        </w:rPr>
        <w:t> </w:t>
      </w:r>
      <w:r>
        <w:rPr/>
        <w:t>and</w:t>
      </w:r>
      <w:r>
        <w:rPr>
          <w:spacing w:val="-15"/>
        </w:rPr>
        <w:t> </w:t>
      </w:r>
      <w:r>
        <w:rPr/>
        <w:t>birth. Papers covered primary and secondary research, methodological debates, and new philosophies</w:t>
      </w:r>
      <w:r>
        <w:rPr>
          <w:spacing w:val="-18"/>
        </w:rPr>
        <w:t> </w:t>
      </w:r>
      <w:r>
        <w:rPr/>
        <w:t>and</w:t>
      </w:r>
      <w:r>
        <w:rPr>
          <w:spacing w:val="-18"/>
        </w:rPr>
        <w:t> </w:t>
      </w:r>
      <w:r>
        <w:rPr/>
        <w:t>constructs</w:t>
      </w:r>
      <w:r>
        <w:rPr>
          <w:spacing w:val="-18"/>
        </w:rPr>
        <w:t> </w:t>
      </w:r>
      <w:r>
        <w:rPr/>
        <w:t>in</w:t>
      </w:r>
      <w:r>
        <w:rPr>
          <w:spacing w:val="-18"/>
        </w:rPr>
        <w:t> </w:t>
      </w:r>
      <w:r>
        <w:rPr/>
        <w:t>this</w:t>
      </w:r>
      <w:r>
        <w:rPr>
          <w:spacing w:val="-18"/>
        </w:rPr>
        <w:t> </w:t>
      </w:r>
      <w:r>
        <w:rPr/>
        <w:t>area.</w:t>
      </w:r>
    </w:p>
    <w:p>
      <w:pPr>
        <w:pStyle w:val="BodyText"/>
        <w:rPr>
          <w:sz w:val="14"/>
        </w:rPr>
      </w:pPr>
    </w:p>
    <w:p>
      <w:pPr>
        <w:pStyle w:val="BodyText"/>
        <w:ind w:left="107" w:right="492"/>
      </w:pPr>
      <w:r>
        <w:rPr/>
        <w:t>Keynote speakers included:</w:t>
      </w:r>
    </w:p>
    <w:p>
      <w:pPr>
        <w:pStyle w:val="BodyText"/>
        <w:spacing w:line="247" w:lineRule="auto" w:before="62"/>
        <w:ind w:left="305" w:right="-10" w:hanging="199"/>
      </w:pPr>
      <w:r>
        <w:rPr>
          <w:rFonts w:ascii="Century Gothic" w:hAnsi="Century Gothic"/>
          <w:b/>
          <w:w w:val="115"/>
        </w:rPr>
        <w:t>≥ </w:t>
      </w:r>
      <w:r>
        <w:rPr/>
        <w:t>Professor Eugene Declercq – Professor of Community</w:t>
      </w:r>
      <w:r>
        <w:rPr>
          <w:spacing w:val="-12"/>
        </w:rPr>
        <w:t> </w:t>
      </w:r>
      <w:r>
        <w:rPr/>
        <w:t>Health</w:t>
      </w:r>
      <w:r>
        <w:rPr>
          <w:spacing w:val="-12"/>
        </w:rPr>
        <w:t> </w:t>
      </w:r>
      <w:r>
        <w:rPr/>
        <w:t>Sciences</w:t>
      </w:r>
      <w:r>
        <w:rPr>
          <w:spacing w:val="-12"/>
        </w:rPr>
        <w:t> </w:t>
      </w:r>
      <w:r>
        <w:rPr/>
        <w:t>and</w:t>
      </w:r>
      <w:r>
        <w:rPr>
          <w:spacing w:val="-12"/>
        </w:rPr>
        <w:t> </w:t>
      </w:r>
      <w:r>
        <w:rPr/>
        <w:t>Assistant Dean for DrPH Education at the Boston University</w:t>
      </w:r>
      <w:r>
        <w:rPr>
          <w:spacing w:val="-12"/>
        </w:rPr>
        <w:t> </w:t>
      </w:r>
      <w:r>
        <w:rPr/>
        <w:t>School</w:t>
      </w:r>
      <w:r>
        <w:rPr>
          <w:spacing w:val="-12"/>
        </w:rPr>
        <w:t> </w:t>
      </w:r>
      <w:r>
        <w:rPr/>
        <w:t>of</w:t>
      </w:r>
      <w:r>
        <w:rPr>
          <w:spacing w:val="-12"/>
        </w:rPr>
        <w:t> </w:t>
      </w:r>
      <w:r>
        <w:rPr/>
        <w:t>Public</w:t>
      </w:r>
      <w:r>
        <w:rPr>
          <w:spacing w:val="-12"/>
        </w:rPr>
        <w:t> </w:t>
      </w:r>
      <w:r>
        <w:rPr/>
        <w:t>Health</w:t>
      </w:r>
    </w:p>
    <w:p>
      <w:pPr>
        <w:pStyle w:val="BodyText"/>
        <w:spacing w:line="247" w:lineRule="auto" w:before="57"/>
        <w:ind w:left="305" w:right="154" w:hanging="199"/>
      </w:pPr>
      <w:r>
        <w:rPr>
          <w:rFonts w:ascii="Century Gothic" w:hAnsi="Century Gothic"/>
          <w:b/>
          <w:w w:val="115"/>
        </w:rPr>
        <w:t>≥ </w:t>
      </w:r>
      <w:r>
        <w:rPr/>
        <w:t>Kerstin Uvnäs Moberg – MD, PhD (Karolinska Institutet) and Professor of Physiology at the Swedish University of Agricultural Sciences</w:t>
      </w:r>
    </w:p>
    <w:p>
      <w:pPr>
        <w:pStyle w:val="BodyText"/>
        <w:spacing w:line="244" w:lineRule="auto" w:before="57"/>
        <w:ind w:left="305" w:right="344" w:hanging="199"/>
      </w:pPr>
      <w:r>
        <w:rPr>
          <w:rFonts w:ascii="Century Gothic" w:hAnsi="Century Gothic"/>
          <w:b/>
          <w:w w:val="115"/>
        </w:rPr>
        <w:t>≥</w:t>
      </w:r>
      <w:r>
        <w:rPr>
          <w:rFonts w:ascii="Century Gothic" w:hAnsi="Century Gothic"/>
          <w:b/>
          <w:spacing w:val="-15"/>
          <w:w w:val="115"/>
        </w:rPr>
        <w:t> </w:t>
      </w:r>
      <w:r>
        <w:rPr>
          <w:w w:val="105"/>
        </w:rPr>
        <w:t>Professor</w:t>
      </w:r>
      <w:r>
        <w:rPr>
          <w:spacing w:val="-33"/>
          <w:w w:val="105"/>
        </w:rPr>
        <w:t> </w:t>
      </w:r>
      <w:r>
        <w:rPr>
          <w:w w:val="105"/>
        </w:rPr>
        <w:t>Caroline</w:t>
      </w:r>
      <w:r>
        <w:rPr>
          <w:spacing w:val="-33"/>
          <w:w w:val="105"/>
        </w:rPr>
        <w:t> </w:t>
      </w:r>
      <w:r>
        <w:rPr>
          <w:w w:val="105"/>
        </w:rPr>
        <w:t>Homer</w:t>
      </w:r>
      <w:r>
        <w:rPr>
          <w:spacing w:val="-33"/>
          <w:w w:val="105"/>
        </w:rPr>
        <w:t> </w:t>
      </w:r>
      <w:r>
        <w:rPr>
          <w:w w:val="105"/>
        </w:rPr>
        <w:t>–</w:t>
      </w:r>
      <w:r>
        <w:rPr>
          <w:spacing w:val="-33"/>
          <w:w w:val="105"/>
        </w:rPr>
        <w:t> </w:t>
      </w:r>
      <w:r>
        <w:rPr>
          <w:w w:val="105"/>
        </w:rPr>
        <w:t>President of</w:t>
      </w:r>
      <w:r>
        <w:rPr>
          <w:spacing w:val="-39"/>
          <w:w w:val="105"/>
        </w:rPr>
        <w:t> </w:t>
      </w:r>
      <w:r>
        <w:rPr>
          <w:w w:val="105"/>
        </w:rPr>
        <w:t>the</w:t>
      </w:r>
      <w:r>
        <w:rPr>
          <w:spacing w:val="-39"/>
          <w:w w:val="105"/>
        </w:rPr>
        <w:t> </w:t>
      </w:r>
      <w:r>
        <w:rPr>
          <w:w w:val="105"/>
        </w:rPr>
        <w:t>Australian</w:t>
      </w:r>
      <w:r>
        <w:rPr>
          <w:spacing w:val="-39"/>
          <w:w w:val="105"/>
        </w:rPr>
        <w:t> </w:t>
      </w:r>
      <w:r>
        <w:rPr>
          <w:w w:val="105"/>
        </w:rPr>
        <w:t>College</w:t>
      </w:r>
      <w:r>
        <w:rPr>
          <w:spacing w:val="-39"/>
          <w:w w:val="105"/>
        </w:rPr>
        <w:t> </w:t>
      </w:r>
      <w:r>
        <w:rPr>
          <w:w w:val="105"/>
        </w:rPr>
        <w:t>of</w:t>
      </w:r>
      <w:r>
        <w:rPr>
          <w:spacing w:val="-39"/>
          <w:w w:val="105"/>
        </w:rPr>
        <w:t> </w:t>
      </w:r>
      <w:r>
        <w:rPr>
          <w:w w:val="105"/>
        </w:rPr>
        <w:t>Midwives</w:t>
      </w:r>
    </w:p>
    <w:p>
      <w:pPr>
        <w:pStyle w:val="BodyText"/>
        <w:spacing w:line="247" w:lineRule="auto" w:before="58"/>
        <w:ind w:left="305" w:right="228" w:hanging="199"/>
        <w:jc w:val="both"/>
      </w:pPr>
      <w:r>
        <w:rPr>
          <w:rFonts w:ascii="Century Gothic" w:hAnsi="Century Gothic"/>
          <w:b/>
          <w:w w:val="115"/>
        </w:rPr>
        <w:t>≥ </w:t>
      </w:r>
      <w:r>
        <w:rPr/>
        <w:t>Professor Alec Welsh – subspecialist in maternal–fetal medicine, with masters and</w:t>
      </w:r>
      <w:r>
        <w:rPr>
          <w:spacing w:val="-13"/>
        </w:rPr>
        <w:t> </w:t>
      </w:r>
      <w:r>
        <w:rPr/>
        <w:t>PhD</w:t>
      </w:r>
      <w:r>
        <w:rPr>
          <w:spacing w:val="-13"/>
        </w:rPr>
        <w:t> </w:t>
      </w:r>
      <w:r>
        <w:rPr/>
        <w:t>degrees</w:t>
      </w:r>
      <w:r>
        <w:rPr>
          <w:spacing w:val="-13"/>
        </w:rPr>
        <w:t> </w:t>
      </w:r>
      <w:r>
        <w:rPr/>
        <w:t>in</w:t>
      </w:r>
      <w:r>
        <w:rPr>
          <w:spacing w:val="-13"/>
        </w:rPr>
        <w:t> </w:t>
      </w:r>
      <w:r>
        <w:rPr/>
        <w:t>digital</w:t>
      </w:r>
      <w:r>
        <w:rPr>
          <w:spacing w:val="-13"/>
        </w:rPr>
        <w:t> </w:t>
      </w:r>
      <w:r>
        <w:rPr/>
        <w:t>imaging</w:t>
      </w:r>
      <w:r>
        <w:rPr>
          <w:spacing w:val="-13"/>
        </w:rPr>
        <w:t> </w:t>
      </w:r>
      <w:r>
        <w:rPr/>
        <w:t>and fetal</w:t>
      </w:r>
      <w:r>
        <w:rPr>
          <w:spacing w:val="-18"/>
        </w:rPr>
        <w:t> </w:t>
      </w:r>
      <w:r>
        <w:rPr/>
        <w:t>imaging</w:t>
      </w:r>
    </w:p>
    <w:p>
      <w:pPr>
        <w:pStyle w:val="BodyText"/>
        <w:spacing w:before="57"/>
        <w:ind w:left="107" w:right="492"/>
      </w:pPr>
      <w:r>
        <w:rPr>
          <w:rFonts w:ascii="Century Gothic" w:hAnsi="Century Gothic"/>
          <w:b/>
          <w:w w:val="115"/>
        </w:rPr>
        <w:t>≥ </w:t>
      </w:r>
      <w:r>
        <w:rPr>
          <w:w w:val="105"/>
        </w:rPr>
        <w:t>Dr Sarah Buckley – GP obstetrics</w:t>
      </w:r>
    </w:p>
    <w:p>
      <w:pPr>
        <w:pStyle w:val="BodyText"/>
        <w:spacing w:line="247" w:lineRule="auto" w:before="60"/>
        <w:ind w:left="305" w:right="-10" w:hanging="199"/>
      </w:pPr>
      <w:r>
        <w:rPr>
          <w:rFonts w:ascii="Century Gothic" w:hAnsi="Century Gothic"/>
          <w:b/>
          <w:w w:val="115"/>
        </w:rPr>
        <w:t>≥ </w:t>
      </w:r>
      <w:r>
        <w:rPr/>
        <w:t>Professor Maralyn Foureur – Professor of Midwifery at the University of Technology Sydney</w:t>
      </w:r>
    </w:p>
    <w:p>
      <w:pPr>
        <w:pStyle w:val="BodyText"/>
        <w:spacing w:line="247" w:lineRule="auto" w:before="57"/>
        <w:ind w:left="305" w:right="177" w:hanging="199"/>
        <w:jc w:val="both"/>
      </w:pPr>
      <w:r>
        <w:rPr>
          <w:rFonts w:ascii="Century Gothic" w:hAnsi="Century Gothic"/>
          <w:b/>
          <w:w w:val="115"/>
        </w:rPr>
        <w:t>≥</w:t>
      </w:r>
      <w:r>
        <w:rPr>
          <w:rFonts w:ascii="Century Gothic" w:hAnsi="Century Gothic"/>
          <w:b/>
          <w:spacing w:val="20"/>
          <w:w w:val="115"/>
        </w:rPr>
        <w:t> </w:t>
      </w:r>
      <w:r>
        <w:rPr/>
        <w:t>Sheena</w:t>
      </w:r>
      <w:r>
        <w:rPr>
          <w:spacing w:val="-11"/>
        </w:rPr>
        <w:t> </w:t>
      </w:r>
      <w:r>
        <w:rPr/>
        <w:t>Byrom,</w:t>
      </w:r>
      <w:r>
        <w:rPr>
          <w:spacing w:val="-11"/>
        </w:rPr>
        <w:t> </w:t>
      </w:r>
      <w:r>
        <w:rPr>
          <w:spacing w:val="2"/>
        </w:rPr>
        <w:t>OBE</w:t>
      </w:r>
      <w:r>
        <w:rPr>
          <w:spacing w:val="-11"/>
        </w:rPr>
        <w:t> </w:t>
      </w:r>
      <w:r>
        <w:rPr/>
        <w:t>–</w:t>
      </w:r>
      <w:r>
        <w:rPr>
          <w:spacing w:val="-11"/>
        </w:rPr>
        <w:t> </w:t>
      </w:r>
      <w:r>
        <w:rPr/>
        <w:t>board</w:t>
      </w:r>
      <w:r>
        <w:rPr>
          <w:spacing w:val="-11"/>
        </w:rPr>
        <w:t> </w:t>
      </w:r>
      <w:r>
        <w:rPr/>
        <w:t>member</w:t>
      </w:r>
      <w:r>
        <w:rPr>
          <w:spacing w:val="-11"/>
        </w:rPr>
        <w:t> </w:t>
      </w:r>
      <w:r>
        <w:rPr/>
        <w:t>of the</w:t>
      </w:r>
      <w:r>
        <w:rPr>
          <w:spacing w:val="-14"/>
        </w:rPr>
        <w:t> </w:t>
      </w:r>
      <w:r>
        <w:rPr/>
        <w:t>Royal</w:t>
      </w:r>
      <w:r>
        <w:rPr>
          <w:spacing w:val="-14"/>
        </w:rPr>
        <w:t> </w:t>
      </w:r>
      <w:r>
        <w:rPr/>
        <w:t>College</w:t>
      </w:r>
      <w:r>
        <w:rPr>
          <w:spacing w:val="-14"/>
        </w:rPr>
        <w:t> </w:t>
      </w:r>
      <w:r>
        <w:rPr/>
        <w:t>of</w:t>
      </w:r>
      <w:r>
        <w:rPr>
          <w:spacing w:val="-14"/>
        </w:rPr>
        <w:t> </w:t>
      </w:r>
      <w:r>
        <w:rPr/>
        <w:t>Midwives</w:t>
      </w:r>
      <w:r>
        <w:rPr>
          <w:spacing w:val="-14"/>
        </w:rPr>
        <w:t> </w:t>
      </w:r>
      <w:r>
        <w:rPr/>
        <w:t>and</w:t>
      </w:r>
      <w:r>
        <w:rPr>
          <w:spacing w:val="-14"/>
        </w:rPr>
        <w:t> </w:t>
      </w:r>
      <w:r>
        <w:rPr/>
        <w:t>Chair of</w:t>
      </w:r>
      <w:r>
        <w:rPr>
          <w:spacing w:val="-24"/>
        </w:rPr>
        <w:t> </w:t>
      </w:r>
      <w:r>
        <w:rPr/>
        <w:t>the</w:t>
      </w:r>
      <w:r>
        <w:rPr>
          <w:spacing w:val="-24"/>
        </w:rPr>
        <w:t> </w:t>
      </w:r>
      <w:r>
        <w:rPr/>
        <w:t>Iolanthe</w:t>
      </w:r>
      <w:r>
        <w:rPr>
          <w:spacing w:val="-24"/>
        </w:rPr>
        <w:t> </w:t>
      </w:r>
      <w:r>
        <w:rPr/>
        <w:t>Midwifery</w:t>
      </w:r>
      <w:r>
        <w:rPr>
          <w:spacing w:val="-24"/>
        </w:rPr>
        <w:t> </w:t>
      </w:r>
      <w:r>
        <w:rPr/>
        <w:t>Trust</w:t>
      </w:r>
    </w:p>
    <w:p>
      <w:pPr>
        <w:pStyle w:val="BodyText"/>
        <w:spacing w:line="247" w:lineRule="auto" w:before="57"/>
        <w:ind w:left="305" w:right="155" w:hanging="199"/>
      </w:pPr>
      <w:r>
        <w:rPr>
          <w:rFonts w:ascii="Century Gothic" w:hAnsi="Century Gothic"/>
          <w:b/>
          <w:w w:val="115"/>
        </w:rPr>
        <w:t>≥ </w:t>
      </w:r>
      <w:r>
        <w:rPr/>
        <w:t>Professor Sally Tracy – Professor of Midwifery at the University of Sydney and Conjoint Professor at the School of Women’s and Children’s Health in the Faculty of Medicine of the University of New South Wales</w:t>
      </w:r>
    </w:p>
    <w:p>
      <w:pPr>
        <w:pStyle w:val="BodyText"/>
        <w:spacing w:line="247" w:lineRule="auto" w:before="57"/>
        <w:ind w:left="305" w:right="-2" w:hanging="199"/>
      </w:pPr>
      <w:r>
        <w:rPr>
          <w:rFonts w:ascii="Century Gothic" w:hAnsi="Century Gothic"/>
          <w:b/>
          <w:w w:val="115"/>
        </w:rPr>
        <w:t>≥ </w:t>
      </w:r>
      <w:r>
        <w:rPr/>
        <w:t>Andrew Bisits – Medical Co-director of Maternity</w:t>
      </w:r>
      <w:r>
        <w:rPr>
          <w:spacing w:val="-15"/>
        </w:rPr>
        <w:t> </w:t>
      </w:r>
      <w:r>
        <w:rPr/>
        <w:t>at</w:t>
      </w:r>
      <w:r>
        <w:rPr>
          <w:spacing w:val="-15"/>
        </w:rPr>
        <w:t> </w:t>
      </w:r>
      <w:r>
        <w:rPr/>
        <w:t>the</w:t>
      </w:r>
      <w:r>
        <w:rPr>
          <w:spacing w:val="-15"/>
        </w:rPr>
        <w:t> </w:t>
      </w:r>
      <w:r>
        <w:rPr/>
        <w:t>Royal</w:t>
      </w:r>
      <w:r>
        <w:rPr>
          <w:spacing w:val="-15"/>
        </w:rPr>
        <w:t> </w:t>
      </w:r>
      <w:r>
        <w:rPr/>
        <w:t>Hospital</w:t>
      </w:r>
      <w:r>
        <w:rPr>
          <w:spacing w:val="-15"/>
        </w:rPr>
        <w:t> </w:t>
      </w:r>
      <w:r>
        <w:rPr/>
        <w:t>for</w:t>
      </w:r>
      <w:r>
        <w:rPr>
          <w:spacing w:val="-15"/>
        </w:rPr>
        <w:t> </w:t>
      </w:r>
      <w:r>
        <w:rPr/>
        <w:t>Women in</w:t>
      </w:r>
      <w:r>
        <w:rPr>
          <w:spacing w:val="-17"/>
        </w:rPr>
        <w:t> </w:t>
      </w:r>
      <w:r>
        <w:rPr/>
        <w:t>Randwick</w:t>
      </w:r>
    </w:p>
    <w:p>
      <w:pPr>
        <w:pStyle w:val="BodyText"/>
        <w:spacing w:line="244" w:lineRule="auto" w:before="57"/>
        <w:ind w:left="305" w:right="-19" w:hanging="199"/>
      </w:pPr>
      <w:r>
        <w:rPr>
          <w:rFonts w:ascii="Century Gothic" w:hAnsi="Century Gothic"/>
          <w:b/>
          <w:w w:val="115"/>
        </w:rPr>
        <w:t>≥ </w:t>
      </w:r>
      <w:r>
        <w:rPr/>
        <w:t>Professor Sue Kildea – Clinical Chair in Midwifery and joint appointment between</w:t>
      </w:r>
    </w:p>
    <w:p>
      <w:pPr>
        <w:pStyle w:val="BodyText"/>
        <w:spacing w:before="9"/>
      </w:pPr>
      <w:r>
        <w:rPr/>
        <w:br w:type="column"/>
      </w:r>
      <w:r>
        <w:rPr/>
      </w:r>
    </w:p>
    <w:p>
      <w:pPr>
        <w:pStyle w:val="BodyText"/>
        <w:spacing w:line="249" w:lineRule="auto"/>
        <w:ind w:left="305" w:right="327"/>
      </w:pPr>
      <w:r>
        <w:rPr/>
        <w:t>Mater Health Services Brisbane and the University of Queensland</w:t>
      </w:r>
    </w:p>
    <w:p>
      <w:pPr>
        <w:pStyle w:val="BodyText"/>
        <w:spacing w:line="244" w:lineRule="auto" w:before="55"/>
        <w:ind w:left="305" w:right="111" w:hanging="199"/>
      </w:pPr>
      <w:r>
        <w:rPr>
          <w:rFonts w:ascii="Century Gothic" w:hAnsi="Century Gothic"/>
          <w:b/>
          <w:w w:val="115"/>
        </w:rPr>
        <w:t>≥ </w:t>
      </w:r>
      <w:r>
        <w:rPr/>
        <w:t>Bashi Hazard – lawyer and Board Director of Human Rights in Childbirth (HRiC)</w:t>
      </w:r>
    </w:p>
    <w:p>
      <w:pPr>
        <w:pStyle w:val="BodyText"/>
        <w:spacing w:line="247" w:lineRule="auto" w:before="58"/>
        <w:ind w:left="305" w:right="410" w:hanging="199"/>
        <w:jc w:val="both"/>
      </w:pPr>
      <w:r>
        <w:rPr>
          <w:rFonts w:ascii="Century Gothic" w:hAnsi="Century Gothic"/>
          <w:b/>
          <w:w w:val="115"/>
        </w:rPr>
        <w:t>≥ </w:t>
      </w:r>
      <w:r>
        <w:rPr/>
        <w:t>Leona McGrath – Senior Advisor to the NSW Aboriginal Nursing and</w:t>
      </w:r>
      <w:r>
        <w:rPr>
          <w:spacing w:val="-28"/>
        </w:rPr>
        <w:t> </w:t>
      </w:r>
      <w:r>
        <w:rPr/>
        <w:t>Midwifery Strategy.</w:t>
      </w:r>
    </w:p>
    <w:p>
      <w:pPr>
        <w:pStyle w:val="BodyText"/>
        <w:spacing w:before="2"/>
        <w:rPr>
          <w:sz w:val="14"/>
        </w:rPr>
      </w:pPr>
    </w:p>
    <w:p>
      <w:pPr>
        <w:pStyle w:val="BodyText"/>
        <w:spacing w:line="249" w:lineRule="auto"/>
        <w:ind w:left="107" w:right="75"/>
      </w:pPr>
      <w:r>
        <w:rPr/>
        <w:t>Professor Hannah Dahlen, Chair of the 11th International Normal Labour and Birth Conference and National Media Spokesperson for the Australian College of Midwives, continues to raise the profile of the School’s midwifery discipline, with ongoing interviews and articles in mainstream media.</w:t>
      </w:r>
    </w:p>
    <w:p>
      <w:pPr>
        <w:pStyle w:val="BodyText"/>
        <w:spacing w:before="6"/>
        <w:rPr>
          <w:sz w:val="14"/>
        </w:rPr>
      </w:pPr>
    </w:p>
    <w:p>
      <w:pPr>
        <w:pStyle w:val="Heading7"/>
        <w:ind w:right="0"/>
      </w:pPr>
      <w:r>
        <w:rPr>
          <w:color w:val="615C58"/>
          <w:w w:val="95"/>
        </w:rPr>
        <w:t>Summer Scholarship Program</w:t>
      </w:r>
    </w:p>
    <w:p>
      <w:pPr>
        <w:pStyle w:val="BodyText"/>
        <w:spacing w:line="249" w:lineRule="auto" w:before="86"/>
        <w:ind w:left="107" w:right="153"/>
      </w:pPr>
      <w:r>
        <w:rPr/>
        <w:t>The School continues to be actively engaged in the University’s Summer Scholarship program, contributing four projects for the </w:t>
      </w:r>
      <w:r>
        <w:rPr>
          <w:w w:val="85"/>
        </w:rPr>
        <w:t>2016–17 </w:t>
      </w:r>
      <w:r>
        <w:rPr>
          <w:w w:val="96"/>
        </w:rPr>
        <w:t>Research </w:t>
      </w:r>
      <w:r>
        <w:rPr>
          <w:w w:val="97"/>
        </w:rPr>
        <w:t>Scholarship </w:t>
      </w:r>
      <w:r>
        <w:rPr>
          <w:w w:val="94"/>
        </w:rPr>
        <w:t>program, </w:t>
      </w:r>
      <w:r>
        <w:rPr/>
        <w:t>including:</w:t>
      </w:r>
    </w:p>
    <w:p>
      <w:pPr>
        <w:pStyle w:val="BodyText"/>
        <w:spacing w:line="247" w:lineRule="auto" w:before="55"/>
        <w:ind w:left="305" w:right="318" w:hanging="199"/>
      </w:pPr>
      <w:r>
        <w:rPr>
          <w:rFonts w:ascii="Century Gothic" w:hAnsi="Century Gothic"/>
          <w:b/>
          <w:w w:val="115"/>
        </w:rPr>
        <w:t>≥ </w:t>
      </w:r>
      <w:r>
        <w:rPr/>
        <w:t>Dr Nathan Wilson’s ‘Oral health status and people with intellectual disability: a literature review’</w:t>
      </w:r>
    </w:p>
    <w:p>
      <w:pPr>
        <w:pStyle w:val="BodyText"/>
        <w:spacing w:line="247" w:lineRule="auto" w:before="57"/>
        <w:ind w:left="305" w:right="114" w:hanging="199"/>
      </w:pPr>
      <w:r>
        <w:rPr>
          <w:rFonts w:ascii="Century Gothic" w:hAnsi="Century Gothic"/>
          <w:b/>
          <w:w w:val="115"/>
        </w:rPr>
        <w:t>≥ </w:t>
      </w:r>
      <w:r>
        <w:rPr/>
        <w:t>Dr Diana Jefferies’ ‘Strategies to develop undergraduate student nurses’ critical thinking and written literacy competence for professional practice: a comprehensive systematic review’</w:t>
      </w:r>
    </w:p>
    <w:p>
      <w:pPr>
        <w:pStyle w:val="BodyText"/>
        <w:spacing w:line="247" w:lineRule="auto" w:before="57"/>
        <w:ind w:left="305" w:right="440" w:hanging="199"/>
      </w:pPr>
      <w:r>
        <w:rPr>
          <w:rFonts w:ascii="Century Gothic" w:hAnsi="Century Gothic"/>
          <w:b/>
          <w:w w:val="115"/>
        </w:rPr>
        <w:t>≥</w:t>
      </w:r>
      <w:r>
        <w:rPr>
          <w:rFonts w:ascii="Century Gothic" w:hAnsi="Century Gothic"/>
          <w:b/>
          <w:spacing w:val="-12"/>
          <w:w w:val="115"/>
        </w:rPr>
        <w:t> </w:t>
      </w:r>
      <w:r>
        <w:rPr>
          <w:w w:val="105"/>
        </w:rPr>
        <w:t>Associate</w:t>
      </w:r>
      <w:r>
        <w:rPr>
          <w:spacing w:val="-32"/>
          <w:w w:val="105"/>
        </w:rPr>
        <w:t> </w:t>
      </w:r>
      <w:r>
        <w:rPr>
          <w:w w:val="105"/>
        </w:rPr>
        <w:t>Professor</w:t>
      </w:r>
      <w:r>
        <w:rPr>
          <w:spacing w:val="-32"/>
          <w:w w:val="105"/>
        </w:rPr>
        <w:t> </w:t>
      </w:r>
      <w:r>
        <w:rPr>
          <w:w w:val="105"/>
        </w:rPr>
        <w:t>Bronwyn</w:t>
      </w:r>
      <w:r>
        <w:rPr>
          <w:spacing w:val="-32"/>
          <w:w w:val="105"/>
        </w:rPr>
        <w:t> </w:t>
      </w:r>
      <w:r>
        <w:rPr>
          <w:w w:val="105"/>
        </w:rPr>
        <w:t>Everett’s ‘Bridging</w:t>
      </w:r>
      <w:r>
        <w:rPr>
          <w:spacing w:val="-27"/>
          <w:w w:val="105"/>
        </w:rPr>
        <w:t> </w:t>
      </w:r>
      <w:r>
        <w:rPr>
          <w:w w:val="105"/>
        </w:rPr>
        <w:t>language</w:t>
      </w:r>
      <w:r>
        <w:rPr>
          <w:spacing w:val="-27"/>
          <w:w w:val="105"/>
        </w:rPr>
        <w:t> </w:t>
      </w:r>
      <w:r>
        <w:rPr>
          <w:w w:val="105"/>
        </w:rPr>
        <w:t>barriers</w:t>
      </w:r>
      <w:r>
        <w:rPr>
          <w:spacing w:val="-27"/>
          <w:w w:val="105"/>
        </w:rPr>
        <w:t> </w:t>
      </w:r>
      <w:r>
        <w:rPr>
          <w:w w:val="105"/>
        </w:rPr>
        <w:t>for</w:t>
      </w:r>
      <w:r>
        <w:rPr>
          <w:spacing w:val="-27"/>
          <w:w w:val="105"/>
        </w:rPr>
        <w:t> </w:t>
      </w:r>
      <w:r>
        <w:rPr>
          <w:w w:val="105"/>
        </w:rPr>
        <w:t>CALD patients’</w:t>
      </w:r>
    </w:p>
    <w:p>
      <w:pPr>
        <w:pStyle w:val="BodyText"/>
        <w:spacing w:line="247" w:lineRule="auto" w:before="57"/>
        <w:ind w:left="305" w:right="225" w:hanging="199"/>
      </w:pPr>
      <w:r>
        <w:rPr>
          <w:rFonts w:ascii="Century Gothic" w:hAnsi="Century Gothic"/>
          <w:b/>
          <w:w w:val="115"/>
        </w:rPr>
        <w:t>≥</w:t>
      </w:r>
      <w:r>
        <w:rPr>
          <w:rFonts w:ascii="Century Gothic" w:hAnsi="Century Gothic"/>
          <w:b/>
          <w:spacing w:val="-21"/>
          <w:w w:val="115"/>
        </w:rPr>
        <w:t> </w:t>
      </w:r>
      <w:r>
        <w:rPr>
          <w:w w:val="105"/>
        </w:rPr>
        <w:t>Dr</w:t>
      </w:r>
      <w:r>
        <w:rPr>
          <w:spacing w:val="-36"/>
          <w:w w:val="105"/>
        </w:rPr>
        <w:t> </w:t>
      </w:r>
      <w:r>
        <w:rPr>
          <w:w w:val="105"/>
        </w:rPr>
        <w:t>Christine</w:t>
      </w:r>
      <w:r>
        <w:rPr>
          <w:spacing w:val="-36"/>
          <w:w w:val="105"/>
        </w:rPr>
        <w:t> </w:t>
      </w:r>
      <w:r>
        <w:rPr>
          <w:w w:val="105"/>
        </w:rPr>
        <w:t>Taylor’s</w:t>
      </w:r>
      <w:r>
        <w:rPr>
          <w:spacing w:val="-36"/>
          <w:w w:val="105"/>
        </w:rPr>
        <w:t> </w:t>
      </w:r>
      <w:r>
        <w:rPr>
          <w:w w:val="105"/>
        </w:rPr>
        <w:t>‘Feeding</w:t>
      </w:r>
      <w:r>
        <w:rPr>
          <w:spacing w:val="-36"/>
          <w:w w:val="105"/>
        </w:rPr>
        <w:t> </w:t>
      </w:r>
      <w:r>
        <w:rPr>
          <w:w w:val="105"/>
        </w:rPr>
        <w:t>experiences of</w:t>
      </w:r>
      <w:r>
        <w:rPr>
          <w:spacing w:val="-32"/>
          <w:w w:val="105"/>
        </w:rPr>
        <w:t> </w:t>
      </w:r>
      <w:r>
        <w:rPr>
          <w:w w:val="105"/>
        </w:rPr>
        <w:t>parents/carers</w:t>
      </w:r>
      <w:r>
        <w:rPr>
          <w:spacing w:val="-32"/>
          <w:w w:val="105"/>
        </w:rPr>
        <w:t> </w:t>
      </w:r>
      <w:r>
        <w:rPr>
          <w:w w:val="105"/>
        </w:rPr>
        <w:t>of</w:t>
      </w:r>
      <w:r>
        <w:rPr>
          <w:spacing w:val="-32"/>
          <w:w w:val="105"/>
        </w:rPr>
        <w:t> </w:t>
      </w:r>
      <w:r>
        <w:rPr>
          <w:w w:val="105"/>
        </w:rPr>
        <w:t>young</w:t>
      </w:r>
      <w:r>
        <w:rPr>
          <w:spacing w:val="-32"/>
          <w:w w:val="105"/>
        </w:rPr>
        <w:t> </w:t>
      </w:r>
      <w:r>
        <w:rPr>
          <w:w w:val="105"/>
        </w:rPr>
        <w:t>children</w:t>
      </w:r>
      <w:r>
        <w:rPr>
          <w:spacing w:val="-32"/>
          <w:w w:val="105"/>
        </w:rPr>
        <w:t> </w:t>
      </w:r>
      <w:r>
        <w:rPr>
          <w:w w:val="105"/>
        </w:rPr>
        <w:t>with </w:t>
      </w:r>
      <w:r>
        <w:rPr/>
        <w:t>cerebral</w:t>
      </w:r>
      <w:r>
        <w:rPr>
          <w:spacing w:val="-35"/>
        </w:rPr>
        <w:t> </w:t>
      </w:r>
      <w:r>
        <w:rPr/>
        <w:t>palsy’.</w:t>
      </w:r>
    </w:p>
    <w:p>
      <w:pPr>
        <w:pStyle w:val="BodyText"/>
        <w:spacing w:before="8"/>
        <w:rPr>
          <w:sz w:val="14"/>
        </w:rPr>
      </w:pPr>
    </w:p>
    <w:p>
      <w:pPr>
        <w:pStyle w:val="Heading7"/>
        <w:ind w:right="0"/>
      </w:pPr>
      <w:r>
        <w:rPr>
          <w:color w:val="615C58"/>
          <w:w w:val="95"/>
        </w:rPr>
        <w:t>Hawkesbury Campus Events</w:t>
      </w:r>
    </w:p>
    <w:p>
      <w:pPr>
        <w:pStyle w:val="BodyText"/>
        <w:spacing w:line="249" w:lineRule="auto" w:before="86"/>
        <w:ind w:left="107" w:right="218"/>
      </w:pPr>
      <w:r>
        <w:rPr/>
        <w:t>Representatives</w:t>
      </w:r>
      <w:r>
        <w:rPr>
          <w:spacing w:val="-16"/>
        </w:rPr>
        <w:t> </w:t>
      </w:r>
      <w:r>
        <w:rPr/>
        <w:t>of</w:t>
      </w:r>
      <w:r>
        <w:rPr>
          <w:spacing w:val="-16"/>
        </w:rPr>
        <w:t> </w:t>
      </w:r>
      <w:r>
        <w:rPr/>
        <w:t>the</w:t>
      </w:r>
      <w:r>
        <w:rPr>
          <w:spacing w:val="-16"/>
        </w:rPr>
        <w:t> </w:t>
      </w:r>
      <w:r>
        <w:rPr>
          <w:spacing w:val="2"/>
        </w:rPr>
        <w:t>SoNM</w:t>
      </w:r>
      <w:r>
        <w:rPr>
          <w:spacing w:val="-16"/>
        </w:rPr>
        <w:t> </w:t>
      </w:r>
      <w:r>
        <w:rPr/>
        <w:t>(including</w:t>
      </w:r>
      <w:r>
        <w:rPr>
          <w:spacing w:val="-16"/>
        </w:rPr>
        <w:t> </w:t>
      </w:r>
      <w:r>
        <w:rPr/>
        <w:t>past and present staff and students) attended the annual Hawkesbury Alumni Chapter (HAC) Luncheon at NSW Parliament House to</w:t>
      </w:r>
      <w:r>
        <w:rPr>
          <w:spacing w:val="-24"/>
        </w:rPr>
        <w:t> </w:t>
      </w:r>
      <w:r>
        <w:rPr/>
        <w:t>celebrate</w:t>
      </w:r>
      <w:r>
        <w:rPr>
          <w:spacing w:val="-24"/>
        </w:rPr>
        <w:t> </w:t>
      </w:r>
      <w:r>
        <w:rPr/>
        <w:t>125</w:t>
      </w:r>
      <w:r>
        <w:rPr>
          <w:spacing w:val="-24"/>
        </w:rPr>
        <w:t> </w:t>
      </w:r>
      <w:r>
        <w:rPr/>
        <w:t>years</w:t>
      </w:r>
      <w:r>
        <w:rPr>
          <w:spacing w:val="-24"/>
        </w:rPr>
        <w:t> </w:t>
      </w:r>
      <w:r>
        <w:rPr/>
        <w:t>of</w:t>
      </w:r>
      <w:r>
        <w:rPr>
          <w:spacing w:val="-24"/>
        </w:rPr>
        <w:t> </w:t>
      </w:r>
      <w:r>
        <w:rPr/>
        <w:t>the</w:t>
      </w:r>
      <w:r>
        <w:rPr>
          <w:spacing w:val="-24"/>
        </w:rPr>
        <w:t> </w:t>
      </w:r>
      <w:r>
        <w:rPr/>
        <w:t>Hawkesbury</w:t>
      </w:r>
    </w:p>
    <w:p>
      <w:pPr>
        <w:pStyle w:val="BodyText"/>
        <w:spacing w:line="249" w:lineRule="auto"/>
        <w:ind w:left="107"/>
      </w:pPr>
      <w:r>
        <w:rPr/>
        <w:t>campus</w:t>
      </w:r>
      <w:r>
        <w:rPr>
          <w:spacing w:val="-16"/>
        </w:rPr>
        <w:t> </w:t>
      </w:r>
      <w:r>
        <w:rPr/>
        <w:t>and</w:t>
      </w:r>
      <w:r>
        <w:rPr>
          <w:spacing w:val="-16"/>
        </w:rPr>
        <w:t> </w:t>
      </w:r>
      <w:r>
        <w:rPr/>
        <w:t>to</w:t>
      </w:r>
      <w:r>
        <w:rPr>
          <w:spacing w:val="-16"/>
        </w:rPr>
        <w:t> </w:t>
      </w:r>
      <w:r>
        <w:rPr/>
        <w:t>raise</w:t>
      </w:r>
      <w:r>
        <w:rPr>
          <w:spacing w:val="-16"/>
        </w:rPr>
        <w:t> </w:t>
      </w:r>
      <w:r>
        <w:rPr/>
        <w:t>funds</w:t>
      </w:r>
      <w:r>
        <w:rPr>
          <w:spacing w:val="-16"/>
        </w:rPr>
        <w:t> </w:t>
      </w:r>
      <w:r>
        <w:rPr/>
        <w:t>for</w:t>
      </w:r>
      <w:r>
        <w:rPr>
          <w:spacing w:val="-16"/>
        </w:rPr>
        <w:t> </w:t>
      </w:r>
      <w:r>
        <w:rPr/>
        <w:t>the</w:t>
      </w:r>
      <w:r>
        <w:rPr>
          <w:spacing w:val="-16"/>
        </w:rPr>
        <w:t> </w:t>
      </w:r>
      <w:r>
        <w:rPr/>
        <w:t>Hawkesbury Appeal scholarships, which include a nursing scholarship. The event was hosted by Rick Colless, Parliamentary Secretary for Natural Resources</w:t>
      </w:r>
      <w:r>
        <w:rPr>
          <w:spacing w:val="-20"/>
        </w:rPr>
        <w:t> </w:t>
      </w:r>
      <w:r>
        <w:rPr/>
        <w:t>and</w:t>
      </w:r>
      <w:r>
        <w:rPr>
          <w:spacing w:val="-20"/>
        </w:rPr>
        <w:t> </w:t>
      </w:r>
      <w:r>
        <w:rPr/>
        <w:t>Western</w:t>
      </w:r>
      <w:r>
        <w:rPr>
          <w:spacing w:val="-20"/>
        </w:rPr>
        <w:t> </w:t>
      </w:r>
      <w:r>
        <w:rPr/>
        <w:t>NSW.</w:t>
      </w:r>
    </w:p>
    <w:p>
      <w:pPr>
        <w:pStyle w:val="BodyText"/>
        <w:rPr>
          <w:sz w:val="14"/>
        </w:rPr>
      </w:pPr>
    </w:p>
    <w:p>
      <w:pPr>
        <w:pStyle w:val="BodyText"/>
        <w:spacing w:line="249" w:lineRule="auto"/>
        <w:ind w:left="107" w:right="27"/>
      </w:pPr>
      <w:r>
        <w:rPr/>
        <w:t>The School, supported by the Hawkesbury Provost, hosted an Alumni, Family and Friends Day to celebrate 125 years of the Hawkesbury</w:t>
      </w:r>
    </w:p>
    <w:p>
      <w:pPr>
        <w:spacing w:after="0" w:line="249" w:lineRule="auto"/>
        <w:sectPr>
          <w:type w:val="continuous"/>
          <w:pgSz w:w="11910" w:h="16840"/>
          <w:pgMar w:top="1580" w:bottom="280" w:left="800" w:right="800"/>
          <w:cols w:num="3" w:equalWidth="0">
            <w:col w:w="3292" w:space="147"/>
            <w:col w:w="3246" w:space="193"/>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119"/>
      </w:pPr>
      <w:r>
        <w:rPr/>
        <w:t>campus. The event, which drew nearly 200 attendees, aimed to build university spirit while celebrating the history of the campus and demystifying tertiary education for</w:t>
      </w:r>
    </w:p>
    <w:p>
      <w:pPr>
        <w:pStyle w:val="BodyText"/>
        <w:spacing w:line="249" w:lineRule="auto"/>
        <w:ind w:left="107" w:right="142"/>
      </w:pPr>
      <w:r>
        <w:rPr/>
        <w:t>the families of students. The Hawkesbury Foundation used the occasion to announce a new Aboriginal Nursing Scholarship for Hawkesbury students.</w:t>
      </w:r>
    </w:p>
    <w:p>
      <w:pPr>
        <w:pStyle w:val="BodyText"/>
        <w:spacing w:before="3"/>
        <w:rPr>
          <w:sz w:val="19"/>
        </w:rPr>
      </w:pPr>
    </w:p>
    <w:p>
      <w:pPr>
        <w:pStyle w:val="Heading7"/>
        <w:ind w:right="119"/>
      </w:pPr>
      <w:r>
        <w:rPr/>
        <w:t>RESEARCH</w:t>
      </w:r>
    </w:p>
    <w:p>
      <w:pPr>
        <w:pStyle w:val="BodyText"/>
        <w:spacing w:line="249" w:lineRule="auto" w:before="58"/>
        <w:ind w:left="107" w:right="-7"/>
      </w:pPr>
      <w:r>
        <w:rPr/>
        <w:t>Research in the </w:t>
      </w:r>
      <w:r>
        <w:rPr>
          <w:spacing w:val="2"/>
        </w:rPr>
        <w:t>SoNM </w:t>
      </w:r>
      <w:r>
        <w:rPr/>
        <w:t>actively encourages links with industry and community, directly contributing to the health priorities of the region. The School </w:t>
      </w:r>
      <w:r>
        <w:rPr>
          <w:spacing w:val="2"/>
        </w:rPr>
        <w:t>supports </w:t>
      </w:r>
      <w:r>
        <w:rPr/>
        <w:t>four main research concentrations: midwifery, family and child health; chronic and complex care; aged</w:t>
      </w:r>
      <w:r>
        <w:rPr>
          <w:spacing w:val="-21"/>
        </w:rPr>
        <w:t> </w:t>
      </w:r>
      <w:r>
        <w:rPr/>
        <w:t>care;</w:t>
      </w:r>
      <w:r>
        <w:rPr>
          <w:spacing w:val="-21"/>
        </w:rPr>
        <w:t> </w:t>
      </w:r>
      <w:r>
        <w:rPr/>
        <w:t>and</w:t>
      </w:r>
      <w:r>
        <w:rPr>
          <w:spacing w:val="-21"/>
        </w:rPr>
        <w:t> </w:t>
      </w:r>
      <w:r>
        <w:rPr/>
        <w:t>academic</w:t>
      </w:r>
      <w:r>
        <w:rPr>
          <w:spacing w:val="-21"/>
        </w:rPr>
        <w:t> </w:t>
      </w:r>
      <w:r>
        <w:rPr/>
        <w:t>literacy.</w:t>
      </w:r>
      <w:r>
        <w:rPr>
          <w:spacing w:val="-21"/>
        </w:rPr>
        <w:t> </w:t>
      </w:r>
      <w:r>
        <w:rPr/>
        <w:t>There</w:t>
      </w:r>
      <w:r>
        <w:rPr>
          <w:spacing w:val="-21"/>
        </w:rPr>
        <w:t> </w:t>
      </w:r>
      <w:r>
        <w:rPr/>
        <w:t>is</w:t>
      </w:r>
      <w:r>
        <w:rPr>
          <w:spacing w:val="-21"/>
        </w:rPr>
        <w:t> </w:t>
      </w:r>
      <w:r>
        <w:rPr/>
        <w:t>also an</w:t>
      </w:r>
      <w:r>
        <w:rPr>
          <w:spacing w:val="-18"/>
        </w:rPr>
        <w:t> </w:t>
      </w:r>
      <w:r>
        <w:rPr/>
        <w:t>emerging</w:t>
      </w:r>
      <w:r>
        <w:rPr>
          <w:spacing w:val="-18"/>
        </w:rPr>
        <w:t> </w:t>
      </w:r>
      <w:r>
        <w:rPr/>
        <w:t>group</w:t>
      </w:r>
      <w:r>
        <w:rPr>
          <w:spacing w:val="-18"/>
        </w:rPr>
        <w:t> </w:t>
      </w:r>
      <w:r>
        <w:rPr/>
        <w:t>of</w:t>
      </w:r>
      <w:r>
        <w:rPr>
          <w:spacing w:val="-18"/>
        </w:rPr>
        <w:t> </w:t>
      </w:r>
      <w:r>
        <w:rPr/>
        <w:t>researchers</w:t>
      </w:r>
      <w:r>
        <w:rPr>
          <w:spacing w:val="-18"/>
        </w:rPr>
        <w:t> </w:t>
      </w:r>
      <w:r>
        <w:rPr/>
        <w:t>focusing</w:t>
      </w:r>
    </w:p>
    <w:p>
      <w:pPr>
        <w:pStyle w:val="BodyText"/>
        <w:spacing w:line="249" w:lineRule="auto"/>
        <w:ind w:left="107" w:right="210"/>
      </w:pPr>
      <w:r>
        <w:rPr/>
        <w:t>on</w:t>
      </w:r>
      <w:r>
        <w:rPr>
          <w:spacing w:val="-20"/>
        </w:rPr>
        <w:t> </w:t>
      </w:r>
      <w:r>
        <w:rPr/>
        <w:t>mental</w:t>
      </w:r>
      <w:r>
        <w:rPr>
          <w:spacing w:val="-20"/>
        </w:rPr>
        <w:t> </w:t>
      </w:r>
      <w:r>
        <w:rPr/>
        <w:t>health.</w:t>
      </w:r>
      <w:r>
        <w:rPr>
          <w:spacing w:val="-20"/>
        </w:rPr>
        <w:t> </w:t>
      </w:r>
      <w:r>
        <w:rPr/>
        <w:t>The</w:t>
      </w:r>
      <w:r>
        <w:rPr>
          <w:spacing w:val="-20"/>
        </w:rPr>
        <w:t> </w:t>
      </w:r>
      <w:r>
        <w:rPr/>
        <w:t>directors</w:t>
      </w:r>
      <w:r>
        <w:rPr>
          <w:spacing w:val="-20"/>
        </w:rPr>
        <w:t> </w:t>
      </w:r>
      <w:r>
        <w:rPr/>
        <w:t>of</w:t>
      </w:r>
      <w:r>
        <w:rPr>
          <w:spacing w:val="-20"/>
        </w:rPr>
        <w:t> </w:t>
      </w:r>
      <w:r>
        <w:rPr/>
        <w:t>research and</w:t>
      </w:r>
      <w:r>
        <w:rPr>
          <w:spacing w:val="-15"/>
        </w:rPr>
        <w:t> </w:t>
      </w:r>
      <w:r>
        <w:rPr/>
        <w:t>higher</w:t>
      </w:r>
      <w:r>
        <w:rPr>
          <w:spacing w:val="-15"/>
        </w:rPr>
        <w:t> </w:t>
      </w:r>
      <w:r>
        <w:rPr/>
        <w:t>degree</w:t>
      </w:r>
      <w:r>
        <w:rPr>
          <w:spacing w:val="-15"/>
        </w:rPr>
        <w:t> </w:t>
      </w:r>
      <w:r>
        <w:rPr/>
        <w:t>research</w:t>
      </w:r>
      <w:r>
        <w:rPr>
          <w:spacing w:val="-15"/>
        </w:rPr>
        <w:t> </w:t>
      </w:r>
      <w:r>
        <w:rPr/>
        <w:t>(HDR)</w:t>
      </w:r>
      <w:r>
        <w:rPr>
          <w:spacing w:val="-15"/>
        </w:rPr>
        <w:t> </w:t>
      </w:r>
      <w:r>
        <w:rPr/>
        <w:t>support and foster research development within the</w:t>
      </w:r>
      <w:r>
        <w:rPr>
          <w:spacing w:val="-16"/>
        </w:rPr>
        <w:t> </w:t>
      </w:r>
      <w:r>
        <w:rPr/>
        <w:t>School,</w:t>
      </w:r>
      <w:r>
        <w:rPr>
          <w:spacing w:val="-16"/>
        </w:rPr>
        <w:t> </w:t>
      </w:r>
      <w:r>
        <w:rPr/>
        <w:t>currently</w:t>
      </w:r>
      <w:r>
        <w:rPr>
          <w:spacing w:val="-16"/>
        </w:rPr>
        <w:t> </w:t>
      </w:r>
      <w:r>
        <w:rPr/>
        <w:t>supporting</w:t>
      </w:r>
      <w:r>
        <w:rPr>
          <w:spacing w:val="-16"/>
        </w:rPr>
        <w:t> </w:t>
      </w:r>
      <w:r>
        <w:rPr/>
        <w:t>more</w:t>
      </w:r>
      <w:r>
        <w:rPr>
          <w:spacing w:val="-16"/>
        </w:rPr>
        <w:t> </w:t>
      </w:r>
      <w:r>
        <w:rPr/>
        <w:t>than 50 </w:t>
      </w:r>
      <w:r>
        <w:rPr>
          <w:spacing w:val="2"/>
        </w:rPr>
        <w:t>HDR </w:t>
      </w:r>
      <w:r>
        <w:rPr/>
        <w:t>students and 56 supervisors. The School</w:t>
      </w:r>
      <w:r>
        <w:rPr>
          <w:spacing w:val="-14"/>
        </w:rPr>
        <w:t> </w:t>
      </w:r>
      <w:r>
        <w:rPr/>
        <w:t>is</w:t>
      </w:r>
      <w:r>
        <w:rPr>
          <w:spacing w:val="-14"/>
        </w:rPr>
        <w:t> </w:t>
      </w:r>
      <w:r>
        <w:rPr/>
        <w:t>proactive</w:t>
      </w:r>
      <w:r>
        <w:rPr>
          <w:spacing w:val="-14"/>
        </w:rPr>
        <w:t> </w:t>
      </w:r>
      <w:r>
        <w:rPr/>
        <w:t>in</w:t>
      </w:r>
      <w:r>
        <w:rPr>
          <w:spacing w:val="-14"/>
        </w:rPr>
        <w:t> </w:t>
      </w:r>
      <w:r>
        <w:rPr/>
        <w:t>promoting</w:t>
      </w:r>
      <w:r>
        <w:rPr>
          <w:spacing w:val="-14"/>
        </w:rPr>
        <w:t> </w:t>
      </w:r>
      <w:r>
        <w:rPr/>
        <w:t>research</w:t>
      </w:r>
    </w:p>
    <w:p>
      <w:pPr>
        <w:pStyle w:val="BodyText"/>
        <w:spacing w:line="249" w:lineRule="auto"/>
        <w:ind w:left="107" w:right="-11"/>
      </w:pPr>
      <w:r>
        <w:rPr/>
        <w:t>as a career path for </w:t>
      </w:r>
      <w:r>
        <w:rPr>
          <w:spacing w:val="2"/>
        </w:rPr>
        <w:t>LHD </w:t>
      </w:r>
      <w:r>
        <w:rPr/>
        <w:t>staff, instituting the CNC</w:t>
      </w:r>
      <w:r>
        <w:rPr>
          <w:spacing w:val="-14"/>
        </w:rPr>
        <w:t> </w:t>
      </w:r>
      <w:r>
        <w:rPr/>
        <w:t>mentoring</w:t>
      </w:r>
      <w:r>
        <w:rPr>
          <w:spacing w:val="-14"/>
        </w:rPr>
        <w:t> </w:t>
      </w:r>
      <w:r>
        <w:rPr/>
        <w:t>program</w:t>
      </w:r>
      <w:r>
        <w:rPr>
          <w:spacing w:val="-14"/>
        </w:rPr>
        <w:t> </w:t>
      </w:r>
      <w:r>
        <w:rPr/>
        <w:t>and</w:t>
      </w:r>
      <w:r>
        <w:rPr>
          <w:spacing w:val="-14"/>
        </w:rPr>
        <w:t> </w:t>
      </w:r>
      <w:r>
        <w:rPr/>
        <w:t>leading</w:t>
      </w:r>
      <w:r>
        <w:rPr>
          <w:spacing w:val="-14"/>
        </w:rPr>
        <w:t> </w:t>
      </w:r>
      <w:r>
        <w:rPr/>
        <w:t>research workshops. The </w:t>
      </w:r>
      <w:r>
        <w:rPr>
          <w:spacing w:val="2"/>
        </w:rPr>
        <w:t>SoNM </w:t>
      </w:r>
      <w:r>
        <w:rPr/>
        <w:t>also </w:t>
      </w:r>
      <w:r>
        <w:rPr>
          <w:spacing w:val="2"/>
        </w:rPr>
        <w:t>supports </w:t>
      </w:r>
      <w:r>
        <w:rPr/>
        <w:t>three research</w:t>
      </w:r>
      <w:r>
        <w:rPr>
          <w:spacing w:val="-22"/>
        </w:rPr>
        <w:t> </w:t>
      </w:r>
      <w:r>
        <w:rPr/>
        <w:t>centres</w:t>
      </w:r>
      <w:r>
        <w:rPr>
          <w:spacing w:val="-22"/>
        </w:rPr>
        <w:t> </w:t>
      </w:r>
      <w:r>
        <w:rPr/>
        <w:t>in</w:t>
      </w:r>
      <w:r>
        <w:rPr>
          <w:spacing w:val="-22"/>
        </w:rPr>
        <w:t> </w:t>
      </w:r>
      <w:r>
        <w:rPr/>
        <w:t>collaboration</w:t>
      </w:r>
      <w:r>
        <w:rPr>
          <w:spacing w:val="-22"/>
        </w:rPr>
        <w:t> </w:t>
      </w:r>
      <w:r>
        <w:rPr/>
        <w:t>with</w:t>
      </w:r>
      <w:r>
        <w:rPr>
          <w:spacing w:val="-22"/>
        </w:rPr>
        <w:t> </w:t>
      </w:r>
      <w:r>
        <w:rPr>
          <w:spacing w:val="2"/>
        </w:rPr>
        <w:t>LHDs.</w:t>
      </w:r>
    </w:p>
    <w:p>
      <w:pPr>
        <w:pStyle w:val="BodyText"/>
        <w:spacing w:before="6"/>
        <w:rPr>
          <w:sz w:val="14"/>
        </w:rPr>
      </w:pPr>
    </w:p>
    <w:p>
      <w:pPr>
        <w:pStyle w:val="Heading7"/>
        <w:ind w:right="119"/>
      </w:pPr>
      <w:r>
        <w:rPr>
          <w:color w:val="615C58"/>
          <w:w w:val="95"/>
        </w:rPr>
        <w:t>Centre for Applied Nursing Research</w:t>
      </w:r>
    </w:p>
    <w:p>
      <w:pPr>
        <w:pStyle w:val="BodyText"/>
        <w:spacing w:line="249" w:lineRule="auto" w:before="86"/>
        <w:ind w:left="107" w:right="15"/>
      </w:pPr>
      <w:r>
        <w:rPr/>
        <w:t>Located within the Ingham Institute at Liverpool Hospital, the Centre for Applied Nursing Research (CANR) </w:t>
      </w:r>
      <w:r>
        <w:rPr>
          <w:spacing w:val="2"/>
        </w:rPr>
        <w:t>supports </w:t>
      </w:r>
      <w:r>
        <w:rPr/>
        <w:t>nurse- and midwife-led research that focuses on national,</w:t>
      </w:r>
      <w:r>
        <w:rPr>
          <w:spacing w:val="-19"/>
        </w:rPr>
        <w:t> </w:t>
      </w:r>
      <w:r>
        <w:rPr/>
        <w:t>state</w:t>
      </w:r>
      <w:r>
        <w:rPr>
          <w:spacing w:val="-19"/>
        </w:rPr>
        <w:t> </w:t>
      </w:r>
      <w:r>
        <w:rPr/>
        <w:t>and</w:t>
      </w:r>
      <w:r>
        <w:rPr>
          <w:spacing w:val="-19"/>
        </w:rPr>
        <w:t> </w:t>
      </w:r>
      <w:r>
        <w:rPr/>
        <w:t>local</w:t>
      </w:r>
      <w:r>
        <w:rPr>
          <w:spacing w:val="-19"/>
        </w:rPr>
        <w:t> </w:t>
      </w:r>
      <w:r>
        <w:rPr/>
        <w:t>priorities.</w:t>
      </w:r>
      <w:r>
        <w:rPr>
          <w:spacing w:val="-19"/>
        </w:rPr>
        <w:t> </w:t>
      </w:r>
      <w:r>
        <w:rPr/>
        <w:t>It</w:t>
      </w:r>
      <w:r>
        <w:rPr>
          <w:spacing w:val="-19"/>
        </w:rPr>
        <w:t> </w:t>
      </w:r>
      <w:r>
        <w:rPr/>
        <w:t>plays</w:t>
      </w:r>
      <w:r>
        <w:rPr>
          <w:spacing w:val="-19"/>
        </w:rPr>
        <w:t> </w:t>
      </w:r>
      <w:r>
        <w:rPr/>
        <w:t>an important role in developing evidence-based guidelines, and in translating research into policy</w:t>
      </w:r>
      <w:r>
        <w:rPr>
          <w:spacing w:val="-11"/>
        </w:rPr>
        <w:t> </w:t>
      </w:r>
      <w:r>
        <w:rPr/>
        <w:t>and</w:t>
      </w:r>
      <w:r>
        <w:rPr>
          <w:spacing w:val="-11"/>
        </w:rPr>
        <w:t> </w:t>
      </w:r>
      <w:r>
        <w:rPr/>
        <w:t>practice.</w:t>
      </w:r>
      <w:r>
        <w:rPr>
          <w:spacing w:val="-11"/>
        </w:rPr>
        <w:t> </w:t>
      </w:r>
      <w:r>
        <w:rPr/>
        <w:t>A</w:t>
      </w:r>
      <w:r>
        <w:rPr>
          <w:spacing w:val="-11"/>
        </w:rPr>
        <w:t> </w:t>
      </w:r>
      <w:r>
        <w:rPr/>
        <w:t>major</w:t>
      </w:r>
      <w:r>
        <w:rPr>
          <w:spacing w:val="-11"/>
        </w:rPr>
        <w:t> </w:t>
      </w:r>
      <w:r>
        <w:rPr/>
        <w:t>focus</w:t>
      </w:r>
      <w:r>
        <w:rPr>
          <w:spacing w:val="-11"/>
        </w:rPr>
        <w:t> </w:t>
      </w:r>
      <w:r>
        <w:rPr/>
        <w:t>of</w:t>
      </w:r>
      <w:r>
        <w:rPr>
          <w:spacing w:val="-11"/>
        </w:rPr>
        <w:t> </w:t>
      </w:r>
      <w:r>
        <w:rPr>
          <w:spacing w:val="2"/>
        </w:rPr>
        <w:t>CANR</w:t>
      </w:r>
      <w:r>
        <w:rPr>
          <w:spacing w:val="-11"/>
        </w:rPr>
        <w:t> </w:t>
      </w:r>
      <w:r>
        <w:rPr/>
        <w:t>is to</w:t>
      </w:r>
      <w:r>
        <w:rPr>
          <w:spacing w:val="-19"/>
        </w:rPr>
        <w:t> </w:t>
      </w:r>
      <w:r>
        <w:rPr/>
        <w:t>grow</w:t>
      </w:r>
      <w:r>
        <w:rPr>
          <w:spacing w:val="-19"/>
        </w:rPr>
        <w:t> </w:t>
      </w:r>
      <w:r>
        <w:rPr/>
        <w:t>the</w:t>
      </w:r>
      <w:r>
        <w:rPr>
          <w:spacing w:val="-19"/>
        </w:rPr>
        <w:t> </w:t>
      </w:r>
      <w:r>
        <w:rPr/>
        <w:t>research</w:t>
      </w:r>
      <w:r>
        <w:rPr>
          <w:spacing w:val="-19"/>
        </w:rPr>
        <w:t> </w:t>
      </w:r>
      <w:r>
        <w:rPr/>
        <w:t>interests,</w:t>
      </w:r>
      <w:r>
        <w:rPr>
          <w:spacing w:val="-19"/>
        </w:rPr>
        <w:t> </w:t>
      </w:r>
      <w:r>
        <w:rPr/>
        <w:t>skills,</w:t>
      </w:r>
      <w:r>
        <w:rPr>
          <w:spacing w:val="-19"/>
        </w:rPr>
        <w:t> </w:t>
      </w:r>
      <w:r>
        <w:rPr/>
        <w:t>capacity and outputs of nursing and midwifery staff within South Western Sydney Local Health District (SWSLHD). The Centre undertook 13 </w:t>
      </w:r>
      <w:r>
        <w:rPr>
          <w:spacing w:val="1"/>
          <w:w w:val="96"/>
        </w:rPr>
        <w:t>projects</w:t>
      </w:r>
      <w:r>
        <w:rPr>
          <w:spacing w:val="-6"/>
          <w:w w:val="96"/>
        </w:rPr>
        <w:t> </w:t>
      </w:r>
      <w:r>
        <w:rPr>
          <w:w w:val="95"/>
        </w:rPr>
        <w:t>in</w:t>
      </w:r>
      <w:r>
        <w:rPr>
          <w:spacing w:val="-6"/>
          <w:w w:val="95"/>
        </w:rPr>
        <w:t> </w:t>
      </w:r>
      <w:r>
        <w:rPr>
          <w:spacing w:val="1"/>
          <w:w w:val="96"/>
        </w:rPr>
        <w:t>conjunction</w:t>
      </w:r>
      <w:r>
        <w:rPr>
          <w:spacing w:val="-7"/>
          <w:w w:val="96"/>
        </w:rPr>
        <w:t> </w:t>
      </w:r>
      <w:r>
        <w:rPr>
          <w:w w:val="98"/>
        </w:rPr>
        <w:t>with</w:t>
      </w:r>
      <w:r>
        <w:rPr>
          <w:spacing w:val="-8"/>
          <w:w w:val="98"/>
        </w:rPr>
        <w:t> </w:t>
      </w:r>
      <w:r>
        <w:rPr>
          <w:spacing w:val="2"/>
          <w:w w:val="99"/>
        </w:rPr>
        <w:t>LHD</w:t>
      </w:r>
      <w:r>
        <w:rPr>
          <w:spacing w:val="-8"/>
          <w:w w:val="99"/>
        </w:rPr>
        <w:t> </w:t>
      </w:r>
      <w:r>
        <w:rPr>
          <w:spacing w:val="1"/>
          <w:w w:val="97"/>
        </w:rPr>
        <w:t>staff</w:t>
      </w:r>
      <w:r>
        <w:rPr>
          <w:spacing w:val="-7"/>
          <w:w w:val="97"/>
        </w:rPr>
        <w:t> </w:t>
      </w:r>
      <w:r>
        <w:rPr>
          <w:w w:val="95"/>
        </w:rPr>
        <w:t>in</w:t>
      </w:r>
      <w:r>
        <w:rPr>
          <w:spacing w:val="-6"/>
          <w:w w:val="95"/>
        </w:rPr>
        <w:t> </w:t>
      </w:r>
      <w:r>
        <w:rPr>
          <w:spacing w:val="2"/>
          <w:w w:val="85"/>
        </w:rPr>
        <w:t>2016.</w:t>
      </w:r>
    </w:p>
    <w:p>
      <w:pPr>
        <w:pStyle w:val="BodyText"/>
        <w:spacing w:before="6"/>
        <w:rPr>
          <w:sz w:val="14"/>
        </w:rPr>
      </w:pPr>
    </w:p>
    <w:p>
      <w:pPr>
        <w:pStyle w:val="Heading7"/>
        <w:spacing w:line="249" w:lineRule="auto"/>
        <w:ind w:right="751"/>
      </w:pPr>
      <w:r>
        <w:rPr>
          <w:color w:val="615C58"/>
        </w:rPr>
        <w:t>Centre for Nursing Research and </w:t>
      </w:r>
      <w:r>
        <w:rPr>
          <w:color w:val="615C58"/>
          <w:w w:val="95"/>
        </w:rPr>
        <w:t>Practice Development</w:t>
      </w:r>
    </w:p>
    <w:p>
      <w:pPr>
        <w:pStyle w:val="BodyText"/>
        <w:spacing w:line="249" w:lineRule="auto" w:before="79"/>
        <w:ind w:left="107" w:right="41"/>
      </w:pPr>
      <w:r>
        <w:rPr/>
        <w:t>The</w:t>
      </w:r>
      <w:r>
        <w:rPr>
          <w:spacing w:val="-16"/>
        </w:rPr>
        <w:t> </w:t>
      </w:r>
      <w:r>
        <w:rPr/>
        <w:t>Centre</w:t>
      </w:r>
      <w:r>
        <w:rPr>
          <w:spacing w:val="-16"/>
        </w:rPr>
        <w:t> </w:t>
      </w:r>
      <w:r>
        <w:rPr/>
        <w:t>for</w:t>
      </w:r>
      <w:r>
        <w:rPr>
          <w:spacing w:val="-16"/>
        </w:rPr>
        <w:t> </w:t>
      </w:r>
      <w:r>
        <w:rPr/>
        <w:t>Nursing</w:t>
      </w:r>
      <w:r>
        <w:rPr>
          <w:spacing w:val="-16"/>
        </w:rPr>
        <w:t> </w:t>
      </w:r>
      <w:r>
        <w:rPr/>
        <w:t>Research</w:t>
      </w:r>
      <w:r>
        <w:rPr>
          <w:spacing w:val="-16"/>
        </w:rPr>
        <w:t> </w:t>
      </w:r>
      <w:r>
        <w:rPr/>
        <w:t>and</w:t>
      </w:r>
      <w:r>
        <w:rPr>
          <w:spacing w:val="-16"/>
        </w:rPr>
        <w:t> </w:t>
      </w:r>
      <w:r>
        <w:rPr/>
        <w:t>Practice Development (CNRPD), a joint venture between the University and Nepean Blue Mountains Local Health District (NBMLHD), encourages collaborative research through the secondment of </w:t>
      </w:r>
      <w:r>
        <w:rPr>
          <w:spacing w:val="3"/>
        </w:rPr>
        <w:t>CNCs </w:t>
      </w:r>
      <w:r>
        <w:rPr/>
        <w:t>and education </w:t>
      </w:r>
      <w:r>
        <w:rPr>
          <w:spacing w:val="1"/>
          <w:w w:val="96"/>
        </w:rPr>
        <w:t>sessions</w:t>
      </w:r>
      <w:r>
        <w:rPr>
          <w:w w:val="96"/>
        </w:rPr>
        <w:t> </w:t>
      </w:r>
      <w:r>
        <w:rPr>
          <w:w w:val="98"/>
        </w:rPr>
        <w:t>with </w:t>
      </w:r>
      <w:r>
        <w:rPr>
          <w:spacing w:val="1"/>
          <w:w w:val="95"/>
        </w:rPr>
        <w:t>nurses</w:t>
      </w:r>
      <w:r>
        <w:rPr>
          <w:w w:val="95"/>
        </w:rPr>
        <w:t> </w:t>
      </w:r>
      <w:r>
        <w:rPr>
          <w:w w:val="95"/>
        </w:rPr>
        <w:t>in </w:t>
      </w:r>
      <w:r>
        <w:rPr>
          <w:w w:val="97"/>
        </w:rPr>
        <w:t>the </w:t>
      </w:r>
      <w:r>
        <w:rPr>
          <w:spacing w:val="1"/>
          <w:w w:val="91"/>
        </w:rPr>
        <w:t>LHD.</w:t>
      </w:r>
      <w:r>
        <w:rPr>
          <w:spacing w:val="-31"/>
          <w:w w:val="91"/>
        </w:rPr>
        <w:t> </w:t>
      </w:r>
      <w:r>
        <w:rPr>
          <w:spacing w:val="1"/>
          <w:w w:val="80"/>
        </w:rPr>
        <w:t>In</w:t>
      </w:r>
      <w:r>
        <w:rPr>
          <w:w w:val="80"/>
        </w:rPr>
        <w:t> </w:t>
      </w:r>
      <w:r>
        <w:rPr>
          <w:spacing w:val="2"/>
          <w:w w:val="85"/>
        </w:rPr>
        <w:t>2016,</w:t>
      </w:r>
      <w:r>
        <w:rPr>
          <w:w w:val="85"/>
        </w:rPr>
        <w:t> </w:t>
      </w:r>
      <w:r>
        <w:rPr>
          <w:w w:val="97"/>
        </w:rPr>
        <w:t>the</w:t>
      </w:r>
    </w:p>
    <w:p>
      <w:pPr>
        <w:pStyle w:val="BodyText"/>
        <w:spacing w:before="1"/>
        <w:rPr>
          <w:sz w:val="20"/>
        </w:rPr>
      </w:pPr>
      <w:r>
        <w:rPr/>
        <w:br w:type="column"/>
      </w:r>
      <w:r>
        <w:rPr>
          <w:sz w:val="20"/>
        </w:rPr>
      </w:r>
    </w:p>
    <w:p>
      <w:pPr>
        <w:pStyle w:val="BodyText"/>
        <w:spacing w:line="249" w:lineRule="auto"/>
        <w:ind w:left="107" w:right="-18"/>
      </w:pPr>
      <w:r>
        <w:rPr/>
        <w:t>Centre, which is located at Nepean Hospital, hosted two </w:t>
      </w:r>
      <w:r>
        <w:rPr>
          <w:spacing w:val="3"/>
        </w:rPr>
        <w:t>CNCs </w:t>
      </w:r>
      <w:r>
        <w:rPr/>
        <w:t>and conducted the CNC-led Nursing and Midwifery Research and Practice Development</w:t>
      </w:r>
      <w:r>
        <w:rPr>
          <w:spacing w:val="-19"/>
        </w:rPr>
        <w:t> </w:t>
      </w:r>
      <w:r>
        <w:rPr/>
        <w:t>Conference</w:t>
      </w:r>
      <w:r>
        <w:rPr>
          <w:spacing w:val="-19"/>
        </w:rPr>
        <w:t> </w:t>
      </w:r>
      <w:r>
        <w:rPr/>
        <w:t>at</w:t>
      </w:r>
      <w:r>
        <w:rPr>
          <w:spacing w:val="-19"/>
        </w:rPr>
        <w:t> </w:t>
      </w:r>
      <w:r>
        <w:rPr/>
        <w:t>Penrith</w:t>
      </w:r>
      <w:r>
        <w:rPr>
          <w:spacing w:val="-19"/>
        </w:rPr>
        <w:t> </w:t>
      </w:r>
      <w:r>
        <w:rPr/>
        <w:t>Panthers. </w:t>
      </w:r>
      <w:r>
        <w:rPr>
          <w:spacing w:val="2"/>
          <w:w w:val="101"/>
        </w:rPr>
        <w:t>CNRPD</w:t>
      </w:r>
      <w:r>
        <w:rPr>
          <w:w w:val="101"/>
        </w:rPr>
        <w:t> </w:t>
      </w:r>
      <w:r>
        <w:rPr>
          <w:spacing w:val="1"/>
          <w:w w:val="99"/>
        </w:rPr>
        <w:t>completed</w:t>
      </w:r>
      <w:r>
        <w:rPr>
          <w:w w:val="99"/>
        </w:rPr>
        <w:t> </w:t>
      </w:r>
      <w:r>
        <w:rPr>
          <w:w w:val="96"/>
        </w:rPr>
        <w:t>six </w:t>
      </w:r>
      <w:r>
        <w:rPr>
          <w:spacing w:val="1"/>
          <w:w w:val="96"/>
        </w:rPr>
        <w:t>projects</w:t>
      </w:r>
      <w:r>
        <w:rPr>
          <w:w w:val="96"/>
        </w:rPr>
        <w:t> </w:t>
      </w:r>
      <w:r>
        <w:rPr>
          <w:w w:val="95"/>
        </w:rPr>
        <w:t>in </w:t>
      </w:r>
      <w:r>
        <w:rPr>
          <w:spacing w:val="1"/>
          <w:w w:val="90"/>
        </w:rPr>
        <w:t>2016</w:t>
      </w:r>
      <w:r>
        <w:rPr>
          <w:w w:val="90"/>
        </w:rPr>
        <w:t> </w:t>
      </w:r>
      <w:r>
        <w:rPr>
          <w:spacing w:val="1"/>
          <w:w w:val="97"/>
        </w:rPr>
        <w:t>and</w:t>
      </w:r>
      <w:r>
        <w:rPr>
          <w:w w:val="97"/>
        </w:rPr>
        <w:t> </w:t>
      </w:r>
      <w:r>
        <w:rPr/>
        <w:t>facilitated</w:t>
      </w:r>
      <w:r>
        <w:rPr>
          <w:spacing w:val="-19"/>
        </w:rPr>
        <w:t> </w:t>
      </w:r>
      <w:r>
        <w:rPr/>
        <w:t>annual</w:t>
      </w:r>
      <w:r>
        <w:rPr>
          <w:spacing w:val="-19"/>
        </w:rPr>
        <w:t> </w:t>
      </w:r>
      <w:r>
        <w:rPr/>
        <w:t>writing</w:t>
      </w:r>
      <w:r>
        <w:rPr>
          <w:spacing w:val="-19"/>
        </w:rPr>
        <w:t> </w:t>
      </w:r>
      <w:r>
        <w:rPr/>
        <w:t>retreats</w:t>
      </w:r>
      <w:r>
        <w:rPr>
          <w:spacing w:val="-19"/>
        </w:rPr>
        <w:t> </w:t>
      </w:r>
      <w:r>
        <w:rPr/>
        <w:t>for</w:t>
      </w:r>
      <w:r>
        <w:rPr>
          <w:spacing w:val="-19"/>
        </w:rPr>
        <w:t> </w:t>
      </w:r>
      <w:r>
        <w:rPr/>
        <w:t>academic staff and </w:t>
      </w:r>
      <w:r>
        <w:rPr>
          <w:spacing w:val="2"/>
        </w:rPr>
        <w:t>HDR </w:t>
      </w:r>
      <w:r>
        <w:rPr/>
        <w:t>students, encouraging and supporting research and enabling interaction and collaboration between early career researchers and experienced researchers. In </w:t>
      </w:r>
      <w:r>
        <w:rPr>
          <w:spacing w:val="2"/>
          <w:w w:val="85"/>
        </w:rPr>
        <w:t>2016,</w:t>
      </w:r>
      <w:r>
        <w:rPr>
          <w:w w:val="85"/>
        </w:rPr>
        <w:t> </w:t>
      </w:r>
      <w:r>
        <w:rPr>
          <w:spacing w:val="2"/>
          <w:w w:val="101"/>
        </w:rPr>
        <w:t>CNRPD</w:t>
      </w:r>
      <w:r>
        <w:rPr>
          <w:w w:val="101"/>
        </w:rPr>
        <w:t> </w:t>
      </w:r>
      <w:r>
        <w:rPr>
          <w:spacing w:val="1"/>
          <w:w w:val="97"/>
        </w:rPr>
        <w:t>established</w:t>
      </w:r>
      <w:r>
        <w:rPr>
          <w:w w:val="97"/>
        </w:rPr>
        <w:t> </w:t>
      </w:r>
      <w:r>
        <w:rPr>
          <w:w w:val="94"/>
        </w:rPr>
        <w:t>a </w:t>
      </w:r>
      <w:r>
        <w:rPr>
          <w:w w:val="97"/>
        </w:rPr>
        <w:t>new </w:t>
      </w:r>
      <w:r>
        <w:rPr>
          <w:spacing w:val="1"/>
          <w:w w:val="97"/>
        </w:rPr>
        <w:t>professorial</w:t>
      </w:r>
      <w:r>
        <w:rPr>
          <w:w w:val="97"/>
        </w:rPr>
        <w:t> </w:t>
      </w:r>
      <w:r>
        <w:rPr/>
        <w:t>midwifery</w:t>
      </w:r>
      <w:r>
        <w:rPr>
          <w:spacing w:val="-14"/>
        </w:rPr>
        <w:t> </w:t>
      </w:r>
      <w:r>
        <w:rPr/>
        <w:t>role</w:t>
      </w:r>
      <w:r>
        <w:rPr>
          <w:spacing w:val="-14"/>
        </w:rPr>
        <w:t> </w:t>
      </w:r>
      <w:r>
        <w:rPr/>
        <w:t>to</w:t>
      </w:r>
      <w:r>
        <w:rPr>
          <w:spacing w:val="-14"/>
        </w:rPr>
        <w:t> </w:t>
      </w:r>
      <w:r>
        <w:rPr/>
        <w:t>build</w:t>
      </w:r>
      <w:r>
        <w:rPr>
          <w:spacing w:val="-14"/>
        </w:rPr>
        <w:t> </w:t>
      </w:r>
      <w:r>
        <w:rPr/>
        <w:t>on</w:t>
      </w:r>
      <w:r>
        <w:rPr>
          <w:spacing w:val="-14"/>
        </w:rPr>
        <w:t> </w:t>
      </w:r>
      <w:r>
        <w:rPr/>
        <w:t>the</w:t>
      </w:r>
      <w:r>
        <w:rPr>
          <w:spacing w:val="-14"/>
        </w:rPr>
        <w:t> </w:t>
      </w:r>
      <w:r>
        <w:rPr/>
        <w:t>largely</w:t>
      </w:r>
      <w:r>
        <w:rPr>
          <w:spacing w:val="-14"/>
        </w:rPr>
        <w:t> </w:t>
      </w:r>
      <w:r>
        <w:rPr/>
        <w:t>clinically based developmental work. The role works in partnership</w:t>
      </w:r>
      <w:r>
        <w:rPr>
          <w:spacing w:val="-15"/>
        </w:rPr>
        <w:t> </w:t>
      </w:r>
      <w:r>
        <w:rPr/>
        <w:t>with</w:t>
      </w:r>
      <w:r>
        <w:rPr>
          <w:spacing w:val="-15"/>
        </w:rPr>
        <w:t> </w:t>
      </w:r>
      <w:r>
        <w:rPr/>
        <w:t>the</w:t>
      </w:r>
      <w:r>
        <w:rPr>
          <w:spacing w:val="-15"/>
        </w:rPr>
        <w:t> </w:t>
      </w:r>
      <w:r>
        <w:rPr/>
        <w:t>LHD’s</w:t>
      </w:r>
      <w:r>
        <w:rPr>
          <w:spacing w:val="-15"/>
        </w:rPr>
        <w:t> </w:t>
      </w:r>
      <w:r>
        <w:rPr/>
        <w:t>Director</w:t>
      </w:r>
      <w:r>
        <w:rPr>
          <w:spacing w:val="-15"/>
        </w:rPr>
        <w:t> </w:t>
      </w:r>
      <w:r>
        <w:rPr/>
        <w:t>of</w:t>
      </w:r>
      <w:r>
        <w:rPr>
          <w:spacing w:val="-15"/>
        </w:rPr>
        <w:t> </w:t>
      </w:r>
      <w:r>
        <w:rPr/>
        <w:t>Nursing and Midwifery to provide visionary and strategic leadership in research and translate research and evidence-based practice into practice</w:t>
      </w:r>
      <w:r>
        <w:rPr>
          <w:spacing w:val="-16"/>
        </w:rPr>
        <w:t> </w:t>
      </w:r>
      <w:r>
        <w:rPr/>
        <w:t>and</w:t>
      </w:r>
      <w:r>
        <w:rPr>
          <w:spacing w:val="-16"/>
        </w:rPr>
        <w:t> </w:t>
      </w:r>
      <w:r>
        <w:rPr/>
        <w:t>models</w:t>
      </w:r>
      <w:r>
        <w:rPr>
          <w:spacing w:val="-16"/>
        </w:rPr>
        <w:t> </w:t>
      </w:r>
      <w:r>
        <w:rPr/>
        <w:t>of</w:t>
      </w:r>
      <w:r>
        <w:rPr>
          <w:spacing w:val="-16"/>
        </w:rPr>
        <w:t> </w:t>
      </w:r>
      <w:r>
        <w:rPr/>
        <w:t>care.</w:t>
      </w:r>
    </w:p>
    <w:p>
      <w:pPr>
        <w:pStyle w:val="BodyText"/>
        <w:spacing w:before="6"/>
        <w:rPr>
          <w:sz w:val="14"/>
        </w:rPr>
      </w:pPr>
    </w:p>
    <w:p>
      <w:pPr>
        <w:pStyle w:val="Heading7"/>
      </w:pPr>
      <w:r>
        <w:rPr>
          <w:color w:val="615C58"/>
          <w:w w:val="95"/>
        </w:rPr>
        <w:t>WSLHD Nursing Research Centre</w:t>
      </w:r>
    </w:p>
    <w:p>
      <w:pPr>
        <w:pStyle w:val="BodyText"/>
        <w:spacing w:line="249" w:lineRule="auto" w:before="86"/>
        <w:ind w:left="107" w:right="112"/>
      </w:pPr>
      <w:r>
        <w:rPr/>
        <w:t>A new Nursing Research Centre has been established in conjunction with the WSLHD. Located at Blacktown Hospital, the Centre will be pivotal in developing capacity in nursing and midwifery research, promoting translational research, health services research, evidence-based practice, and supporting nursing and midwifery staff at WSLHD facilities to undertake and publish </w:t>
      </w:r>
      <w:r>
        <w:rPr>
          <w:w w:val="93"/>
        </w:rPr>
        <w:t>research. </w:t>
      </w:r>
      <w:r>
        <w:rPr>
          <w:w w:val="94"/>
        </w:rPr>
        <w:t>The </w:t>
      </w:r>
      <w:r>
        <w:rPr>
          <w:w w:val="97"/>
        </w:rPr>
        <w:t>Centre </w:t>
      </w:r>
      <w:r>
        <w:rPr>
          <w:w w:val="97"/>
        </w:rPr>
        <w:t>will </w:t>
      </w:r>
      <w:r>
        <w:rPr>
          <w:w w:val="98"/>
        </w:rPr>
        <w:t>open </w:t>
      </w:r>
      <w:r>
        <w:rPr>
          <w:w w:val="95"/>
        </w:rPr>
        <w:t>in </w:t>
      </w:r>
      <w:r>
        <w:rPr>
          <w:w w:val="96"/>
        </w:rPr>
        <w:t>early </w:t>
      </w:r>
      <w:r>
        <w:rPr>
          <w:w w:val="83"/>
        </w:rPr>
        <w:t>2017, </w:t>
      </w:r>
      <w:r>
        <w:rPr/>
        <w:t>and will employ a Professor of Nursing and three support staff.</w:t>
      </w:r>
    </w:p>
    <w:p>
      <w:pPr>
        <w:pStyle w:val="BodyText"/>
        <w:rPr>
          <w:sz w:val="14"/>
        </w:rPr>
      </w:pPr>
    </w:p>
    <w:p>
      <w:pPr>
        <w:pStyle w:val="BodyText"/>
        <w:spacing w:line="249" w:lineRule="auto"/>
        <w:ind w:left="107" w:right="281"/>
      </w:pPr>
      <w:r>
        <w:rPr/>
        <w:t>The</w:t>
      </w:r>
      <w:r>
        <w:rPr>
          <w:spacing w:val="-17"/>
        </w:rPr>
        <w:t> </w:t>
      </w:r>
      <w:r>
        <w:rPr/>
        <w:t>Centre</w:t>
      </w:r>
      <w:r>
        <w:rPr>
          <w:spacing w:val="-17"/>
        </w:rPr>
        <w:t> </w:t>
      </w:r>
      <w:r>
        <w:rPr/>
        <w:t>is</w:t>
      </w:r>
      <w:r>
        <w:rPr>
          <w:spacing w:val="-17"/>
        </w:rPr>
        <w:t> </w:t>
      </w:r>
      <w:r>
        <w:rPr/>
        <w:t>augmented</w:t>
      </w:r>
      <w:r>
        <w:rPr>
          <w:spacing w:val="-17"/>
        </w:rPr>
        <w:t> </w:t>
      </w:r>
      <w:r>
        <w:rPr/>
        <w:t>by</w:t>
      </w:r>
      <w:r>
        <w:rPr>
          <w:spacing w:val="-17"/>
        </w:rPr>
        <w:t> </w:t>
      </w:r>
      <w:r>
        <w:rPr/>
        <w:t>two</w:t>
      </w:r>
      <w:r>
        <w:rPr>
          <w:spacing w:val="-17"/>
        </w:rPr>
        <w:t> </w:t>
      </w:r>
      <w:r>
        <w:rPr/>
        <w:t>research groups</w:t>
      </w:r>
      <w:r>
        <w:rPr>
          <w:spacing w:val="-23"/>
        </w:rPr>
        <w:t> </w:t>
      </w:r>
      <w:r>
        <w:rPr/>
        <w:t>located</w:t>
      </w:r>
      <w:r>
        <w:rPr>
          <w:spacing w:val="-23"/>
        </w:rPr>
        <w:t> </w:t>
      </w:r>
      <w:r>
        <w:rPr/>
        <w:t>within</w:t>
      </w:r>
      <w:r>
        <w:rPr>
          <w:spacing w:val="-23"/>
        </w:rPr>
        <w:t> </w:t>
      </w:r>
      <w:r>
        <w:rPr/>
        <w:t>the</w:t>
      </w:r>
      <w:r>
        <w:rPr>
          <w:spacing w:val="-23"/>
        </w:rPr>
        <w:t> </w:t>
      </w:r>
      <w:r>
        <w:rPr/>
        <w:t>Ingham</w:t>
      </w:r>
      <w:r>
        <w:rPr>
          <w:spacing w:val="-23"/>
        </w:rPr>
        <w:t> </w:t>
      </w:r>
      <w:r>
        <w:rPr/>
        <w:t>Institute for Applied Medical Research at Liverpool Hospital.</w:t>
      </w:r>
    </w:p>
    <w:p>
      <w:pPr>
        <w:pStyle w:val="BodyText"/>
        <w:spacing w:before="6"/>
        <w:rPr>
          <w:sz w:val="14"/>
        </w:rPr>
      </w:pPr>
    </w:p>
    <w:p>
      <w:pPr>
        <w:pStyle w:val="Heading7"/>
        <w:spacing w:line="249" w:lineRule="auto"/>
        <w:ind w:right="1110"/>
      </w:pPr>
      <w:r>
        <w:rPr>
          <w:color w:val="615C58"/>
          <w:w w:val="95"/>
        </w:rPr>
        <w:t>Translational Research and Social Innovation Group</w:t>
      </w:r>
    </w:p>
    <w:p>
      <w:pPr>
        <w:pStyle w:val="BodyText"/>
        <w:spacing w:line="249" w:lineRule="auto" w:before="79"/>
        <w:ind w:left="107" w:right="210"/>
      </w:pPr>
      <w:r>
        <w:rPr/>
        <w:t>The Ingham Institute’s Translational Research and Social Innovation (TReSI) group conducts translational research that supports the implementation of social and</w:t>
      </w:r>
    </w:p>
    <w:p>
      <w:pPr>
        <w:pStyle w:val="BodyText"/>
        <w:spacing w:line="249" w:lineRule="auto"/>
        <w:ind w:left="107" w:right="-17"/>
      </w:pPr>
      <w:r>
        <w:rPr/>
        <w:t>system innovations to ensure evidence-based interventions reach the people who need them and are implemented to the highest </w:t>
      </w:r>
      <w:r>
        <w:rPr>
          <w:w w:val="94"/>
        </w:rPr>
        <w:t>standard. </w:t>
      </w:r>
      <w:r>
        <w:rPr>
          <w:w w:val="80"/>
        </w:rPr>
        <w:t>In </w:t>
      </w:r>
      <w:r>
        <w:rPr>
          <w:w w:val="85"/>
        </w:rPr>
        <w:t>2016, </w:t>
      </w:r>
      <w:r>
        <w:rPr>
          <w:w w:val="90"/>
        </w:rPr>
        <w:t>TReSI </w:t>
      </w:r>
      <w:r>
        <w:rPr>
          <w:w w:val="98"/>
        </w:rPr>
        <w:t>focused </w:t>
      </w:r>
      <w:r>
        <w:rPr>
          <w:w w:val="98"/>
        </w:rPr>
        <w:t>on </w:t>
      </w:r>
      <w:r>
        <w:rPr>
          <w:w w:val="96"/>
        </w:rPr>
        <w:t>early </w:t>
      </w:r>
      <w:r>
        <w:rPr/>
        <w:t>childhood services, and developing research methods and frameworks for translational research in Australia and worldwide.</w:t>
      </w:r>
    </w:p>
    <w:p>
      <w:pPr>
        <w:pStyle w:val="BodyText"/>
        <w:rPr>
          <w:sz w:val="14"/>
        </w:rPr>
      </w:pPr>
    </w:p>
    <w:p>
      <w:pPr>
        <w:pStyle w:val="BodyText"/>
        <w:spacing w:line="249" w:lineRule="auto"/>
        <w:ind w:left="107" w:right="149"/>
      </w:pPr>
      <w:r>
        <w:rPr/>
        <w:t>The Maternal Early Childhood Sustained Home-Visiting (MECSH) program continues</w:t>
      </w:r>
    </w:p>
    <w:p>
      <w:pPr>
        <w:pStyle w:val="BodyText"/>
        <w:spacing w:before="1"/>
        <w:rPr>
          <w:sz w:val="20"/>
        </w:rPr>
      </w:pPr>
      <w:r>
        <w:rPr/>
        <w:br w:type="column"/>
      </w:r>
      <w:r>
        <w:rPr>
          <w:sz w:val="20"/>
        </w:rPr>
      </w:r>
    </w:p>
    <w:p>
      <w:pPr>
        <w:pStyle w:val="BodyText"/>
        <w:spacing w:line="249" w:lineRule="auto"/>
        <w:ind w:left="107" w:right="158"/>
      </w:pPr>
      <w:r>
        <w:rPr/>
        <w:t>to</w:t>
      </w:r>
      <w:r>
        <w:rPr>
          <w:spacing w:val="-21"/>
        </w:rPr>
        <w:t> </w:t>
      </w:r>
      <w:r>
        <w:rPr/>
        <w:t>expand</w:t>
      </w:r>
      <w:r>
        <w:rPr>
          <w:spacing w:val="-21"/>
        </w:rPr>
        <w:t> </w:t>
      </w:r>
      <w:r>
        <w:rPr/>
        <w:t>internationally,</w:t>
      </w:r>
      <w:r>
        <w:rPr>
          <w:spacing w:val="-21"/>
        </w:rPr>
        <w:t> </w:t>
      </w:r>
      <w:r>
        <w:rPr/>
        <w:t>with</w:t>
      </w:r>
      <w:r>
        <w:rPr>
          <w:spacing w:val="-21"/>
        </w:rPr>
        <w:t> </w:t>
      </w:r>
      <w:r>
        <w:rPr/>
        <w:t>training</w:t>
      </w:r>
      <w:r>
        <w:rPr>
          <w:spacing w:val="-21"/>
        </w:rPr>
        <w:t> </w:t>
      </w:r>
      <w:r>
        <w:rPr/>
        <w:t>held</w:t>
      </w:r>
      <w:r>
        <w:rPr>
          <w:spacing w:val="-21"/>
        </w:rPr>
        <w:t> </w:t>
      </w:r>
      <w:r>
        <w:rPr/>
        <w:t>in the </w:t>
      </w:r>
      <w:r>
        <w:rPr>
          <w:spacing w:val="3"/>
        </w:rPr>
        <w:t>UK, </w:t>
      </w:r>
      <w:r>
        <w:rPr/>
        <w:t>the island of Jersey and the state of Vermont in the </w:t>
      </w:r>
      <w:r>
        <w:rPr>
          <w:spacing w:val="2"/>
        </w:rPr>
        <w:t>US. </w:t>
      </w:r>
      <w:r>
        <w:rPr/>
        <w:t>The </w:t>
      </w:r>
      <w:r>
        <w:rPr>
          <w:spacing w:val="2"/>
        </w:rPr>
        <w:t>MECSH </w:t>
      </w:r>
      <w:r>
        <w:rPr/>
        <w:t>Community of Practice Conference was held in Sydney with</w:t>
      </w:r>
      <w:r>
        <w:rPr>
          <w:spacing w:val="-14"/>
        </w:rPr>
        <w:t> </w:t>
      </w:r>
      <w:r>
        <w:rPr/>
        <w:t>80</w:t>
      </w:r>
      <w:r>
        <w:rPr>
          <w:spacing w:val="-14"/>
        </w:rPr>
        <w:t> </w:t>
      </w:r>
      <w:r>
        <w:rPr/>
        <w:t>delegates</w:t>
      </w:r>
      <w:r>
        <w:rPr>
          <w:spacing w:val="-14"/>
        </w:rPr>
        <w:t> </w:t>
      </w:r>
      <w:r>
        <w:rPr/>
        <w:t>from</w:t>
      </w:r>
      <w:r>
        <w:rPr>
          <w:spacing w:val="-14"/>
        </w:rPr>
        <w:t> </w:t>
      </w:r>
      <w:r>
        <w:rPr/>
        <w:t>across</w:t>
      </w:r>
      <w:r>
        <w:rPr>
          <w:spacing w:val="-14"/>
        </w:rPr>
        <w:t> </w:t>
      </w:r>
      <w:r>
        <w:rPr/>
        <w:t>the</w:t>
      </w:r>
      <w:r>
        <w:rPr>
          <w:spacing w:val="-14"/>
        </w:rPr>
        <w:t> </w:t>
      </w:r>
      <w:r>
        <w:rPr/>
        <w:t>globe.</w:t>
      </w:r>
    </w:p>
    <w:p>
      <w:pPr>
        <w:pStyle w:val="BodyText"/>
        <w:spacing w:line="249" w:lineRule="auto"/>
        <w:ind w:left="107" w:right="111"/>
      </w:pPr>
      <w:r>
        <w:rPr/>
        <w:t>The </w:t>
      </w:r>
      <w:r>
        <w:rPr>
          <w:spacing w:val="2"/>
        </w:rPr>
        <w:t>MECSH </w:t>
      </w:r>
      <w:r>
        <w:rPr/>
        <w:t>program continues to expand nationally,</w:t>
      </w:r>
      <w:r>
        <w:rPr>
          <w:spacing w:val="-22"/>
        </w:rPr>
        <w:t> </w:t>
      </w:r>
      <w:r>
        <w:rPr/>
        <w:t>with</w:t>
      </w:r>
      <w:r>
        <w:rPr>
          <w:spacing w:val="-22"/>
        </w:rPr>
        <w:t> </w:t>
      </w:r>
      <w:r>
        <w:rPr/>
        <w:t>implementation</w:t>
      </w:r>
      <w:r>
        <w:rPr>
          <w:spacing w:val="-22"/>
        </w:rPr>
        <w:t> </w:t>
      </w:r>
      <w:r>
        <w:rPr/>
        <w:t>in</w:t>
      </w:r>
      <w:r>
        <w:rPr>
          <w:spacing w:val="-22"/>
        </w:rPr>
        <w:t> </w:t>
      </w:r>
      <w:r>
        <w:rPr/>
        <w:t>the</w:t>
      </w:r>
      <w:r>
        <w:rPr>
          <w:spacing w:val="-22"/>
        </w:rPr>
        <w:t> </w:t>
      </w:r>
      <w:r>
        <w:rPr/>
        <w:t>Sydney Local Health District </w:t>
      </w:r>
      <w:r>
        <w:rPr>
          <w:spacing w:val="-3"/>
        </w:rPr>
        <w:t>(as </w:t>
      </w:r>
      <w:r>
        <w:rPr>
          <w:spacing w:val="2"/>
        </w:rPr>
        <w:t>part </w:t>
      </w:r>
      <w:r>
        <w:rPr/>
        <w:t>of its Healthy Children initiative) and the Southern NSW Local</w:t>
      </w:r>
      <w:r>
        <w:rPr>
          <w:spacing w:val="-15"/>
        </w:rPr>
        <w:t> </w:t>
      </w:r>
      <w:r>
        <w:rPr/>
        <w:t>Health</w:t>
      </w:r>
      <w:r>
        <w:rPr>
          <w:spacing w:val="-15"/>
        </w:rPr>
        <w:t> </w:t>
      </w:r>
      <w:r>
        <w:rPr/>
        <w:t>District</w:t>
      </w:r>
      <w:r>
        <w:rPr>
          <w:spacing w:val="-15"/>
        </w:rPr>
        <w:t> </w:t>
      </w:r>
      <w:r>
        <w:rPr/>
        <w:t>(SNSWLHD).</w:t>
      </w:r>
    </w:p>
    <w:p>
      <w:pPr>
        <w:pStyle w:val="BodyText"/>
        <w:rPr>
          <w:sz w:val="14"/>
        </w:rPr>
      </w:pPr>
    </w:p>
    <w:p>
      <w:pPr>
        <w:pStyle w:val="BodyText"/>
        <w:spacing w:line="249" w:lineRule="auto"/>
        <w:ind w:left="107" w:right="210"/>
      </w:pPr>
      <w:r>
        <w:rPr/>
        <w:t>Following completion of the right@home research</w:t>
      </w:r>
      <w:r>
        <w:rPr>
          <w:spacing w:val="-25"/>
        </w:rPr>
        <w:t> </w:t>
      </w:r>
      <w:r>
        <w:rPr/>
        <w:t>trial</w:t>
      </w:r>
      <w:r>
        <w:rPr>
          <w:spacing w:val="-25"/>
        </w:rPr>
        <w:t> </w:t>
      </w:r>
      <w:r>
        <w:rPr/>
        <w:t>in</w:t>
      </w:r>
      <w:r>
        <w:rPr>
          <w:spacing w:val="-25"/>
        </w:rPr>
        <w:t> </w:t>
      </w:r>
      <w:r>
        <w:rPr/>
        <w:t>Victoria</w:t>
      </w:r>
      <w:r>
        <w:rPr>
          <w:spacing w:val="-25"/>
        </w:rPr>
        <w:t> </w:t>
      </w:r>
      <w:r>
        <w:rPr/>
        <w:t>and</w:t>
      </w:r>
      <w:r>
        <w:rPr>
          <w:spacing w:val="-25"/>
        </w:rPr>
        <w:t> </w:t>
      </w:r>
      <w:r>
        <w:rPr/>
        <w:t>Tasmania,</w:t>
      </w:r>
      <w:r>
        <w:rPr>
          <w:spacing w:val="-25"/>
        </w:rPr>
        <w:t> </w:t>
      </w:r>
      <w:r>
        <w:rPr/>
        <w:t>TReSI has supported services to continue to offer the right@home </w:t>
      </w:r>
      <w:r>
        <w:rPr>
          <w:spacing w:val="2"/>
        </w:rPr>
        <w:t>MECSH-based </w:t>
      </w:r>
      <w:r>
        <w:rPr/>
        <w:t>program to families</w:t>
      </w:r>
      <w:r>
        <w:rPr>
          <w:spacing w:val="-20"/>
        </w:rPr>
        <w:t> </w:t>
      </w:r>
      <w:r>
        <w:rPr/>
        <w:t>in</w:t>
      </w:r>
      <w:r>
        <w:rPr>
          <w:spacing w:val="-20"/>
        </w:rPr>
        <w:t> </w:t>
      </w:r>
      <w:r>
        <w:rPr/>
        <w:t>the</w:t>
      </w:r>
      <w:r>
        <w:rPr>
          <w:spacing w:val="-20"/>
        </w:rPr>
        <w:t> </w:t>
      </w:r>
      <w:r>
        <w:rPr/>
        <w:t>community.</w:t>
      </w:r>
      <w:r>
        <w:rPr>
          <w:spacing w:val="-20"/>
        </w:rPr>
        <w:t> </w:t>
      </w:r>
      <w:r>
        <w:rPr/>
        <w:t>TReSI</w:t>
      </w:r>
      <w:r>
        <w:rPr>
          <w:spacing w:val="-20"/>
        </w:rPr>
        <w:t> </w:t>
      </w:r>
      <w:r>
        <w:rPr/>
        <w:t>is</w:t>
      </w:r>
      <w:r>
        <w:rPr>
          <w:spacing w:val="-20"/>
        </w:rPr>
        <w:t> </w:t>
      </w:r>
      <w:r>
        <w:rPr/>
        <w:t>leading</w:t>
      </w:r>
      <w:r>
        <w:rPr>
          <w:spacing w:val="-20"/>
        </w:rPr>
        <w:t> </w:t>
      </w:r>
      <w:r>
        <w:rPr/>
        <w:t>a partnership with the School of Business and the School of Medicine, and SWSLHD and SNSWLHD, to explore how child and family health</w:t>
      </w:r>
      <w:r>
        <w:rPr>
          <w:spacing w:val="-16"/>
        </w:rPr>
        <w:t> </w:t>
      </w:r>
      <w:r>
        <w:rPr/>
        <w:t>nursing</w:t>
      </w:r>
      <w:r>
        <w:rPr>
          <w:spacing w:val="-16"/>
        </w:rPr>
        <w:t> </w:t>
      </w:r>
      <w:r>
        <w:rPr/>
        <w:t>services</w:t>
      </w:r>
      <w:r>
        <w:rPr>
          <w:spacing w:val="-16"/>
        </w:rPr>
        <w:t> </w:t>
      </w:r>
      <w:r>
        <w:rPr/>
        <w:t>can</w:t>
      </w:r>
      <w:r>
        <w:rPr>
          <w:spacing w:val="-16"/>
        </w:rPr>
        <w:t> </w:t>
      </w:r>
      <w:r>
        <w:rPr/>
        <w:t>be</w:t>
      </w:r>
      <w:r>
        <w:rPr>
          <w:spacing w:val="-16"/>
        </w:rPr>
        <w:t> </w:t>
      </w:r>
      <w:r>
        <w:rPr/>
        <w:t>redesigned</w:t>
      </w:r>
      <w:r>
        <w:rPr>
          <w:spacing w:val="-16"/>
        </w:rPr>
        <w:t> </w:t>
      </w:r>
      <w:r>
        <w:rPr/>
        <w:t>to optimise the wellbeing of children. It is also working</w:t>
      </w:r>
      <w:r>
        <w:rPr>
          <w:spacing w:val="-12"/>
        </w:rPr>
        <w:t> </w:t>
      </w:r>
      <w:r>
        <w:rPr/>
        <w:t>with</w:t>
      </w:r>
      <w:r>
        <w:rPr>
          <w:spacing w:val="-12"/>
        </w:rPr>
        <w:t> </w:t>
      </w:r>
      <w:r>
        <w:rPr/>
        <w:t>SWSLHD</w:t>
      </w:r>
      <w:r>
        <w:rPr>
          <w:spacing w:val="-12"/>
        </w:rPr>
        <w:t> </w:t>
      </w:r>
      <w:r>
        <w:rPr/>
        <w:t>to</w:t>
      </w:r>
      <w:r>
        <w:rPr>
          <w:spacing w:val="-12"/>
        </w:rPr>
        <w:t> </w:t>
      </w:r>
      <w:r>
        <w:rPr/>
        <w:t>support</w:t>
      </w:r>
      <w:r>
        <w:rPr>
          <w:spacing w:val="-12"/>
        </w:rPr>
        <w:t> </w:t>
      </w:r>
      <w:r>
        <w:rPr/>
        <w:t>the</w:t>
      </w:r>
      <w:r>
        <w:rPr>
          <w:spacing w:val="-12"/>
        </w:rPr>
        <w:t> </w:t>
      </w:r>
      <w:r>
        <w:rPr/>
        <w:t>health of</w:t>
      </w:r>
      <w:r>
        <w:rPr>
          <w:spacing w:val="-18"/>
        </w:rPr>
        <w:t> </w:t>
      </w:r>
      <w:r>
        <w:rPr/>
        <w:t>children</w:t>
      </w:r>
      <w:r>
        <w:rPr>
          <w:spacing w:val="-18"/>
        </w:rPr>
        <w:t> </w:t>
      </w:r>
      <w:r>
        <w:rPr/>
        <w:t>up</w:t>
      </w:r>
      <w:r>
        <w:rPr>
          <w:spacing w:val="-18"/>
        </w:rPr>
        <w:t> </w:t>
      </w:r>
      <w:r>
        <w:rPr/>
        <w:t>to</w:t>
      </w:r>
      <w:r>
        <w:rPr>
          <w:spacing w:val="-18"/>
        </w:rPr>
        <w:t> </w:t>
      </w:r>
      <w:r>
        <w:rPr/>
        <w:t>age</w:t>
      </w:r>
      <w:r>
        <w:rPr>
          <w:spacing w:val="-18"/>
        </w:rPr>
        <w:t> </w:t>
      </w:r>
      <w:r>
        <w:rPr/>
        <w:t>five.</w:t>
      </w:r>
    </w:p>
    <w:p>
      <w:pPr>
        <w:pStyle w:val="BodyText"/>
        <w:spacing w:before="6"/>
        <w:rPr>
          <w:sz w:val="14"/>
        </w:rPr>
      </w:pPr>
    </w:p>
    <w:p>
      <w:pPr>
        <w:pStyle w:val="Heading7"/>
        <w:spacing w:line="249" w:lineRule="auto"/>
        <w:ind w:right="0"/>
      </w:pPr>
      <w:r>
        <w:rPr>
          <w:color w:val="615C58"/>
          <w:w w:val="95"/>
        </w:rPr>
        <w:t>Collaboration for Oral Health Outcomes, Research, Translation &amp; Evaluation</w:t>
      </w:r>
    </w:p>
    <w:p>
      <w:pPr>
        <w:pStyle w:val="BodyText"/>
        <w:spacing w:line="249" w:lineRule="auto" w:before="79"/>
        <w:ind w:left="107" w:right="111"/>
      </w:pPr>
      <w:r>
        <w:rPr/>
        <w:t>Collaboration for Oral Health Outcomes, Research, Translation &amp; Evaluation (COHORTE)</w:t>
      </w:r>
      <w:r>
        <w:rPr>
          <w:spacing w:val="-16"/>
        </w:rPr>
        <w:t> </w:t>
      </w:r>
      <w:r>
        <w:rPr/>
        <w:t>is</w:t>
      </w:r>
      <w:r>
        <w:rPr>
          <w:spacing w:val="-16"/>
        </w:rPr>
        <w:t> </w:t>
      </w:r>
      <w:r>
        <w:rPr/>
        <w:t>the</w:t>
      </w:r>
      <w:r>
        <w:rPr>
          <w:spacing w:val="-16"/>
        </w:rPr>
        <w:t> </w:t>
      </w:r>
      <w:r>
        <w:rPr/>
        <w:t>first</w:t>
      </w:r>
      <w:r>
        <w:rPr>
          <w:spacing w:val="-16"/>
        </w:rPr>
        <w:t> </w:t>
      </w:r>
      <w:r>
        <w:rPr/>
        <w:t>of</w:t>
      </w:r>
      <w:r>
        <w:rPr>
          <w:spacing w:val="-16"/>
        </w:rPr>
        <w:t> </w:t>
      </w:r>
      <w:r>
        <w:rPr/>
        <w:t>its</w:t>
      </w:r>
      <w:r>
        <w:rPr>
          <w:spacing w:val="-16"/>
        </w:rPr>
        <w:t> </w:t>
      </w:r>
      <w:r>
        <w:rPr/>
        <w:t>kind</w:t>
      </w:r>
      <w:r>
        <w:rPr>
          <w:spacing w:val="-16"/>
        </w:rPr>
        <w:t> </w:t>
      </w:r>
      <w:r>
        <w:rPr/>
        <w:t>in</w:t>
      </w:r>
      <w:r>
        <w:rPr>
          <w:spacing w:val="-16"/>
        </w:rPr>
        <w:t> </w:t>
      </w:r>
      <w:r>
        <w:rPr/>
        <w:t>Australia, engaging</w:t>
      </w:r>
      <w:r>
        <w:rPr>
          <w:spacing w:val="-24"/>
        </w:rPr>
        <w:t> </w:t>
      </w:r>
      <w:r>
        <w:rPr>
          <w:spacing w:val="2"/>
        </w:rPr>
        <w:t>non-oral</w:t>
      </w:r>
      <w:r>
        <w:rPr>
          <w:spacing w:val="-24"/>
        </w:rPr>
        <w:t> </w:t>
      </w:r>
      <w:r>
        <w:rPr/>
        <w:t>health</w:t>
      </w:r>
      <w:r>
        <w:rPr>
          <w:spacing w:val="-24"/>
        </w:rPr>
        <w:t> </w:t>
      </w:r>
      <w:r>
        <w:rPr/>
        <w:t>professionals</w:t>
      </w:r>
    </w:p>
    <w:p>
      <w:pPr>
        <w:pStyle w:val="BodyText"/>
        <w:spacing w:line="249" w:lineRule="auto"/>
        <w:ind w:left="107" w:right="116"/>
      </w:pPr>
      <w:r>
        <w:rPr/>
        <w:t>to focus on population oral health. It was </w:t>
      </w:r>
      <w:r>
        <w:rPr>
          <w:w w:val="97"/>
        </w:rPr>
        <w:t>established </w:t>
      </w:r>
      <w:r>
        <w:rPr>
          <w:w w:val="95"/>
        </w:rPr>
        <w:t>in </w:t>
      </w:r>
      <w:r>
        <w:rPr>
          <w:w w:val="88"/>
        </w:rPr>
        <w:t>2015 </w:t>
      </w:r>
      <w:r>
        <w:rPr>
          <w:w w:val="94"/>
        </w:rPr>
        <w:t>as </w:t>
      </w:r>
      <w:r>
        <w:rPr>
          <w:w w:val="95"/>
        </w:rPr>
        <w:t>an </w:t>
      </w:r>
      <w:r>
        <w:rPr>
          <w:w w:val="97"/>
        </w:rPr>
        <w:t>interdisciplinary </w:t>
      </w:r>
      <w:r>
        <w:rPr/>
        <w:t>collaboration between the School and SWSLHD Oral Health Services. The group’s primary focus is on training students and clinicians from the nursing, midwifery and medicine disciplines to provide oral health education, screening and referrals to patients across various clinical services. The group has eight research streams (cardiovascular</w:t>
      </w:r>
    </w:p>
    <w:p>
      <w:pPr>
        <w:pStyle w:val="BodyText"/>
        <w:spacing w:line="249" w:lineRule="auto"/>
        <w:ind w:left="107" w:right="102"/>
      </w:pPr>
      <w:r>
        <w:rPr/>
        <w:t>health,</w:t>
      </w:r>
      <w:r>
        <w:rPr>
          <w:spacing w:val="-33"/>
        </w:rPr>
        <w:t> </w:t>
      </w:r>
      <w:r>
        <w:rPr/>
        <w:t>diabetes,</w:t>
      </w:r>
      <w:r>
        <w:rPr>
          <w:spacing w:val="-33"/>
        </w:rPr>
        <w:t> </w:t>
      </w:r>
      <w:r>
        <w:rPr/>
        <w:t>stroke,</w:t>
      </w:r>
      <w:r>
        <w:rPr>
          <w:spacing w:val="-33"/>
        </w:rPr>
        <w:t> </w:t>
      </w:r>
      <w:r>
        <w:rPr/>
        <w:t>maternity,</w:t>
      </w:r>
      <w:r>
        <w:rPr>
          <w:spacing w:val="-33"/>
        </w:rPr>
        <w:t> </w:t>
      </w:r>
      <w:r>
        <w:rPr/>
        <w:t>paediatrics, intellectual disability, aboriginal health and aged/palliative care) led by senior academics and</w:t>
      </w:r>
      <w:r>
        <w:rPr>
          <w:spacing w:val="-19"/>
        </w:rPr>
        <w:t> </w:t>
      </w:r>
      <w:r>
        <w:rPr>
          <w:spacing w:val="2"/>
        </w:rPr>
        <w:t>HDR</w:t>
      </w:r>
      <w:r>
        <w:rPr>
          <w:spacing w:val="-19"/>
        </w:rPr>
        <w:t> </w:t>
      </w:r>
      <w:r>
        <w:rPr/>
        <w:t>students</w:t>
      </w:r>
      <w:r>
        <w:rPr>
          <w:spacing w:val="-19"/>
        </w:rPr>
        <w:t> </w:t>
      </w:r>
      <w:r>
        <w:rPr/>
        <w:t>from</w:t>
      </w:r>
      <w:r>
        <w:rPr>
          <w:spacing w:val="-19"/>
        </w:rPr>
        <w:t> </w:t>
      </w:r>
      <w:r>
        <w:rPr/>
        <w:t>the</w:t>
      </w:r>
      <w:r>
        <w:rPr>
          <w:spacing w:val="-19"/>
        </w:rPr>
        <w:t> </w:t>
      </w:r>
      <w:r>
        <w:rPr>
          <w:spacing w:val="3"/>
        </w:rPr>
        <w:t>SoNM.</w:t>
      </w:r>
    </w:p>
    <w:p>
      <w:pPr>
        <w:pStyle w:val="BodyText"/>
        <w:rPr>
          <w:sz w:val="14"/>
        </w:rPr>
      </w:pPr>
    </w:p>
    <w:p>
      <w:pPr>
        <w:pStyle w:val="BodyText"/>
        <w:spacing w:line="249" w:lineRule="auto"/>
        <w:ind w:left="107" w:right="230"/>
      </w:pPr>
      <w:r>
        <w:rPr/>
        <w:t>In the span of 15 months, the group has established itself as a leading translation oral</w:t>
      </w:r>
      <w:r>
        <w:rPr>
          <w:spacing w:val="-18"/>
        </w:rPr>
        <w:t> </w:t>
      </w:r>
      <w:r>
        <w:rPr/>
        <w:t>health</w:t>
      </w:r>
      <w:r>
        <w:rPr>
          <w:spacing w:val="-18"/>
        </w:rPr>
        <w:t> </w:t>
      </w:r>
      <w:r>
        <w:rPr/>
        <w:t>research</w:t>
      </w:r>
      <w:r>
        <w:rPr>
          <w:spacing w:val="-18"/>
        </w:rPr>
        <w:t> </w:t>
      </w:r>
      <w:r>
        <w:rPr/>
        <w:t>group</w:t>
      </w:r>
      <w:r>
        <w:rPr>
          <w:spacing w:val="-18"/>
        </w:rPr>
        <w:t> </w:t>
      </w:r>
      <w:r>
        <w:rPr/>
        <w:t>in</w:t>
      </w:r>
      <w:r>
        <w:rPr>
          <w:spacing w:val="-18"/>
        </w:rPr>
        <w:t> </w:t>
      </w:r>
      <w:r>
        <w:rPr/>
        <w:t>NSW,</w:t>
      </w:r>
      <w:r>
        <w:rPr>
          <w:spacing w:val="-18"/>
        </w:rPr>
        <w:t> </w:t>
      </w:r>
      <w:r>
        <w:rPr/>
        <w:t>working with key government bodies and industry partners</w:t>
      </w:r>
      <w:r>
        <w:rPr>
          <w:spacing w:val="-13"/>
        </w:rPr>
        <w:t> </w:t>
      </w:r>
      <w:r>
        <w:rPr/>
        <w:t>to</w:t>
      </w:r>
      <w:r>
        <w:rPr>
          <w:spacing w:val="-13"/>
        </w:rPr>
        <w:t> </w:t>
      </w:r>
      <w:r>
        <w:rPr/>
        <w:t>improve</w:t>
      </w:r>
      <w:r>
        <w:rPr>
          <w:spacing w:val="-13"/>
        </w:rPr>
        <w:t> </w:t>
      </w:r>
      <w:r>
        <w:rPr/>
        <w:t>clinical</w:t>
      </w:r>
      <w:r>
        <w:rPr>
          <w:spacing w:val="-13"/>
        </w:rPr>
        <w:t> </w:t>
      </w:r>
      <w:r>
        <w:rPr/>
        <w:t>practice</w:t>
      </w:r>
    </w:p>
    <w:p>
      <w:pPr>
        <w:pStyle w:val="BodyText"/>
        <w:spacing w:line="249" w:lineRule="auto"/>
        <w:ind w:left="107" w:right="277"/>
      </w:pPr>
      <w:r>
        <w:rPr/>
        <w:t>and develop evidence-based oral health promotion resources. COHORTE had major progress with two educational programs</w:t>
      </w:r>
    </w:p>
    <w:p>
      <w:pPr>
        <w:pStyle w:val="BodyText"/>
        <w:spacing w:line="192" w:lineRule="exact"/>
        <w:ind w:left="107"/>
      </w:pPr>
      <w:r>
        <w:rPr>
          <w:spacing w:val="1"/>
          <w:w w:val="95"/>
        </w:rPr>
        <w:t>i</w:t>
      </w:r>
      <w:r>
        <w:rPr>
          <w:w w:val="95"/>
        </w:rPr>
        <w:t>n</w:t>
      </w:r>
      <w:r>
        <w:rPr>
          <w:spacing w:val="-12"/>
        </w:rPr>
        <w:t> </w:t>
      </w:r>
      <w:r>
        <w:rPr>
          <w:spacing w:val="2"/>
          <w:w w:val="93"/>
        </w:rPr>
        <w:t>2</w:t>
      </w:r>
      <w:r>
        <w:rPr>
          <w:spacing w:val="1"/>
          <w:w w:val="111"/>
        </w:rPr>
        <w:t>0</w:t>
      </w:r>
      <w:r>
        <w:rPr>
          <w:spacing w:val="4"/>
          <w:w w:val="54"/>
        </w:rPr>
        <w:t>1</w:t>
      </w:r>
      <w:r>
        <w:rPr>
          <w:spacing w:val="4"/>
          <w:w w:val="101"/>
        </w:rPr>
        <w:t>6</w:t>
      </w:r>
      <w:r>
        <w:rPr>
          <w:w w:val="68"/>
        </w:rPr>
        <w:t>.</w:t>
      </w:r>
      <w:r>
        <w:rPr>
          <w:spacing w:val="-12"/>
        </w:rPr>
        <w:t> </w:t>
      </w:r>
      <w:r>
        <w:rPr>
          <w:spacing w:val="2"/>
          <w:w w:val="92"/>
        </w:rPr>
        <w:t>T</w:t>
      </w:r>
      <w:r>
        <w:rPr>
          <w:spacing w:val="2"/>
          <w:w w:val="95"/>
        </w:rPr>
        <w:t>h</w:t>
      </w:r>
      <w:r>
        <w:rPr>
          <w:w w:val="95"/>
        </w:rPr>
        <w:t>e</w:t>
      </w:r>
      <w:r>
        <w:rPr>
          <w:spacing w:val="-12"/>
        </w:rPr>
        <w:t> </w:t>
      </w:r>
      <w:r>
        <w:rPr>
          <w:spacing w:val="2"/>
          <w:w w:val="97"/>
        </w:rPr>
        <w:t>M</w:t>
      </w:r>
      <w:r>
        <w:rPr>
          <w:spacing w:val="1"/>
          <w:w w:val="95"/>
        </w:rPr>
        <w:t>i</w:t>
      </w:r>
      <w:r>
        <w:rPr>
          <w:spacing w:val="1"/>
          <w:w w:val="102"/>
        </w:rPr>
        <w:t>d</w:t>
      </w:r>
      <w:r>
        <w:rPr>
          <w:w w:val="101"/>
        </w:rPr>
        <w:t>w</w:t>
      </w:r>
      <w:r>
        <w:rPr>
          <w:w w:val="95"/>
        </w:rPr>
        <w:t>i</w:t>
      </w:r>
      <w:r>
        <w:rPr>
          <w:w w:val="98"/>
        </w:rPr>
        <w:t>f</w:t>
      </w:r>
      <w:r>
        <w:rPr>
          <w:spacing w:val="2"/>
          <w:w w:val="95"/>
        </w:rPr>
        <w:t>e</w:t>
      </w:r>
      <w:r>
        <w:rPr>
          <w:spacing w:val="5"/>
          <w:w w:val="95"/>
        </w:rPr>
        <w:t>r</w:t>
      </w:r>
      <w:r>
        <w:rPr>
          <w:w w:val="101"/>
        </w:rPr>
        <w:t>y</w:t>
      </w:r>
      <w:r>
        <w:rPr>
          <w:spacing w:val="-12"/>
        </w:rPr>
        <w:t> </w:t>
      </w:r>
      <w:r>
        <w:rPr>
          <w:spacing w:val="2"/>
          <w:w w:val="64"/>
        </w:rPr>
        <w:t>I</w:t>
      </w:r>
      <w:r>
        <w:rPr>
          <w:spacing w:val="1"/>
          <w:w w:val="95"/>
        </w:rPr>
        <w:t>n</w:t>
      </w:r>
      <w:r>
        <w:rPr>
          <w:w w:val="95"/>
        </w:rPr>
        <w:t>i</w:t>
      </w:r>
      <w:r>
        <w:rPr>
          <w:w w:val="102"/>
        </w:rPr>
        <w:t>t</w:t>
      </w:r>
      <w:r>
        <w:rPr>
          <w:spacing w:val="1"/>
          <w:w w:val="95"/>
        </w:rPr>
        <w:t>i</w:t>
      </w:r>
      <w:r>
        <w:rPr>
          <w:w w:val="94"/>
        </w:rPr>
        <w:t>a</w:t>
      </w:r>
      <w:r>
        <w:rPr>
          <w:spacing w:val="-2"/>
          <w:w w:val="102"/>
        </w:rPr>
        <w:t>t</w:t>
      </w:r>
      <w:r>
        <w:rPr>
          <w:spacing w:val="3"/>
          <w:w w:val="95"/>
        </w:rPr>
        <w:t>e</w:t>
      </w:r>
      <w:r>
        <w:rPr>
          <w:w w:val="102"/>
        </w:rPr>
        <w:t>d</w:t>
      </w:r>
      <w:r>
        <w:rPr>
          <w:spacing w:val="-12"/>
        </w:rPr>
        <w:t> </w:t>
      </w:r>
      <w:r>
        <w:rPr>
          <w:spacing w:val="3"/>
          <w:w w:val="100"/>
        </w:rPr>
        <w:t>O</w:t>
      </w:r>
      <w:r>
        <w:rPr>
          <w:spacing w:val="2"/>
          <w:w w:val="95"/>
        </w:rPr>
        <w:t>r</w:t>
      </w:r>
      <w:r>
        <w:rPr>
          <w:spacing w:val="2"/>
          <w:w w:val="94"/>
        </w:rPr>
        <w:t>a</w:t>
      </w:r>
      <w:r>
        <w:rPr>
          <w:w w:val="95"/>
        </w:rPr>
        <w:t>l</w:t>
      </w:r>
      <w:r>
        <w:rPr>
          <w:spacing w:val="-12"/>
        </w:rPr>
        <w:t> </w:t>
      </w:r>
      <w:r>
        <w:rPr>
          <w:spacing w:val="3"/>
          <w:w w:val="96"/>
        </w:rPr>
        <w:t>H</w:t>
      </w:r>
      <w:r>
        <w:rPr>
          <w:spacing w:val="2"/>
          <w:w w:val="95"/>
        </w:rPr>
        <w:t>e</w:t>
      </w:r>
      <w:r>
        <w:rPr>
          <w:spacing w:val="2"/>
          <w:w w:val="94"/>
        </w:rPr>
        <w:t>a</w:t>
      </w:r>
      <w:r>
        <w:rPr>
          <w:w w:val="95"/>
        </w:rPr>
        <w:t>l</w:t>
      </w:r>
      <w:r>
        <w:rPr>
          <w:w w:val="102"/>
        </w:rPr>
        <w:t>t</w:t>
      </w:r>
      <w:r>
        <w:rPr>
          <w:w w:val="95"/>
        </w:rPr>
        <w:t>h</w:t>
      </w:r>
    </w:p>
    <w:p>
      <w:pPr>
        <w:spacing w:after="0" w:line="192" w:lineRule="exact"/>
        <w:sectPr>
          <w:type w:val="continuous"/>
          <w:pgSz w:w="11910" w:h="16840"/>
          <w:pgMar w:top="1580" w:bottom="280" w:left="800" w:right="800"/>
          <w:cols w:num="3" w:equalWidth="0">
            <w:col w:w="3296" w:space="143"/>
            <w:col w:w="3320" w:space="119"/>
            <w:col w:w="3432"/>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323"/>
      </w:pPr>
      <w:r>
        <w:rPr>
          <w:spacing w:val="2"/>
        </w:rPr>
        <w:t>(MIOH) </w:t>
      </w:r>
      <w:r>
        <w:rPr/>
        <w:t>program for practising midwives was commercialised with the University and</w:t>
      </w:r>
      <w:r>
        <w:rPr>
          <w:spacing w:val="-17"/>
        </w:rPr>
        <w:t> </w:t>
      </w:r>
      <w:r>
        <w:rPr/>
        <w:t>is</w:t>
      </w:r>
      <w:r>
        <w:rPr>
          <w:spacing w:val="-17"/>
        </w:rPr>
        <w:t> </w:t>
      </w:r>
      <w:r>
        <w:rPr/>
        <w:t>being</w:t>
      </w:r>
      <w:r>
        <w:rPr>
          <w:spacing w:val="-17"/>
        </w:rPr>
        <w:t> </w:t>
      </w:r>
      <w:r>
        <w:rPr/>
        <w:t>rolled</w:t>
      </w:r>
      <w:r>
        <w:rPr>
          <w:spacing w:val="-17"/>
        </w:rPr>
        <w:t> </w:t>
      </w:r>
      <w:r>
        <w:rPr/>
        <w:t>out</w:t>
      </w:r>
      <w:r>
        <w:rPr>
          <w:spacing w:val="-17"/>
        </w:rPr>
        <w:t> </w:t>
      </w:r>
      <w:r>
        <w:rPr/>
        <w:t>in</w:t>
      </w:r>
      <w:r>
        <w:rPr>
          <w:spacing w:val="-17"/>
        </w:rPr>
        <w:t> </w:t>
      </w:r>
      <w:r>
        <w:rPr/>
        <w:t>Victoria.</w:t>
      </w:r>
      <w:r>
        <w:rPr>
          <w:spacing w:val="-17"/>
        </w:rPr>
        <w:t> </w:t>
      </w:r>
      <w:r>
        <w:rPr/>
        <w:t>Further, an</w:t>
      </w:r>
      <w:r>
        <w:rPr>
          <w:spacing w:val="-17"/>
        </w:rPr>
        <w:t> </w:t>
      </w:r>
      <w:r>
        <w:rPr/>
        <w:t>oral</w:t>
      </w:r>
      <w:r>
        <w:rPr>
          <w:spacing w:val="-17"/>
        </w:rPr>
        <w:t> </w:t>
      </w:r>
      <w:r>
        <w:rPr/>
        <w:t>health</w:t>
      </w:r>
      <w:r>
        <w:rPr>
          <w:spacing w:val="-17"/>
        </w:rPr>
        <w:t> </w:t>
      </w:r>
      <w:r>
        <w:rPr/>
        <w:t>education</w:t>
      </w:r>
      <w:r>
        <w:rPr>
          <w:spacing w:val="-17"/>
        </w:rPr>
        <w:t> </w:t>
      </w:r>
      <w:r>
        <w:rPr/>
        <w:t>module</w:t>
      </w:r>
      <w:r>
        <w:rPr>
          <w:spacing w:val="-17"/>
        </w:rPr>
        <w:t> </w:t>
      </w:r>
      <w:r>
        <w:rPr/>
        <w:t>was</w:t>
      </w:r>
    </w:p>
    <w:p>
      <w:pPr>
        <w:pStyle w:val="BodyText"/>
        <w:spacing w:line="249" w:lineRule="auto"/>
        <w:ind w:left="107" w:right="-2"/>
      </w:pPr>
      <w:r>
        <w:rPr/>
        <w:t>incorporated</w:t>
      </w:r>
      <w:r>
        <w:rPr>
          <w:spacing w:val="-15"/>
        </w:rPr>
        <w:t> </w:t>
      </w:r>
      <w:r>
        <w:rPr/>
        <w:t>into</w:t>
      </w:r>
      <w:r>
        <w:rPr>
          <w:spacing w:val="-15"/>
        </w:rPr>
        <w:t> </w:t>
      </w:r>
      <w:r>
        <w:rPr/>
        <w:t>a</w:t>
      </w:r>
      <w:r>
        <w:rPr>
          <w:spacing w:val="-15"/>
        </w:rPr>
        <w:t> </w:t>
      </w:r>
      <w:r>
        <w:rPr/>
        <w:t>Master</w:t>
      </w:r>
      <w:r>
        <w:rPr>
          <w:spacing w:val="-15"/>
        </w:rPr>
        <w:t> </w:t>
      </w:r>
      <w:r>
        <w:rPr/>
        <w:t>of</w:t>
      </w:r>
      <w:r>
        <w:rPr>
          <w:spacing w:val="-15"/>
        </w:rPr>
        <w:t> </w:t>
      </w:r>
      <w:r>
        <w:rPr/>
        <w:t>Child</w:t>
      </w:r>
      <w:r>
        <w:rPr>
          <w:spacing w:val="-15"/>
        </w:rPr>
        <w:t> </w:t>
      </w:r>
      <w:r>
        <w:rPr/>
        <w:t>and</w:t>
      </w:r>
      <w:r>
        <w:rPr>
          <w:spacing w:val="-15"/>
        </w:rPr>
        <w:t> </w:t>
      </w:r>
      <w:r>
        <w:rPr/>
        <w:t>Family Health course for the first time in Australia, resulting in the development of a training DVD</w:t>
      </w:r>
      <w:r>
        <w:rPr>
          <w:spacing w:val="-13"/>
        </w:rPr>
        <w:t> </w:t>
      </w:r>
      <w:r>
        <w:rPr/>
        <w:t>that</w:t>
      </w:r>
      <w:r>
        <w:rPr>
          <w:spacing w:val="-13"/>
        </w:rPr>
        <w:t> </w:t>
      </w:r>
      <w:r>
        <w:rPr/>
        <w:t>was</w:t>
      </w:r>
      <w:r>
        <w:rPr>
          <w:spacing w:val="-13"/>
        </w:rPr>
        <w:t> </w:t>
      </w:r>
      <w:r>
        <w:rPr/>
        <w:t>endorsed</w:t>
      </w:r>
      <w:r>
        <w:rPr>
          <w:spacing w:val="-13"/>
        </w:rPr>
        <w:t> </w:t>
      </w:r>
      <w:r>
        <w:rPr/>
        <w:t>by</w:t>
      </w:r>
      <w:r>
        <w:rPr>
          <w:spacing w:val="-13"/>
        </w:rPr>
        <w:t> </w:t>
      </w:r>
      <w:r>
        <w:rPr/>
        <w:t>NSW</w:t>
      </w:r>
      <w:r>
        <w:rPr>
          <w:spacing w:val="-13"/>
        </w:rPr>
        <w:t> </w:t>
      </w:r>
      <w:r>
        <w:rPr/>
        <w:t>Health</w:t>
      </w:r>
      <w:r>
        <w:rPr>
          <w:spacing w:val="-13"/>
        </w:rPr>
        <w:t> </w:t>
      </w:r>
      <w:r>
        <w:rPr/>
        <w:t>and</w:t>
      </w:r>
    </w:p>
    <w:p>
      <w:pPr>
        <w:pStyle w:val="BodyText"/>
        <w:spacing w:line="249" w:lineRule="auto"/>
        <w:ind w:left="107" w:right="222"/>
      </w:pPr>
      <w:r>
        <w:rPr/>
        <w:t>is being distributed across the state. The </w:t>
      </w:r>
      <w:r>
        <w:rPr>
          <w:w w:val="99"/>
        </w:rPr>
        <w:t>group </w:t>
      </w:r>
      <w:r>
        <w:rPr>
          <w:w w:val="98"/>
        </w:rPr>
        <w:t>received </w:t>
      </w:r>
      <w:r>
        <w:rPr>
          <w:w w:val="97"/>
        </w:rPr>
        <w:t>five </w:t>
      </w:r>
      <w:r>
        <w:rPr>
          <w:w w:val="97"/>
        </w:rPr>
        <w:t>grants </w:t>
      </w:r>
      <w:r>
        <w:rPr>
          <w:w w:val="95"/>
        </w:rPr>
        <w:t>in </w:t>
      </w:r>
      <w:r>
        <w:rPr>
          <w:w w:val="85"/>
        </w:rPr>
        <w:t>2016, </w:t>
      </w:r>
      <w:r>
        <w:rPr>
          <w:w w:val="98"/>
        </w:rPr>
        <w:t>totalling</w:t>
      </w:r>
    </w:p>
    <w:p>
      <w:pPr>
        <w:pStyle w:val="BodyText"/>
        <w:spacing w:line="249" w:lineRule="auto"/>
        <w:ind w:left="107" w:right="4"/>
      </w:pPr>
      <w:r>
        <w:rPr>
          <w:w w:val="90"/>
        </w:rPr>
        <w:t>$215,000, </w:t>
      </w:r>
      <w:r>
        <w:rPr>
          <w:w w:val="97"/>
        </w:rPr>
        <w:t>including </w:t>
      </w:r>
      <w:r>
        <w:rPr>
          <w:w w:val="94"/>
        </w:rPr>
        <w:t>a </w:t>
      </w:r>
      <w:r>
        <w:rPr>
          <w:w w:val="99"/>
        </w:rPr>
        <w:t>Category </w:t>
      </w:r>
      <w:r>
        <w:rPr>
          <w:w w:val="54"/>
        </w:rPr>
        <w:t>1 </w:t>
      </w:r>
      <w:r>
        <w:rPr>
          <w:w w:val="98"/>
        </w:rPr>
        <w:t>grant </w:t>
      </w:r>
      <w:r>
        <w:rPr>
          <w:w w:val="98"/>
        </w:rPr>
        <w:t>from </w:t>
      </w:r>
      <w:r>
        <w:rPr/>
        <w:t>the Financial Markets Foundation for Children and four Category 2 grants from NSW Health and Department of Health and Human Services in Victoria.</w:t>
      </w:r>
    </w:p>
    <w:p>
      <w:pPr>
        <w:pStyle w:val="BodyText"/>
        <w:spacing w:before="6"/>
        <w:rPr>
          <w:sz w:val="14"/>
        </w:rPr>
      </w:pPr>
    </w:p>
    <w:p>
      <w:pPr>
        <w:pStyle w:val="Heading7"/>
        <w:spacing w:line="249" w:lineRule="auto"/>
        <w:ind w:right="-11"/>
      </w:pPr>
      <w:r>
        <w:rPr>
          <w:color w:val="615C58"/>
        </w:rPr>
        <w:t>New</w:t>
      </w:r>
      <w:r>
        <w:rPr>
          <w:color w:val="615C58"/>
          <w:spacing w:val="-22"/>
        </w:rPr>
        <w:t> </w:t>
      </w:r>
      <w:r>
        <w:rPr>
          <w:color w:val="615C58"/>
          <w:spacing w:val="2"/>
        </w:rPr>
        <w:t>South</w:t>
      </w:r>
      <w:r>
        <w:rPr>
          <w:color w:val="615C58"/>
          <w:spacing w:val="-22"/>
        </w:rPr>
        <w:t> </w:t>
      </w:r>
      <w:r>
        <w:rPr>
          <w:color w:val="615C58"/>
        </w:rPr>
        <w:t>Wales</w:t>
      </w:r>
      <w:r>
        <w:rPr>
          <w:color w:val="615C58"/>
          <w:spacing w:val="-22"/>
        </w:rPr>
        <w:t> </w:t>
      </w:r>
      <w:r>
        <w:rPr>
          <w:color w:val="615C58"/>
        </w:rPr>
        <w:t>Centre</w:t>
      </w:r>
      <w:r>
        <w:rPr>
          <w:color w:val="615C58"/>
          <w:spacing w:val="-22"/>
        </w:rPr>
        <w:t> </w:t>
      </w:r>
      <w:r>
        <w:rPr>
          <w:color w:val="615C58"/>
        </w:rPr>
        <w:t>for</w:t>
      </w:r>
      <w:r>
        <w:rPr>
          <w:color w:val="615C58"/>
          <w:spacing w:val="-22"/>
        </w:rPr>
        <w:t> </w:t>
      </w:r>
      <w:r>
        <w:rPr>
          <w:color w:val="615C58"/>
        </w:rPr>
        <w:t>Evidence</w:t>
      </w:r>
      <w:r>
        <w:rPr>
          <w:color w:val="615C58"/>
          <w:spacing w:val="-22"/>
        </w:rPr>
        <w:t> </w:t>
      </w:r>
      <w:r>
        <w:rPr>
          <w:color w:val="615C58"/>
          <w:spacing w:val="2"/>
        </w:rPr>
        <w:t>Based </w:t>
      </w:r>
      <w:r>
        <w:rPr>
          <w:color w:val="615C58"/>
          <w:spacing w:val="2"/>
          <w:w w:val="95"/>
        </w:rPr>
        <w:t>Health</w:t>
      </w:r>
      <w:r>
        <w:rPr>
          <w:color w:val="615C58"/>
          <w:spacing w:val="-2"/>
          <w:w w:val="95"/>
        </w:rPr>
        <w:t> </w:t>
      </w:r>
      <w:r>
        <w:rPr>
          <w:color w:val="615C58"/>
          <w:spacing w:val="2"/>
          <w:w w:val="95"/>
        </w:rPr>
        <w:t>Care</w:t>
      </w:r>
    </w:p>
    <w:p>
      <w:pPr>
        <w:pStyle w:val="BodyText"/>
        <w:spacing w:line="249" w:lineRule="auto" w:before="79"/>
        <w:ind w:left="107" w:right="41"/>
      </w:pPr>
      <w:r>
        <w:rPr/>
        <w:t>The School also continues to host the New South Wales Centre for Evidence Based Health Care, which is the NSW collaboration centre for the Joanna Briggs Institute. The Institute has collaboration centres in 65 countries, and the number of centres is increasing, which provides opportunities for international research collaborations. These research concentrations are closely aligned with national health and research priorities, contributing to innovations in models of care and health service environments.</w:t>
      </w:r>
    </w:p>
    <w:p>
      <w:pPr>
        <w:pStyle w:val="BodyText"/>
        <w:spacing w:before="6"/>
        <w:rPr>
          <w:sz w:val="14"/>
        </w:rPr>
      </w:pPr>
    </w:p>
    <w:p>
      <w:pPr>
        <w:pStyle w:val="Heading7"/>
        <w:spacing w:line="249" w:lineRule="auto"/>
        <w:ind w:right="1110"/>
      </w:pPr>
      <w:r>
        <w:rPr>
          <w:color w:val="615C58"/>
        </w:rPr>
        <w:t>Mother Infant &amp; Family </w:t>
      </w:r>
      <w:r>
        <w:rPr>
          <w:color w:val="615C58"/>
          <w:w w:val="95"/>
        </w:rPr>
        <w:t>Health Research Network</w:t>
      </w:r>
    </w:p>
    <w:p>
      <w:pPr>
        <w:pStyle w:val="BodyText"/>
        <w:spacing w:line="249" w:lineRule="auto" w:before="79"/>
        <w:ind w:left="107" w:right="15"/>
      </w:pPr>
      <w:r>
        <w:rPr/>
        <w:t>The Mother Infant &amp; Family Health Research Network (MIFam Network), led by professors Virginia Schmied and Hannah Dahlen, has a strong presence in Western Sydney, working with women, families, health and community groups, and Australian and international researchers. The research embraces a diverse range of cultures and groups, and </w:t>
      </w:r>
      <w:r>
        <w:rPr>
          <w:w w:val="97"/>
        </w:rPr>
        <w:t>their </w:t>
      </w:r>
      <w:r>
        <w:rPr>
          <w:w w:val="94"/>
        </w:rPr>
        <w:t>experiences. </w:t>
      </w:r>
      <w:r>
        <w:rPr>
          <w:w w:val="80"/>
        </w:rPr>
        <w:t>In </w:t>
      </w:r>
      <w:r>
        <w:rPr>
          <w:w w:val="85"/>
        </w:rPr>
        <w:t>2016, </w:t>
      </w:r>
      <w:r>
        <w:rPr>
          <w:w w:val="97"/>
        </w:rPr>
        <w:t>the </w:t>
      </w:r>
      <w:r>
        <w:rPr>
          <w:w w:val="98"/>
        </w:rPr>
        <w:t>key </w:t>
      </w:r>
      <w:r>
        <w:rPr>
          <w:w w:val="96"/>
        </w:rPr>
        <w:t>research </w:t>
      </w:r>
      <w:r>
        <w:rPr/>
        <w:t>program areas included:</w:t>
      </w:r>
    </w:p>
    <w:p>
      <w:pPr>
        <w:pStyle w:val="BodyText"/>
        <w:spacing w:line="244" w:lineRule="auto" w:before="55"/>
        <w:ind w:left="305" w:right="-7" w:hanging="199"/>
      </w:pPr>
      <w:r>
        <w:rPr>
          <w:rFonts w:ascii="Century Gothic" w:hAnsi="Century Gothic"/>
          <w:b/>
          <w:w w:val="115"/>
        </w:rPr>
        <w:t>≥</w:t>
      </w:r>
      <w:r>
        <w:rPr>
          <w:rFonts w:ascii="Century Gothic" w:hAnsi="Century Gothic"/>
          <w:b/>
          <w:spacing w:val="-17"/>
          <w:w w:val="115"/>
        </w:rPr>
        <w:t> </w:t>
      </w:r>
      <w:r>
        <w:rPr>
          <w:w w:val="105"/>
        </w:rPr>
        <w:t>improving</w:t>
      </w:r>
      <w:r>
        <w:rPr>
          <w:spacing w:val="-35"/>
          <w:w w:val="105"/>
        </w:rPr>
        <w:t> </w:t>
      </w:r>
      <w:r>
        <w:rPr>
          <w:w w:val="105"/>
        </w:rPr>
        <w:t>pregnancy</w:t>
      </w:r>
      <w:r>
        <w:rPr>
          <w:spacing w:val="-35"/>
          <w:w w:val="105"/>
        </w:rPr>
        <w:t> </w:t>
      </w:r>
      <w:r>
        <w:rPr>
          <w:w w:val="105"/>
        </w:rPr>
        <w:t>and</w:t>
      </w:r>
      <w:r>
        <w:rPr>
          <w:spacing w:val="-35"/>
          <w:w w:val="105"/>
        </w:rPr>
        <w:t> </w:t>
      </w:r>
      <w:r>
        <w:rPr>
          <w:w w:val="105"/>
        </w:rPr>
        <w:t>birth</w:t>
      </w:r>
      <w:r>
        <w:rPr>
          <w:spacing w:val="-35"/>
          <w:w w:val="105"/>
        </w:rPr>
        <w:t> </w:t>
      </w:r>
      <w:r>
        <w:rPr>
          <w:w w:val="105"/>
        </w:rPr>
        <w:t>experiences </w:t>
      </w:r>
      <w:r>
        <w:rPr/>
        <w:t>and</w:t>
      </w:r>
      <w:r>
        <w:rPr>
          <w:spacing w:val="-15"/>
        </w:rPr>
        <w:t> </w:t>
      </w:r>
      <w:r>
        <w:rPr/>
        <w:t>outcomes</w:t>
      </w:r>
    </w:p>
    <w:p>
      <w:pPr>
        <w:pStyle w:val="BodyText"/>
        <w:spacing w:line="247" w:lineRule="auto" w:before="58"/>
        <w:ind w:left="305" w:right="151" w:hanging="199"/>
      </w:pPr>
      <w:r>
        <w:rPr>
          <w:rFonts w:ascii="Century Gothic" w:hAnsi="Century Gothic"/>
          <w:b/>
          <w:w w:val="115"/>
        </w:rPr>
        <w:t>≥ </w:t>
      </w:r>
      <w:r>
        <w:rPr>
          <w:w w:val="105"/>
        </w:rPr>
        <w:t>ensuring optimal parental social and </w:t>
      </w:r>
      <w:r>
        <w:rPr/>
        <w:t>emotional health in pregnancy and early </w:t>
      </w:r>
      <w:r>
        <w:rPr>
          <w:w w:val="105"/>
        </w:rPr>
        <w:t>childhood</w:t>
      </w:r>
    </w:p>
    <w:p>
      <w:pPr>
        <w:pStyle w:val="BodyText"/>
        <w:spacing w:line="244" w:lineRule="auto" w:before="57"/>
        <w:ind w:left="305" w:right="286" w:hanging="199"/>
      </w:pPr>
      <w:r>
        <w:rPr>
          <w:rFonts w:ascii="Century Gothic" w:hAnsi="Century Gothic"/>
          <w:b/>
          <w:w w:val="115"/>
        </w:rPr>
        <w:t>≥</w:t>
      </w:r>
      <w:r>
        <w:rPr>
          <w:rFonts w:ascii="Century Gothic" w:hAnsi="Century Gothic"/>
          <w:b/>
          <w:spacing w:val="-18"/>
          <w:w w:val="115"/>
        </w:rPr>
        <w:t> </w:t>
      </w:r>
      <w:r>
        <w:rPr>
          <w:w w:val="105"/>
        </w:rPr>
        <w:t>promoting</w:t>
      </w:r>
      <w:r>
        <w:rPr>
          <w:spacing w:val="-35"/>
          <w:w w:val="105"/>
        </w:rPr>
        <w:t> </w:t>
      </w:r>
      <w:r>
        <w:rPr>
          <w:w w:val="105"/>
        </w:rPr>
        <w:t>healthy</w:t>
      </w:r>
      <w:r>
        <w:rPr>
          <w:spacing w:val="-35"/>
          <w:w w:val="105"/>
        </w:rPr>
        <w:t> </w:t>
      </w:r>
      <w:r>
        <w:rPr>
          <w:w w:val="105"/>
        </w:rPr>
        <w:t>parenting</w:t>
      </w:r>
      <w:r>
        <w:rPr>
          <w:spacing w:val="-35"/>
          <w:w w:val="105"/>
        </w:rPr>
        <w:t> </w:t>
      </w:r>
      <w:r>
        <w:rPr>
          <w:w w:val="105"/>
        </w:rPr>
        <w:t>and</w:t>
      </w:r>
      <w:r>
        <w:rPr>
          <w:spacing w:val="-35"/>
          <w:w w:val="105"/>
        </w:rPr>
        <w:t> </w:t>
      </w:r>
      <w:r>
        <w:rPr>
          <w:w w:val="105"/>
        </w:rPr>
        <w:t>infant </w:t>
      </w:r>
      <w:r>
        <w:rPr/>
        <w:t>feeding</w:t>
      </w:r>
      <w:r>
        <w:rPr>
          <w:spacing w:val="-6"/>
        </w:rPr>
        <w:t> </w:t>
      </w:r>
      <w:r>
        <w:rPr/>
        <w:t>practices</w:t>
      </w:r>
    </w:p>
    <w:p>
      <w:pPr>
        <w:pStyle w:val="BodyText"/>
        <w:spacing w:line="244" w:lineRule="auto" w:before="58"/>
        <w:ind w:left="305" w:right="-2" w:hanging="199"/>
      </w:pPr>
      <w:r>
        <w:rPr>
          <w:rFonts w:ascii="Century Gothic" w:hAnsi="Century Gothic"/>
          <w:b/>
          <w:w w:val="115"/>
        </w:rPr>
        <w:t>≥ </w:t>
      </w:r>
      <w:r>
        <w:rPr>
          <w:w w:val="105"/>
        </w:rPr>
        <w:t>improving care and outcomes for </w:t>
      </w:r>
      <w:r>
        <w:rPr/>
        <w:t>premature</w:t>
      </w:r>
      <w:r>
        <w:rPr>
          <w:spacing w:val="-19"/>
        </w:rPr>
        <w:t> </w:t>
      </w:r>
      <w:r>
        <w:rPr/>
        <w:t>or</w:t>
      </w:r>
      <w:r>
        <w:rPr>
          <w:spacing w:val="-19"/>
        </w:rPr>
        <w:t> </w:t>
      </w:r>
      <w:r>
        <w:rPr/>
        <w:t>sick</w:t>
      </w:r>
      <w:r>
        <w:rPr>
          <w:spacing w:val="-19"/>
        </w:rPr>
        <w:t> </w:t>
      </w:r>
      <w:r>
        <w:rPr/>
        <w:t>infants</w:t>
      </w:r>
      <w:r>
        <w:rPr>
          <w:spacing w:val="-19"/>
        </w:rPr>
        <w:t> </w:t>
      </w:r>
      <w:r>
        <w:rPr/>
        <w:t>and</w:t>
      </w:r>
      <w:r>
        <w:rPr>
          <w:spacing w:val="-19"/>
        </w:rPr>
        <w:t> </w:t>
      </w:r>
      <w:r>
        <w:rPr/>
        <w:t>their</w:t>
      </w:r>
      <w:r>
        <w:rPr>
          <w:spacing w:val="-19"/>
        </w:rPr>
        <w:t> </w:t>
      </w:r>
      <w:r>
        <w:rPr/>
        <w:t>families</w:t>
      </w:r>
    </w:p>
    <w:p>
      <w:pPr>
        <w:pStyle w:val="BodyText"/>
        <w:spacing w:before="9"/>
      </w:pPr>
      <w:r>
        <w:rPr/>
        <w:br w:type="column"/>
      </w:r>
      <w:r>
        <w:rPr/>
      </w:r>
    </w:p>
    <w:p>
      <w:pPr>
        <w:pStyle w:val="BodyText"/>
        <w:spacing w:line="247" w:lineRule="auto"/>
        <w:ind w:left="305" w:right="129" w:hanging="199"/>
      </w:pPr>
      <w:r>
        <w:rPr>
          <w:rFonts w:ascii="Century Gothic" w:hAnsi="Century Gothic"/>
          <w:b/>
          <w:w w:val="115"/>
        </w:rPr>
        <w:t>≥ </w:t>
      </w:r>
      <w:r>
        <w:rPr/>
        <w:t>translational research that strengthens service design, delivery and professional practice to meet the needs of women, children and families.</w:t>
      </w:r>
    </w:p>
    <w:p>
      <w:pPr>
        <w:pStyle w:val="BodyText"/>
        <w:spacing w:before="2"/>
        <w:rPr>
          <w:sz w:val="14"/>
        </w:rPr>
      </w:pPr>
    </w:p>
    <w:p>
      <w:pPr>
        <w:pStyle w:val="BodyText"/>
        <w:spacing w:line="249" w:lineRule="auto"/>
        <w:ind w:left="107"/>
      </w:pPr>
      <w:r>
        <w:rPr>
          <w:spacing w:val="1"/>
          <w:w w:val="80"/>
        </w:rPr>
        <w:t>In</w:t>
      </w:r>
      <w:r>
        <w:rPr>
          <w:w w:val="80"/>
        </w:rPr>
        <w:t> </w:t>
      </w:r>
      <w:r>
        <w:rPr>
          <w:spacing w:val="2"/>
          <w:w w:val="85"/>
        </w:rPr>
        <w:t>2016,</w:t>
      </w:r>
      <w:r>
        <w:rPr>
          <w:w w:val="85"/>
        </w:rPr>
        <w:t> </w:t>
      </w:r>
      <w:r>
        <w:rPr>
          <w:w w:val="97"/>
        </w:rPr>
        <w:t>the </w:t>
      </w:r>
      <w:r>
        <w:rPr>
          <w:spacing w:val="1"/>
          <w:w w:val="99"/>
        </w:rPr>
        <w:t>Network</w:t>
      </w:r>
      <w:r>
        <w:rPr>
          <w:w w:val="99"/>
        </w:rPr>
        <w:t> </w:t>
      </w:r>
      <w:r>
        <w:rPr>
          <w:spacing w:val="1"/>
          <w:w w:val="99"/>
        </w:rPr>
        <w:t>supported</w:t>
      </w:r>
      <w:r>
        <w:rPr>
          <w:w w:val="99"/>
        </w:rPr>
        <w:t> </w:t>
      </w:r>
      <w:r>
        <w:rPr>
          <w:spacing w:val="1"/>
          <w:w w:val="98"/>
        </w:rPr>
        <w:t>eight</w:t>
      </w:r>
      <w:r>
        <w:rPr>
          <w:spacing w:val="-27"/>
          <w:w w:val="98"/>
        </w:rPr>
        <w:t> </w:t>
      </w:r>
      <w:r>
        <w:rPr>
          <w:spacing w:val="1"/>
          <w:w w:val="99"/>
        </w:rPr>
        <w:t>doctoral</w:t>
      </w:r>
      <w:r>
        <w:rPr>
          <w:w w:val="99"/>
        </w:rPr>
        <w:t> </w:t>
      </w:r>
      <w:r>
        <w:rPr/>
        <w:t>students, and its researchers published findings in 47 refereed journals papers and several articles in The Conversation. The Network</w:t>
      </w:r>
      <w:r>
        <w:rPr>
          <w:spacing w:val="-18"/>
        </w:rPr>
        <w:t> </w:t>
      </w:r>
      <w:r>
        <w:rPr/>
        <w:t>also</w:t>
      </w:r>
      <w:r>
        <w:rPr>
          <w:spacing w:val="-18"/>
        </w:rPr>
        <w:t> </w:t>
      </w:r>
      <w:r>
        <w:rPr/>
        <w:t>hosted</w:t>
      </w:r>
      <w:r>
        <w:rPr>
          <w:spacing w:val="-18"/>
        </w:rPr>
        <w:t> </w:t>
      </w:r>
      <w:r>
        <w:rPr/>
        <w:t>the</w:t>
      </w:r>
      <w:r>
        <w:rPr>
          <w:spacing w:val="-18"/>
        </w:rPr>
        <w:t> </w:t>
      </w:r>
      <w:r>
        <w:rPr/>
        <w:t>International</w:t>
      </w:r>
      <w:r>
        <w:rPr>
          <w:spacing w:val="-18"/>
        </w:rPr>
        <w:t> </w:t>
      </w:r>
      <w:r>
        <w:rPr/>
        <w:t>Normal Labour</w:t>
      </w:r>
      <w:r>
        <w:rPr>
          <w:spacing w:val="-17"/>
        </w:rPr>
        <w:t> </w:t>
      </w:r>
      <w:r>
        <w:rPr/>
        <w:t>and</w:t>
      </w:r>
      <w:r>
        <w:rPr>
          <w:spacing w:val="-17"/>
        </w:rPr>
        <w:t> </w:t>
      </w:r>
      <w:r>
        <w:rPr/>
        <w:t>Birth</w:t>
      </w:r>
      <w:r>
        <w:rPr>
          <w:spacing w:val="-17"/>
        </w:rPr>
        <w:t> </w:t>
      </w:r>
      <w:r>
        <w:rPr/>
        <w:t>Conference.</w:t>
      </w:r>
    </w:p>
    <w:p>
      <w:pPr>
        <w:pStyle w:val="BodyText"/>
        <w:spacing w:before="6"/>
        <w:rPr>
          <w:sz w:val="14"/>
        </w:rPr>
      </w:pPr>
    </w:p>
    <w:p>
      <w:pPr>
        <w:pStyle w:val="Heading7"/>
        <w:ind w:right="335"/>
      </w:pPr>
      <w:r>
        <w:rPr>
          <w:color w:val="615C58"/>
          <w:w w:val="95"/>
        </w:rPr>
        <w:t>One Million Global Catheters Study</w:t>
      </w:r>
    </w:p>
    <w:p>
      <w:pPr>
        <w:pStyle w:val="BodyText"/>
        <w:spacing w:line="249" w:lineRule="auto" w:before="86"/>
        <w:ind w:left="107" w:right="217"/>
      </w:pPr>
      <w:r>
        <w:rPr/>
        <w:t>The</w:t>
      </w:r>
      <w:r>
        <w:rPr>
          <w:spacing w:val="-17"/>
        </w:rPr>
        <w:t> </w:t>
      </w:r>
      <w:r>
        <w:rPr/>
        <w:t>unfunded</w:t>
      </w:r>
      <w:r>
        <w:rPr>
          <w:spacing w:val="-17"/>
        </w:rPr>
        <w:t> </w:t>
      </w:r>
      <w:r>
        <w:rPr/>
        <w:t>One</w:t>
      </w:r>
      <w:r>
        <w:rPr>
          <w:spacing w:val="-17"/>
        </w:rPr>
        <w:t> </w:t>
      </w:r>
      <w:r>
        <w:rPr/>
        <w:t>Million</w:t>
      </w:r>
      <w:r>
        <w:rPr>
          <w:spacing w:val="-17"/>
        </w:rPr>
        <w:t> </w:t>
      </w:r>
      <w:r>
        <w:rPr/>
        <w:t>Global</w:t>
      </w:r>
      <w:r>
        <w:rPr>
          <w:spacing w:val="-17"/>
        </w:rPr>
        <w:t> </w:t>
      </w:r>
      <w:r>
        <w:rPr/>
        <w:t>Catheters Study into the impact of peripheral intravenous catheters, led by Dr Evan Alexandrou and project teams at Western Sydney University and Griffith University, is the world’s largest study into catheters and</w:t>
      </w:r>
      <w:r>
        <w:rPr>
          <w:spacing w:val="-18"/>
        </w:rPr>
        <w:t> </w:t>
      </w:r>
      <w:r>
        <w:rPr/>
        <w:t>continues</w:t>
      </w:r>
      <w:r>
        <w:rPr>
          <w:spacing w:val="-18"/>
        </w:rPr>
        <w:t> </w:t>
      </w:r>
      <w:r>
        <w:rPr/>
        <w:t>to</w:t>
      </w:r>
      <w:r>
        <w:rPr>
          <w:spacing w:val="-18"/>
        </w:rPr>
        <w:t> </w:t>
      </w:r>
      <w:r>
        <w:rPr/>
        <w:t>expand.</w:t>
      </w:r>
      <w:r>
        <w:rPr>
          <w:spacing w:val="-18"/>
        </w:rPr>
        <w:t> </w:t>
      </w:r>
      <w:r>
        <w:rPr/>
        <w:t>The</w:t>
      </w:r>
      <w:r>
        <w:rPr>
          <w:spacing w:val="-18"/>
        </w:rPr>
        <w:t> </w:t>
      </w:r>
      <w:r>
        <w:rPr/>
        <w:t>study</w:t>
      </w:r>
    </w:p>
    <w:p>
      <w:pPr>
        <w:pStyle w:val="BodyText"/>
        <w:spacing w:line="249" w:lineRule="auto"/>
        <w:ind w:left="107" w:right="254"/>
      </w:pPr>
      <w:r>
        <w:rPr/>
        <w:t>has been conducted in more than 400 hospitals in 65 countries, resonating with clinicians worldwide – particularly nurses.</w:t>
      </w:r>
    </w:p>
    <w:p>
      <w:pPr>
        <w:pStyle w:val="BodyText"/>
        <w:spacing w:before="3"/>
        <w:rPr>
          <w:sz w:val="19"/>
        </w:rPr>
      </w:pPr>
    </w:p>
    <w:p>
      <w:pPr>
        <w:pStyle w:val="Heading7"/>
        <w:ind w:right="335"/>
      </w:pPr>
      <w:r>
        <w:rPr/>
        <w:t>GRANTS</w:t>
      </w:r>
    </w:p>
    <w:p>
      <w:pPr>
        <w:pStyle w:val="BodyText"/>
        <w:spacing w:line="249" w:lineRule="auto" w:before="58"/>
        <w:ind w:left="107" w:right="-5"/>
      </w:pPr>
      <w:r>
        <w:rPr/>
        <w:t>Led by Professor Lynn Kemp, the TReSI group’s right@home randomised controlled trial of the MECSH program in Victoria and Tasmania received funding of $2.95 million from the National Health and Medical Research Council (NHMRC) and philanthropic funders to follow the trial families until children reach the age of five.</w:t>
      </w:r>
    </w:p>
    <w:p>
      <w:pPr>
        <w:pStyle w:val="BodyText"/>
        <w:rPr>
          <w:sz w:val="14"/>
        </w:rPr>
      </w:pPr>
    </w:p>
    <w:p>
      <w:pPr>
        <w:pStyle w:val="BodyText"/>
        <w:spacing w:line="249" w:lineRule="auto"/>
        <w:ind w:left="107"/>
      </w:pPr>
      <w:r>
        <w:rPr/>
        <w:t>COHORTE, led by Associate Professor Ajesh George, received two grants:</w:t>
      </w:r>
    </w:p>
    <w:p>
      <w:pPr>
        <w:pStyle w:val="BodyText"/>
        <w:spacing w:line="244" w:lineRule="auto" w:before="55"/>
        <w:ind w:left="305" w:right="49" w:hanging="199"/>
      </w:pPr>
      <w:r>
        <w:rPr>
          <w:rFonts w:ascii="Century Gothic" w:hAnsi="Century Gothic"/>
          <w:b/>
          <w:w w:val="145"/>
        </w:rPr>
        <w:t>≥ </w:t>
      </w:r>
      <w:r>
        <w:rPr>
          <w:w w:val="94"/>
        </w:rPr>
        <w:t>a </w:t>
      </w:r>
      <w:r>
        <w:rPr>
          <w:w w:val="99"/>
        </w:rPr>
        <w:t>Category </w:t>
      </w:r>
      <w:r>
        <w:rPr>
          <w:w w:val="54"/>
        </w:rPr>
        <w:t>1 </w:t>
      </w:r>
      <w:r>
        <w:rPr>
          <w:w w:val="98"/>
        </w:rPr>
        <w:t>grant </w:t>
      </w:r>
      <w:r>
        <w:rPr>
          <w:w w:val="99"/>
        </w:rPr>
        <w:t>of </w:t>
      </w:r>
      <w:r>
        <w:rPr>
          <w:w w:val="78"/>
        </w:rPr>
        <w:t>$117,310 </w:t>
      </w:r>
      <w:r>
        <w:rPr>
          <w:w w:val="98"/>
        </w:rPr>
        <w:t>from </w:t>
      </w:r>
      <w:r>
        <w:rPr>
          <w:w w:val="97"/>
        </w:rPr>
        <w:t>the </w:t>
      </w:r>
      <w:r>
        <w:rPr/>
        <w:t>Financial Markets Foundation for Children</w:t>
      </w:r>
    </w:p>
    <w:p>
      <w:pPr>
        <w:pStyle w:val="BodyText"/>
        <w:spacing w:line="244" w:lineRule="auto" w:before="58"/>
        <w:ind w:left="305" w:right="334" w:hanging="199"/>
      </w:pPr>
      <w:r>
        <w:rPr>
          <w:rFonts w:ascii="Century Gothic" w:hAnsi="Century Gothic"/>
          <w:b/>
          <w:w w:val="145"/>
        </w:rPr>
        <w:t>≥ </w:t>
      </w:r>
      <w:r>
        <w:rPr>
          <w:w w:val="94"/>
        </w:rPr>
        <w:t>a </w:t>
      </w:r>
      <w:r>
        <w:rPr>
          <w:w w:val="99"/>
        </w:rPr>
        <w:t>Category </w:t>
      </w:r>
      <w:r>
        <w:rPr>
          <w:w w:val="93"/>
        </w:rPr>
        <w:t>2 </w:t>
      </w:r>
      <w:r>
        <w:rPr>
          <w:w w:val="98"/>
        </w:rPr>
        <w:t>grant </w:t>
      </w:r>
      <w:r>
        <w:rPr>
          <w:w w:val="99"/>
        </w:rPr>
        <w:t>of </w:t>
      </w:r>
      <w:r>
        <w:rPr>
          <w:w w:val="83"/>
        </w:rPr>
        <w:t>$18,810 </w:t>
      </w:r>
      <w:r>
        <w:rPr>
          <w:w w:val="98"/>
        </w:rPr>
        <w:t>from </w:t>
      </w:r>
      <w:r>
        <w:rPr>
          <w:w w:val="97"/>
        </w:rPr>
        <w:t>the </w:t>
      </w:r>
      <w:r>
        <w:rPr/>
        <w:t>SWSLHD Innovation Group.</w:t>
      </w:r>
    </w:p>
    <w:p>
      <w:pPr>
        <w:pStyle w:val="BodyText"/>
        <w:spacing w:before="4"/>
        <w:rPr>
          <w:sz w:val="14"/>
        </w:rPr>
      </w:pPr>
    </w:p>
    <w:p>
      <w:pPr>
        <w:pStyle w:val="BodyText"/>
        <w:spacing w:line="249" w:lineRule="auto"/>
        <w:ind w:left="107" w:right="-5"/>
      </w:pPr>
      <w:r>
        <w:rPr/>
        <w:t>Professor Esther Chang is a named collaborator and mentor on a successful </w:t>
      </w:r>
      <w:r>
        <w:rPr>
          <w:spacing w:val="2"/>
        </w:rPr>
        <w:t>NHMRC </w:t>
      </w:r>
      <w:r>
        <w:rPr/>
        <w:t>postdoctoral fellowship led by Dr Sandra</w:t>
      </w:r>
      <w:r>
        <w:rPr>
          <w:spacing w:val="-16"/>
        </w:rPr>
        <w:t> </w:t>
      </w:r>
      <w:r>
        <w:rPr/>
        <w:t>Garrido</w:t>
      </w:r>
      <w:r>
        <w:rPr>
          <w:spacing w:val="-16"/>
        </w:rPr>
        <w:t> </w:t>
      </w:r>
      <w:r>
        <w:rPr/>
        <w:t>through</w:t>
      </w:r>
      <w:r>
        <w:rPr>
          <w:spacing w:val="-16"/>
        </w:rPr>
        <w:t> </w:t>
      </w:r>
      <w:r>
        <w:rPr/>
        <w:t>the</w:t>
      </w:r>
      <w:r>
        <w:rPr>
          <w:spacing w:val="-16"/>
        </w:rPr>
        <w:t> </w:t>
      </w:r>
      <w:r>
        <w:rPr>
          <w:spacing w:val="2"/>
        </w:rPr>
        <w:t>NHMRC</w:t>
      </w:r>
      <w:r>
        <w:rPr>
          <w:spacing w:val="-16"/>
        </w:rPr>
        <w:t> </w:t>
      </w:r>
      <w:r>
        <w:rPr/>
        <w:t>Dementia Framework. The fellowship commenced in </w:t>
      </w:r>
      <w:r>
        <w:rPr>
          <w:spacing w:val="1"/>
          <w:w w:val="90"/>
        </w:rPr>
        <w:t>2016</w:t>
      </w:r>
      <w:r>
        <w:rPr>
          <w:w w:val="90"/>
        </w:rPr>
        <w:t> </w:t>
      </w:r>
      <w:r>
        <w:rPr>
          <w:spacing w:val="1"/>
          <w:w w:val="97"/>
        </w:rPr>
        <w:t>and</w:t>
      </w:r>
      <w:r>
        <w:rPr>
          <w:w w:val="97"/>
        </w:rPr>
        <w:t> </w:t>
      </w:r>
      <w:r>
        <w:rPr>
          <w:w w:val="98"/>
        </w:rPr>
        <w:t>provides </w:t>
      </w:r>
      <w:r>
        <w:rPr>
          <w:spacing w:val="1"/>
          <w:w w:val="97"/>
        </w:rPr>
        <w:t>funding</w:t>
      </w:r>
      <w:r>
        <w:rPr>
          <w:w w:val="97"/>
        </w:rPr>
        <w:t> </w:t>
      </w:r>
      <w:r>
        <w:rPr>
          <w:w w:val="98"/>
        </w:rPr>
        <w:t>for </w:t>
      </w:r>
      <w:r>
        <w:rPr>
          <w:w w:val="97"/>
        </w:rPr>
        <w:t>four </w:t>
      </w:r>
      <w:r>
        <w:rPr>
          <w:spacing w:val="1"/>
          <w:w w:val="96"/>
        </w:rPr>
        <w:t>years</w:t>
      </w:r>
      <w:r>
        <w:rPr>
          <w:w w:val="96"/>
        </w:rPr>
        <w:t> </w:t>
      </w:r>
      <w:r>
        <w:rPr>
          <w:spacing w:val="2"/>
          <w:w w:val="96"/>
        </w:rPr>
        <w:t>($601,000</w:t>
      </w:r>
      <w:r>
        <w:rPr>
          <w:w w:val="96"/>
        </w:rPr>
        <w:t> </w:t>
      </w:r>
      <w:r>
        <w:rPr>
          <w:w w:val="95"/>
        </w:rPr>
        <w:t>in </w:t>
      </w:r>
      <w:r>
        <w:rPr>
          <w:w w:val="94"/>
        </w:rPr>
        <w:t>total). </w:t>
      </w:r>
      <w:r>
        <w:rPr>
          <w:w w:val="99"/>
        </w:rPr>
        <w:t>Fellow </w:t>
      </w:r>
      <w:r>
        <w:rPr>
          <w:spacing w:val="1"/>
          <w:w w:val="98"/>
        </w:rPr>
        <w:t>collaborators</w:t>
      </w:r>
      <w:r>
        <w:rPr>
          <w:w w:val="98"/>
        </w:rPr>
        <w:t> </w:t>
      </w:r>
      <w:r>
        <w:rPr>
          <w:spacing w:val="1"/>
          <w:w w:val="97"/>
        </w:rPr>
        <w:t>and</w:t>
      </w:r>
      <w:r>
        <w:rPr>
          <w:w w:val="97"/>
        </w:rPr>
        <w:t> </w:t>
      </w:r>
      <w:r>
        <w:rPr/>
        <w:t>mentors include Professor Kate Stevens from the </w:t>
      </w:r>
      <w:r>
        <w:rPr>
          <w:spacing w:val="2"/>
        </w:rPr>
        <w:t>MARCS </w:t>
      </w:r>
      <w:r>
        <w:rPr/>
        <w:t>Institute and professors Jane Ussher and Janette Perz from the School of Medicine’s</w:t>
      </w:r>
      <w:r>
        <w:rPr>
          <w:spacing w:val="-24"/>
        </w:rPr>
        <w:t> </w:t>
      </w:r>
      <w:r>
        <w:rPr/>
        <w:t>Centre</w:t>
      </w:r>
      <w:r>
        <w:rPr>
          <w:spacing w:val="-24"/>
        </w:rPr>
        <w:t> </w:t>
      </w:r>
      <w:r>
        <w:rPr/>
        <w:t>for</w:t>
      </w:r>
      <w:r>
        <w:rPr>
          <w:spacing w:val="-24"/>
        </w:rPr>
        <w:t> </w:t>
      </w:r>
      <w:r>
        <w:rPr/>
        <w:t>Health</w:t>
      </w:r>
      <w:r>
        <w:rPr>
          <w:spacing w:val="-24"/>
        </w:rPr>
        <w:t> </w:t>
      </w:r>
      <w:r>
        <w:rPr/>
        <w:t>Research.</w:t>
      </w:r>
    </w:p>
    <w:p>
      <w:pPr>
        <w:pStyle w:val="BodyText"/>
        <w:spacing w:before="9"/>
      </w:pPr>
      <w:r>
        <w:rPr/>
        <w:br w:type="column"/>
      </w:r>
      <w:r>
        <w:rPr/>
      </w:r>
    </w:p>
    <w:p>
      <w:pPr>
        <w:pStyle w:val="BodyText"/>
        <w:spacing w:line="249" w:lineRule="auto" w:before="1"/>
        <w:ind w:left="107" w:right="460"/>
      </w:pPr>
      <w:r>
        <w:rPr/>
        <w:t>Professor Esther Chang from the School of Nursing and Midwifery; Professor</w:t>
      </w:r>
    </w:p>
    <w:p>
      <w:pPr>
        <w:pStyle w:val="BodyText"/>
        <w:spacing w:line="249" w:lineRule="auto"/>
        <w:ind w:left="107" w:right="278"/>
      </w:pPr>
      <w:r>
        <w:rPr/>
        <w:t>Caroline</w:t>
      </w:r>
      <w:r>
        <w:rPr>
          <w:spacing w:val="-19"/>
        </w:rPr>
        <w:t> </w:t>
      </w:r>
      <w:r>
        <w:rPr/>
        <w:t>Smith</w:t>
      </w:r>
      <w:r>
        <w:rPr>
          <w:spacing w:val="-19"/>
        </w:rPr>
        <w:t> </w:t>
      </w:r>
      <w:r>
        <w:rPr/>
        <w:t>from</w:t>
      </w:r>
      <w:r>
        <w:rPr>
          <w:spacing w:val="-19"/>
        </w:rPr>
        <w:t> </w:t>
      </w:r>
      <w:r>
        <w:rPr/>
        <w:t>the</w:t>
      </w:r>
      <w:r>
        <w:rPr>
          <w:spacing w:val="-19"/>
        </w:rPr>
        <w:t> </w:t>
      </w:r>
      <w:r>
        <w:rPr/>
        <w:t>National</w:t>
      </w:r>
      <w:r>
        <w:rPr>
          <w:spacing w:val="-19"/>
        </w:rPr>
        <w:t> </w:t>
      </w:r>
      <w:r>
        <w:rPr/>
        <w:t>Institute</w:t>
      </w:r>
      <w:r>
        <w:rPr>
          <w:spacing w:val="-19"/>
        </w:rPr>
        <w:t> </w:t>
      </w:r>
      <w:r>
        <w:rPr/>
        <w:t>of Complementary Medicine; and Dr Gisselle Gallego, Adjunct Fellow at the School of Medicine, received an Illawarra Retirement Trust (IRT) Foundation Research Grant for their project: </w:t>
      </w:r>
      <w:r>
        <w:rPr>
          <w:spacing w:val="-2"/>
        </w:rPr>
        <w:t>‘An </w:t>
      </w:r>
      <w:r>
        <w:rPr/>
        <w:t>educational intervention to improve health literacy and decision making about supporting self-advice and decision</w:t>
      </w:r>
      <w:r>
        <w:rPr>
          <w:spacing w:val="-17"/>
        </w:rPr>
        <w:t> </w:t>
      </w:r>
      <w:r>
        <w:rPr/>
        <w:t>making</w:t>
      </w:r>
      <w:r>
        <w:rPr>
          <w:spacing w:val="-17"/>
        </w:rPr>
        <w:t> </w:t>
      </w:r>
      <w:r>
        <w:rPr/>
        <w:t>among</w:t>
      </w:r>
      <w:r>
        <w:rPr>
          <w:spacing w:val="-17"/>
        </w:rPr>
        <w:t> </w:t>
      </w:r>
      <w:r>
        <w:rPr/>
        <w:t>older</w:t>
      </w:r>
      <w:r>
        <w:rPr>
          <w:spacing w:val="-17"/>
        </w:rPr>
        <w:t> </w:t>
      </w:r>
      <w:r>
        <w:rPr/>
        <w:t>Australians:</w:t>
      </w:r>
      <w:r>
        <w:rPr>
          <w:spacing w:val="-17"/>
        </w:rPr>
        <w:t> </w:t>
      </w:r>
      <w:r>
        <w:rPr/>
        <w:t>a randomised controlled trial’. The grant will </w:t>
      </w:r>
      <w:r>
        <w:rPr>
          <w:w w:val="99"/>
        </w:rPr>
        <w:t>provide </w:t>
      </w:r>
      <w:r>
        <w:rPr>
          <w:spacing w:val="1"/>
          <w:w w:val="96"/>
        </w:rPr>
        <w:t>$77,800</w:t>
      </w:r>
      <w:r>
        <w:rPr>
          <w:w w:val="96"/>
        </w:rPr>
        <w:t> </w:t>
      </w:r>
      <w:r>
        <w:rPr>
          <w:w w:val="99"/>
        </w:rPr>
        <w:t>of </w:t>
      </w:r>
      <w:r>
        <w:rPr>
          <w:spacing w:val="1"/>
          <w:w w:val="97"/>
        </w:rPr>
        <w:t>funding</w:t>
      </w:r>
      <w:r>
        <w:rPr>
          <w:w w:val="97"/>
        </w:rPr>
        <w:t> </w:t>
      </w:r>
      <w:r>
        <w:rPr>
          <w:w w:val="98"/>
        </w:rPr>
        <w:t>for</w:t>
      </w:r>
      <w:r>
        <w:rPr>
          <w:spacing w:val="-23"/>
          <w:w w:val="98"/>
        </w:rPr>
        <w:t> </w:t>
      </w:r>
      <w:r>
        <w:rPr>
          <w:w w:val="83"/>
        </w:rPr>
        <w:t>2016–17.</w:t>
      </w:r>
    </w:p>
    <w:p>
      <w:pPr>
        <w:pStyle w:val="BodyText"/>
        <w:rPr>
          <w:sz w:val="14"/>
        </w:rPr>
      </w:pPr>
    </w:p>
    <w:p>
      <w:pPr>
        <w:pStyle w:val="BodyText"/>
        <w:spacing w:line="249" w:lineRule="auto"/>
        <w:ind w:left="107" w:right="81"/>
      </w:pPr>
      <w:r>
        <w:rPr/>
        <w:t>Four</w:t>
      </w:r>
      <w:r>
        <w:rPr>
          <w:spacing w:val="-17"/>
        </w:rPr>
        <w:t> </w:t>
      </w:r>
      <w:r>
        <w:rPr>
          <w:spacing w:val="2"/>
        </w:rPr>
        <w:t>SoNM</w:t>
      </w:r>
      <w:r>
        <w:rPr>
          <w:spacing w:val="-17"/>
        </w:rPr>
        <w:t> </w:t>
      </w:r>
      <w:r>
        <w:rPr/>
        <w:t>staff</w:t>
      </w:r>
      <w:r>
        <w:rPr>
          <w:spacing w:val="-17"/>
        </w:rPr>
        <w:t> </w:t>
      </w:r>
      <w:r>
        <w:rPr/>
        <w:t>members</w:t>
      </w:r>
      <w:r>
        <w:rPr>
          <w:spacing w:val="-17"/>
        </w:rPr>
        <w:t> </w:t>
      </w:r>
      <w:r>
        <w:rPr/>
        <w:t>–</w:t>
      </w:r>
      <w:r>
        <w:rPr>
          <w:spacing w:val="-17"/>
        </w:rPr>
        <w:t> </w:t>
      </w:r>
      <w:r>
        <w:rPr/>
        <w:t>Dr</w:t>
      </w:r>
      <w:r>
        <w:rPr>
          <w:spacing w:val="-17"/>
        </w:rPr>
        <w:t> </w:t>
      </w:r>
      <w:r>
        <w:rPr/>
        <w:t>Rakime</w:t>
      </w:r>
      <w:r>
        <w:rPr>
          <w:spacing w:val="-17"/>
        </w:rPr>
        <w:t> </w:t>
      </w:r>
      <w:r>
        <w:rPr/>
        <w:t>Elmir, Dr</w:t>
      </w:r>
      <w:r>
        <w:rPr>
          <w:spacing w:val="-17"/>
        </w:rPr>
        <w:t> </w:t>
      </w:r>
      <w:r>
        <w:rPr/>
        <w:t>Jann</w:t>
      </w:r>
      <w:r>
        <w:rPr>
          <w:spacing w:val="-17"/>
        </w:rPr>
        <w:t> </w:t>
      </w:r>
      <w:r>
        <w:rPr/>
        <w:t>Foster,</w:t>
      </w:r>
      <w:r>
        <w:rPr>
          <w:spacing w:val="-17"/>
        </w:rPr>
        <w:t> </w:t>
      </w:r>
      <w:r>
        <w:rPr/>
        <w:t>Dr</w:t>
      </w:r>
      <w:r>
        <w:rPr>
          <w:spacing w:val="-17"/>
        </w:rPr>
        <w:t> </w:t>
      </w:r>
      <w:r>
        <w:rPr/>
        <w:t>Olayide</w:t>
      </w:r>
      <w:r>
        <w:rPr>
          <w:spacing w:val="-17"/>
        </w:rPr>
        <w:t> </w:t>
      </w:r>
      <w:r>
        <w:rPr/>
        <w:t>Ogunsiji</w:t>
      </w:r>
      <w:r>
        <w:rPr>
          <w:spacing w:val="-17"/>
        </w:rPr>
        <w:t> </w:t>
      </w:r>
      <w:r>
        <w:rPr/>
        <w:t>and</w:t>
      </w:r>
      <w:r>
        <w:rPr>
          <w:spacing w:val="-17"/>
        </w:rPr>
        <w:t> </w:t>
      </w:r>
      <w:r>
        <w:rPr/>
        <w:t>Dr</w:t>
      </w:r>
      <w:r>
        <w:rPr>
          <w:spacing w:val="-17"/>
        </w:rPr>
        <w:t> </w:t>
      </w:r>
      <w:r>
        <w:rPr/>
        <w:t>Kim Psaila – obtained Researcher Development </w:t>
      </w:r>
      <w:r>
        <w:rPr>
          <w:spacing w:val="1"/>
          <w:w w:val="97"/>
        </w:rPr>
        <w:t>grants</w:t>
      </w:r>
      <w:r>
        <w:rPr>
          <w:spacing w:val="-7"/>
          <w:w w:val="97"/>
        </w:rPr>
        <w:t> </w:t>
      </w:r>
      <w:r>
        <w:rPr>
          <w:w w:val="98"/>
        </w:rPr>
        <w:t>totalling</w:t>
      </w:r>
      <w:r>
        <w:rPr>
          <w:spacing w:val="-8"/>
          <w:w w:val="98"/>
        </w:rPr>
        <w:t> </w:t>
      </w:r>
      <w:r>
        <w:rPr>
          <w:spacing w:val="1"/>
          <w:w w:val="85"/>
        </w:rPr>
        <w:t>$109,159</w:t>
      </w:r>
      <w:r>
        <w:rPr>
          <w:spacing w:val="-1"/>
          <w:w w:val="85"/>
        </w:rPr>
        <w:t> </w:t>
      </w:r>
      <w:r>
        <w:rPr>
          <w:spacing w:val="1"/>
          <w:w w:val="98"/>
        </w:rPr>
        <w:t>from</w:t>
      </w:r>
      <w:r>
        <w:rPr>
          <w:spacing w:val="-8"/>
          <w:w w:val="98"/>
        </w:rPr>
        <w:t> </w:t>
      </w:r>
      <w:r>
        <w:rPr>
          <w:w w:val="97"/>
        </w:rPr>
        <w:t>the</w:t>
      </w:r>
      <w:r>
        <w:rPr>
          <w:spacing w:val="-7"/>
          <w:w w:val="97"/>
        </w:rPr>
        <w:t> </w:t>
      </w:r>
      <w:r>
        <w:rPr>
          <w:spacing w:val="1"/>
          <w:w w:val="98"/>
        </w:rPr>
        <w:t>Office</w:t>
      </w:r>
      <w:r>
        <w:rPr>
          <w:spacing w:val="-8"/>
          <w:w w:val="98"/>
        </w:rPr>
        <w:t> </w:t>
      </w:r>
      <w:r>
        <w:rPr>
          <w:w w:val="99"/>
        </w:rPr>
        <w:t>of</w:t>
      </w:r>
    </w:p>
    <w:p>
      <w:pPr>
        <w:pStyle w:val="BodyText"/>
        <w:spacing w:line="249" w:lineRule="auto"/>
        <w:ind w:left="107" w:right="197"/>
      </w:pPr>
      <w:r>
        <w:rPr/>
        <w:t>the Deputy Vice-Chancellor (Research and Development), including Women’s Research Fellowship and Early Career Research (ECR) Fellowship funding.</w:t>
      </w:r>
    </w:p>
    <w:p>
      <w:pPr>
        <w:pStyle w:val="BodyText"/>
        <w:rPr>
          <w:sz w:val="14"/>
        </w:rPr>
      </w:pPr>
    </w:p>
    <w:p>
      <w:pPr>
        <w:pStyle w:val="BodyText"/>
        <w:ind w:left="107" w:right="197"/>
      </w:pPr>
      <w:r>
        <w:rPr/>
        <w:t>Dr Mariana S Sousa has been awarded a</w:t>
      </w:r>
    </w:p>
    <w:p>
      <w:pPr>
        <w:pStyle w:val="BodyText"/>
        <w:spacing w:line="249" w:lineRule="auto" w:before="7"/>
        <w:ind w:left="107" w:right="-1"/>
      </w:pPr>
      <w:r>
        <w:rPr/>
        <w:t>$20,000 Breast Cancer Research Grant from the Ingham Institute for Applied Medical Research.</w:t>
      </w:r>
    </w:p>
    <w:p>
      <w:pPr>
        <w:pStyle w:val="BodyText"/>
        <w:rPr>
          <w:sz w:val="14"/>
        </w:rPr>
      </w:pPr>
    </w:p>
    <w:p>
      <w:pPr>
        <w:pStyle w:val="BodyText"/>
        <w:spacing w:line="249" w:lineRule="auto"/>
        <w:ind w:left="107" w:right="254"/>
      </w:pPr>
      <w:r>
        <w:rPr/>
        <w:t>The School received New Colombo Plan Mobility Program funding of $49,500 to help students undertake the ‘A Field Study:</w:t>
      </w:r>
    </w:p>
    <w:p>
      <w:pPr>
        <w:pStyle w:val="BodyText"/>
        <w:spacing w:line="249" w:lineRule="auto"/>
        <w:ind w:left="107" w:right="139"/>
      </w:pPr>
      <w:r>
        <w:rPr/>
        <w:t>Comparative Studies of Health Care Delivery’ unit in China.</w:t>
      </w:r>
    </w:p>
    <w:p>
      <w:pPr>
        <w:pStyle w:val="BodyText"/>
        <w:spacing w:before="3"/>
        <w:rPr>
          <w:sz w:val="19"/>
        </w:rPr>
      </w:pPr>
    </w:p>
    <w:p>
      <w:pPr>
        <w:pStyle w:val="Heading7"/>
        <w:ind w:right="460"/>
      </w:pPr>
      <w:r>
        <w:rPr>
          <w:w w:val="95"/>
        </w:rPr>
        <w:t>AWARDS AND ACHIEVEMENTS</w:t>
      </w:r>
    </w:p>
    <w:p>
      <w:pPr>
        <w:pStyle w:val="BodyText"/>
        <w:spacing w:line="249" w:lineRule="auto" w:before="58"/>
        <w:ind w:left="107" w:right="513"/>
      </w:pPr>
      <w:r>
        <w:rPr>
          <w:w w:val="80"/>
        </w:rPr>
        <w:t>In </w:t>
      </w:r>
      <w:r>
        <w:rPr>
          <w:w w:val="85"/>
        </w:rPr>
        <w:t>2016, </w:t>
      </w:r>
      <w:r>
        <w:rPr>
          <w:w w:val="97"/>
        </w:rPr>
        <w:t>the </w:t>
      </w:r>
      <w:r>
        <w:rPr>
          <w:w w:val="98"/>
        </w:rPr>
        <w:t>School’s </w:t>
      </w:r>
      <w:r>
        <w:rPr>
          <w:w w:val="98"/>
        </w:rPr>
        <w:t>academic </w:t>
      </w:r>
      <w:r>
        <w:rPr>
          <w:w w:val="97"/>
        </w:rPr>
        <w:t>and </w:t>
      </w:r>
      <w:r>
        <w:rPr/>
        <w:t>professional staff were recognised for a number of achievements:</w:t>
      </w:r>
    </w:p>
    <w:p>
      <w:pPr>
        <w:pStyle w:val="BodyText"/>
        <w:spacing w:line="244" w:lineRule="auto" w:before="55"/>
        <w:ind w:left="305" w:right="316" w:hanging="199"/>
      </w:pPr>
      <w:r>
        <w:rPr>
          <w:rFonts w:ascii="Century Gothic" w:hAnsi="Century Gothic"/>
          <w:b/>
          <w:w w:val="115"/>
        </w:rPr>
        <w:t>≥ </w:t>
      </w:r>
      <w:r>
        <w:rPr/>
        <w:t>The School was ranked among the top 50 nursing schools in the world in the</w:t>
      </w:r>
    </w:p>
    <w:p>
      <w:pPr>
        <w:pStyle w:val="BodyText"/>
        <w:spacing w:line="249" w:lineRule="auto" w:before="3"/>
        <w:ind w:left="305" w:right="122"/>
      </w:pPr>
      <w:r>
        <w:rPr/>
        <w:t>prestigious QS World University Rankings by Subject</w:t>
      </w:r>
    </w:p>
    <w:p>
      <w:pPr>
        <w:pStyle w:val="BodyText"/>
        <w:spacing w:line="247" w:lineRule="auto" w:before="55"/>
        <w:ind w:left="305" w:right="34" w:hanging="199"/>
      </w:pPr>
      <w:r>
        <w:rPr>
          <w:rFonts w:ascii="Century Gothic" w:hAnsi="Century Gothic"/>
          <w:b/>
          <w:w w:val="115"/>
        </w:rPr>
        <w:t>≥ </w:t>
      </w:r>
      <w:r>
        <w:rPr/>
        <w:t>The title of Emeritus Professor was conferred upon the retiring Dean, Professor Rhonda Griffiths, AM</w:t>
      </w:r>
    </w:p>
    <w:p>
      <w:pPr>
        <w:pStyle w:val="BodyText"/>
        <w:spacing w:line="247" w:lineRule="auto" w:before="57"/>
        <w:ind w:left="305" w:right="476" w:hanging="199"/>
      </w:pPr>
      <w:r>
        <w:rPr>
          <w:rFonts w:ascii="Century Gothic" w:hAnsi="Century Gothic"/>
          <w:b/>
          <w:w w:val="115"/>
        </w:rPr>
        <w:t>≥ </w:t>
      </w:r>
      <w:r>
        <w:rPr/>
        <w:t>Professor Virginia Schmied received the prestigious and competitive Vice Chancellor’s Excellence Award for Excellence in Postgraduate Research, Training and Supervision</w:t>
      </w:r>
    </w:p>
    <w:p>
      <w:pPr>
        <w:pStyle w:val="BodyText"/>
        <w:spacing w:line="247" w:lineRule="auto" w:before="57"/>
        <w:ind w:left="305" w:right="-1" w:hanging="199"/>
      </w:pPr>
      <w:r>
        <w:rPr>
          <w:rFonts w:ascii="Century Gothic" w:hAnsi="Century Gothic"/>
          <w:b/>
          <w:w w:val="115"/>
        </w:rPr>
        <w:t>≥ </w:t>
      </w:r>
      <w:r>
        <w:rPr/>
        <w:t>The Western Sydney University Homeless Connect Team (Dr Stacy Blythe, Kylie Docker, Yvonne Gatt, Sue Willis, Rebecca</w:t>
      </w:r>
    </w:p>
    <w:p>
      <w:pPr>
        <w:spacing w:after="0" w:line="247" w:lineRule="auto"/>
        <w:sectPr>
          <w:type w:val="continuous"/>
          <w:pgSz w:w="11910" w:h="16840"/>
          <w:pgMar w:top="1580" w:bottom="280" w:left="800" w:right="800"/>
          <w:cols w:num="3" w:equalWidth="0">
            <w:col w:w="3320" w:space="119"/>
            <w:col w:w="3302" w:space="138"/>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305"/>
      </w:pPr>
      <w:r>
        <w:rPr/>
        <w:t>Stamopoulos and Dr Rakime Elmir) was highly</w:t>
      </w:r>
      <w:r>
        <w:rPr>
          <w:spacing w:val="-11"/>
        </w:rPr>
        <w:t> </w:t>
      </w:r>
      <w:r>
        <w:rPr/>
        <w:t>commended</w:t>
      </w:r>
      <w:r>
        <w:rPr>
          <w:spacing w:val="-11"/>
        </w:rPr>
        <w:t> </w:t>
      </w:r>
      <w:r>
        <w:rPr/>
        <w:t>in</w:t>
      </w:r>
      <w:r>
        <w:rPr>
          <w:spacing w:val="-11"/>
        </w:rPr>
        <w:t> </w:t>
      </w:r>
      <w:r>
        <w:rPr/>
        <w:t>the</w:t>
      </w:r>
      <w:r>
        <w:rPr>
          <w:spacing w:val="-11"/>
        </w:rPr>
        <w:t> </w:t>
      </w:r>
      <w:r>
        <w:rPr/>
        <w:t>Vice-Chancellor’s Excellence Awards, in the Excellence in University Engagement and Sustainability category, for organising the hygiene drive and contributing to the Western Sydney </w:t>
      </w:r>
      <w:r>
        <w:rPr>
          <w:spacing w:val="2"/>
        </w:rPr>
        <w:t>Homeless</w:t>
      </w:r>
      <w:r>
        <w:rPr>
          <w:spacing w:val="-22"/>
        </w:rPr>
        <w:t> </w:t>
      </w:r>
      <w:r>
        <w:rPr>
          <w:spacing w:val="2"/>
        </w:rPr>
        <w:t>Connect</w:t>
      </w:r>
      <w:r>
        <w:rPr>
          <w:spacing w:val="-22"/>
        </w:rPr>
        <w:t> </w:t>
      </w:r>
      <w:r>
        <w:rPr/>
        <w:t>event</w:t>
      </w:r>
      <w:r>
        <w:rPr>
          <w:spacing w:val="-22"/>
        </w:rPr>
        <w:t> </w:t>
      </w:r>
      <w:r>
        <w:rPr/>
        <w:t>in</w:t>
      </w:r>
      <w:r>
        <w:rPr>
          <w:spacing w:val="-22"/>
        </w:rPr>
        <w:t> </w:t>
      </w:r>
      <w:r>
        <w:rPr/>
        <w:t>Parramatta</w:t>
      </w:r>
    </w:p>
    <w:p>
      <w:pPr>
        <w:pStyle w:val="BodyText"/>
        <w:spacing w:line="247" w:lineRule="auto" w:before="55"/>
        <w:ind w:left="305" w:right="198" w:hanging="199"/>
      </w:pPr>
      <w:r>
        <w:rPr>
          <w:rFonts w:ascii="Century Gothic" w:hAnsi="Century Gothic"/>
          <w:b/>
          <w:w w:val="115"/>
        </w:rPr>
        <w:t>≥ </w:t>
      </w:r>
      <w:r>
        <w:rPr/>
        <w:t>Associate Professor Deborah Hatcher was a finalist in the inaugural Alumni Awards, which recognise the significant contributions made by alumni in their local communities and beyond</w:t>
      </w:r>
    </w:p>
    <w:p>
      <w:pPr>
        <w:pStyle w:val="BodyText"/>
        <w:spacing w:line="247" w:lineRule="auto" w:before="57"/>
        <w:ind w:left="305" w:right="173" w:hanging="199"/>
      </w:pPr>
      <w:r>
        <w:rPr>
          <w:rFonts w:ascii="Century Gothic" w:hAnsi="Century Gothic"/>
          <w:b/>
          <w:w w:val="115"/>
        </w:rPr>
        <w:t>≥ </w:t>
      </w:r>
      <w:r>
        <w:rPr/>
        <w:t>Dr Evan Alexandrou won the Excellence in Innovation – Research category in </w:t>
      </w:r>
      <w:r>
        <w:rPr>
          <w:w w:val="101"/>
        </w:rPr>
        <w:t>NSW </w:t>
      </w:r>
      <w:r>
        <w:rPr>
          <w:w w:val="96"/>
        </w:rPr>
        <w:t>Health’s </w:t>
      </w:r>
      <w:r>
        <w:rPr>
          <w:w w:val="90"/>
        </w:rPr>
        <w:t>2016 </w:t>
      </w:r>
      <w:r>
        <w:rPr>
          <w:w w:val="98"/>
        </w:rPr>
        <w:t>Excellence </w:t>
      </w:r>
      <w:r>
        <w:rPr>
          <w:w w:val="95"/>
        </w:rPr>
        <w:t>in </w:t>
      </w:r>
      <w:r>
        <w:rPr>
          <w:w w:val="97"/>
        </w:rPr>
        <w:t>Nursing </w:t>
      </w:r>
      <w:r>
        <w:rPr/>
        <w:t>and Midwifery Awards for his study on improving outcomes for patients with vascular catheters. Dr Alexandrou and his Liverpool Hospital colleagues were also highly commended in the patient </w:t>
      </w:r>
      <w:r>
        <w:rPr>
          <w:w w:val="97"/>
        </w:rPr>
        <w:t>safety </w:t>
      </w:r>
      <w:r>
        <w:rPr>
          <w:w w:val="99"/>
        </w:rPr>
        <w:t>category </w:t>
      </w:r>
      <w:r>
        <w:rPr>
          <w:w w:val="98"/>
        </w:rPr>
        <w:t>at </w:t>
      </w:r>
      <w:r>
        <w:rPr>
          <w:w w:val="97"/>
        </w:rPr>
        <w:t>the </w:t>
      </w:r>
      <w:r>
        <w:rPr>
          <w:w w:val="90"/>
        </w:rPr>
        <w:t>2016 </w:t>
      </w:r>
      <w:r>
        <w:rPr>
          <w:w w:val="100"/>
        </w:rPr>
        <w:t>SWSLHD </w:t>
      </w:r>
      <w:r>
        <w:rPr/>
        <w:t>Quality Awards. He was also involved</w:t>
      </w:r>
    </w:p>
    <w:p>
      <w:pPr>
        <w:pStyle w:val="BodyText"/>
        <w:spacing w:line="249" w:lineRule="auto" w:before="1"/>
        <w:ind w:left="305" w:right="184"/>
      </w:pPr>
      <w:r>
        <w:rPr/>
        <w:t>in developing an online central line management course for the Health Education</w:t>
      </w:r>
      <w:r>
        <w:rPr>
          <w:spacing w:val="-25"/>
        </w:rPr>
        <w:t> </w:t>
      </w:r>
      <w:r>
        <w:rPr/>
        <w:t>and</w:t>
      </w:r>
      <w:r>
        <w:rPr>
          <w:spacing w:val="-25"/>
        </w:rPr>
        <w:t> </w:t>
      </w:r>
      <w:r>
        <w:rPr/>
        <w:t>Training</w:t>
      </w:r>
      <w:r>
        <w:rPr>
          <w:spacing w:val="-25"/>
        </w:rPr>
        <w:t> </w:t>
      </w:r>
      <w:r>
        <w:rPr/>
        <w:t>Institute</w:t>
      </w:r>
      <w:r>
        <w:rPr>
          <w:spacing w:val="-25"/>
        </w:rPr>
        <w:t> </w:t>
      </w:r>
      <w:r>
        <w:rPr/>
        <w:t>(HETI), which</w:t>
      </w:r>
      <w:r>
        <w:rPr>
          <w:spacing w:val="-16"/>
        </w:rPr>
        <w:t> </w:t>
      </w:r>
      <w:r>
        <w:rPr/>
        <w:t>won</w:t>
      </w:r>
      <w:r>
        <w:rPr>
          <w:spacing w:val="-16"/>
        </w:rPr>
        <w:t> </w:t>
      </w:r>
      <w:r>
        <w:rPr/>
        <w:t>a</w:t>
      </w:r>
      <w:r>
        <w:rPr>
          <w:spacing w:val="-16"/>
        </w:rPr>
        <w:t> </w:t>
      </w:r>
      <w:r>
        <w:rPr/>
        <w:t>Silver</w:t>
      </w:r>
      <w:r>
        <w:rPr>
          <w:spacing w:val="-16"/>
        </w:rPr>
        <w:t> </w:t>
      </w:r>
      <w:r>
        <w:rPr/>
        <w:t>award</w:t>
      </w:r>
      <w:r>
        <w:rPr>
          <w:spacing w:val="-16"/>
        </w:rPr>
        <w:t> </w:t>
      </w:r>
      <w:r>
        <w:rPr/>
        <w:t>at</w:t>
      </w:r>
      <w:r>
        <w:rPr>
          <w:spacing w:val="-16"/>
        </w:rPr>
        <w:t> </w:t>
      </w:r>
      <w:r>
        <w:rPr/>
        <w:t>the</w:t>
      </w:r>
      <w:r>
        <w:rPr>
          <w:spacing w:val="-16"/>
        </w:rPr>
        <w:t> </w:t>
      </w:r>
      <w:r>
        <w:rPr/>
        <w:t>Brandon Hall</w:t>
      </w:r>
      <w:r>
        <w:rPr>
          <w:spacing w:val="-14"/>
        </w:rPr>
        <w:t> </w:t>
      </w:r>
      <w:r>
        <w:rPr/>
        <w:t>Group</w:t>
      </w:r>
      <w:r>
        <w:rPr>
          <w:spacing w:val="-14"/>
        </w:rPr>
        <w:t> </w:t>
      </w:r>
      <w:r>
        <w:rPr/>
        <w:t>Excellence</w:t>
      </w:r>
      <w:r>
        <w:rPr>
          <w:spacing w:val="-14"/>
        </w:rPr>
        <w:t> </w:t>
      </w:r>
      <w:r>
        <w:rPr/>
        <w:t>Awards</w:t>
      </w:r>
    </w:p>
    <w:p>
      <w:pPr>
        <w:pStyle w:val="BodyText"/>
        <w:spacing w:line="247" w:lineRule="auto" w:before="55"/>
        <w:ind w:left="305" w:right="72" w:hanging="199"/>
      </w:pPr>
      <w:r>
        <w:rPr>
          <w:rFonts w:ascii="Century Gothic" w:hAnsi="Century Gothic"/>
          <w:b/>
          <w:w w:val="115"/>
        </w:rPr>
        <w:t>≥ </w:t>
      </w:r>
      <w:r>
        <w:rPr/>
        <w:t>Western Sydney University won the </w:t>
      </w:r>
      <w:r>
        <w:rPr>
          <w:spacing w:val="2"/>
        </w:rPr>
        <w:t>Export</w:t>
      </w:r>
      <w:r>
        <w:rPr>
          <w:spacing w:val="-9"/>
        </w:rPr>
        <w:t> </w:t>
      </w:r>
      <w:r>
        <w:rPr/>
        <w:t>of</w:t>
      </w:r>
      <w:r>
        <w:rPr>
          <w:spacing w:val="-9"/>
        </w:rPr>
        <w:t> </w:t>
      </w:r>
      <w:r>
        <w:rPr/>
        <w:t>Services</w:t>
      </w:r>
      <w:r>
        <w:rPr>
          <w:spacing w:val="-9"/>
        </w:rPr>
        <w:t> </w:t>
      </w:r>
      <w:r>
        <w:rPr/>
        <w:t>to</w:t>
      </w:r>
      <w:r>
        <w:rPr>
          <w:spacing w:val="-9"/>
        </w:rPr>
        <w:t> </w:t>
      </w:r>
      <w:r>
        <w:rPr/>
        <w:t>Hong</w:t>
      </w:r>
      <w:r>
        <w:rPr>
          <w:spacing w:val="-9"/>
        </w:rPr>
        <w:t> </w:t>
      </w:r>
      <w:r>
        <w:rPr/>
        <w:t>Kong</w:t>
      </w:r>
      <w:r>
        <w:rPr>
          <w:spacing w:val="-9"/>
        </w:rPr>
        <w:t> </w:t>
      </w:r>
      <w:r>
        <w:rPr/>
        <w:t>category at the Hong Kong–Australia Business Awards, recognising the longstanding contribution the School and University have</w:t>
      </w:r>
      <w:r>
        <w:rPr>
          <w:spacing w:val="-18"/>
        </w:rPr>
        <w:t> </w:t>
      </w:r>
      <w:r>
        <w:rPr/>
        <w:t>made</w:t>
      </w:r>
      <w:r>
        <w:rPr>
          <w:spacing w:val="-18"/>
        </w:rPr>
        <w:t> </w:t>
      </w:r>
      <w:r>
        <w:rPr/>
        <w:t>to</w:t>
      </w:r>
      <w:r>
        <w:rPr>
          <w:spacing w:val="-18"/>
        </w:rPr>
        <w:t> </w:t>
      </w:r>
      <w:r>
        <w:rPr/>
        <w:t>nursing</w:t>
      </w:r>
      <w:r>
        <w:rPr>
          <w:spacing w:val="-18"/>
        </w:rPr>
        <w:t> </w:t>
      </w:r>
      <w:r>
        <w:rPr/>
        <w:t>education</w:t>
      </w:r>
      <w:r>
        <w:rPr>
          <w:spacing w:val="-18"/>
        </w:rPr>
        <w:t> </w:t>
      </w:r>
      <w:r>
        <w:rPr/>
        <w:t>in</w:t>
      </w:r>
    </w:p>
    <w:p>
      <w:pPr>
        <w:pStyle w:val="BodyText"/>
        <w:spacing w:line="249" w:lineRule="auto" w:before="1"/>
        <w:ind w:left="305" w:right="353"/>
      </w:pPr>
      <w:r>
        <w:rPr/>
        <w:t>Hong Kong, including the School’s 26 years of partnership with HKBU</w:t>
      </w:r>
    </w:p>
    <w:p>
      <w:pPr>
        <w:pStyle w:val="BodyText"/>
        <w:spacing w:line="247" w:lineRule="auto" w:before="55"/>
        <w:ind w:left="305" w:right="202" w:hanging="199"/>
      </w:pPr>
      <w:r>
        <w:rPr>
          <w:rFonts w:ascii="Century Gothic" w:hAnsi="Century Gothic"/>
          <w:b/>
          <w:w w:val="115"/>
        </w:rPr>
        <w:t>≥ </w:t>
      </w:r>
      <w:r>
        <w:rPr/>
        <w:t>The School received the Platinum</w:t>
      </w:r>
      <w:r>
        <w:rPr>
          <w:spacing w:val="-29"/>
        </w:rPr>
        <w:t> </w:t>
      </w:r>
      <w:r>
        <w:rPr/>
        <w:t>Award for Blended Learning Optimization at the</w:t>
      </w:r>
      <w:r>
        <w:rPr>
          <w:spacing w:val="-22"/>
        </w:rPr>
        <w:t> </w:t>
      </w:r>
      <w:r>
        <w:rPr/>
        <w:t>IMS</w:t>
      </w:r>
      <w:r>
        <w:rPr>
          <w:spacing w:val="-22"/>
        </w:rPr>
        <w:t> </w:t>
      </w:r>
      <w:r>
        <w:rPr/>
        <w:t>Global</w:t>
      </w:r>
      <w:r>
        <w:rPr>
          <w:spacing w:val="-22"/>
        </w:rPr>
        <w:t> </w:t>
      </w:r>
      <w:r>
        <w:rPr/>
        <w:t>Learning</w:t>
      </w:r>
      <w:r>
        <w:rPr>
          <w:spacing w:val="-22"/>
        </w:rPr>
        <w:t> </w:t>
      </w:r>
      <w:r>
        <w:rPr>
          <w:spacing w:val="2"/>
        </w:rPr>
        <w:t>Impact</w:t>
      </w:r>
      <w:r>
        <w:rPr>
          <w:spacing w:val="-22"/>
        </w:rPr>
        <w:t> </w:t>
      </w:r>
      <w:r>
        <w:rPr/>
        <w:t>Awards, which recognise the most powerful and influential</w:t>
      </w:r>
      <w:r>
        <w:rPr>
          <w:spacing w:val="-14"/>
        </w:rPr>
        <w:t> </w:t>
      </w:r>
      <w:r>
        <w:rPr/>
        <w:t>uses</w:t>
      </w:r>
      <w:r>
        <w:rPr>
          <w:spacing w:val="-14"/>
        </w:rPr>
        <w:t> </w:t>
      </w:r>
      <w:r>
        <w:rPr/>
        <w:t>of</w:t>
      </w:r>
      <w:r>
        <w:rPr>
          <w:spacing w:val="-14"/>
        </w:rPr>
        <w:t> </w:t>
      </w:r>
      <w:r>
        <w:rPr/>
        <w:t>technology</w:t>
      </w:r>
      <w:r>
        <w:rPr>
          <w:spacing w:val="-14"/>
        </w:rPr>
        <w:t> </w:t>
      </w:r>
      <w:r>
        <w:rPr/>
        <w:t>in</w:t>
      </w:r>
      <w:r>
        <w:rPr>
          <w:spacing w:val="-14"/>
        </w:rPr>
        <w:t> </w:t>
      </w:r>
      <w:r>
        <w:rPr/>
        <w:t>support of learning worldwide. </w:t>
      </w:r>
      <w:r>
        <w:rPr>
          <w:spacing w:val="2"/>
        </w:rPr>
        <w:t>SoNM </w:t>
      </w:r>
      <w:r>
        <w:rPr/>
        <w:t>Blended Learning</w:t>
      </w:r>
      <w:r>
        <w:rPr>
          <w:spacing w:val="-16"/>
        </w:rPr>
        <w:t> </w:t>
      </w:r>
      <w:r>
        <w:rPr/>
        <w:t>Designer</w:t>
      </w:r>
      <w:r>
        <w:rPr>
          <w:spacing w:val="-16"/>
        </w:rPr>
        <w:t> </w:t>
      </w:r>
      <w:r>
        <w:rPr/>
        <w:t>Con</w:t>
      </w:r>
      <w:r>
        <w:rPr>
          <w:spacing w:val="-16"/>
        </w:rPr>
        <w:t> </w:t>
      </w:r>
      <w:r>
        <w:rPr/>
        <w:t>Athanasiou</w:t>
      </w:r>
    </w:p>
    <w:p>
      <w:pPr>
        <w:pStyle w:val="BodyText"/>
        <w:spacing w:line="249" w:lineRule="auto" w:before="1"/>
        <w:ind w:left="305"/>
      </w:pPr>
      <w:r>
        <w:rPr/>
        <w:t>prepared</w:t>
      </w:r>
      <w:r>
        <w:rPr>
          <w:spacing w:val="-13"/>
        </w:rPr>
        <w:t> </w:t>
      </w:r>
      <w:r>
        <w:rPr/>
        <w:t>the</w:t>
      </w:r>
      <w:r>
        <w:rPr>
          <w:spacing w:val="-13"/>
        </w:rPr>
        <w:t> </w:t>
      </w:r>
      <w:r>
        <w:rPr/>
        <w:t>video</w:t>
      </w:r>
      <w:r>
        <w:rPr>
          <w:spacing w:val="-13"/>
        </w:rPr>
        <w:t> </w:t>
      </w:r>
      <w:r>
        <w:rPr/>
        <w:t>entry</w:t>
      </w:r>
      <w:r>
        <w:rPr>
          <w:spacing w:val="-13"/>
        </w:rPr>
        <w:t> </w:t>
      </w:r>
      <w:r>
        <w:rPr/>
        <w:t>and</w:t>
      </w:r>
      <w:r>
        <w:rPr>
          <w:spacing w:val="-13"/>
        </w:rPr>
        <w:t> </w:t>
      </w:r>
      <w:r>
        <w:rPr/>
        <w:t>attended</w:t>
      </w:r>
      <w:r>
        <w:rPr>
          <w:spacing w:val="-13"/>
        </w:rPr>
        <w:t> </w:t>
      </w:r>
      <w:r>
        <w:rPr/>
        <w:t>the international</w:t>
      </w:r>
      <w:r>
        <w:rPr>
          <w:spacing w:val="-28"/>
        </w:rPr>
        <w:t> </w:t>
      </w:r>
      <w:r>
        <w:rPr/>
        <w:t>awards</w:t>
      </w:r>
      <w:r>
        <w:rPr>
          <w:spacing w:val="-28"/>
        </w:rPr>
        <w:t> </w:t>
      </w:r>
      <w:r>
        <w:rPr/>
        <w:t>ceremony</w:t>
      </w:r>
      <w:r>
        <w:rPr>
          <w:spacing w:val="-28"/>
        </w:rPr>
        <w:t> </w:t>
      </w:r>
      <w:r>
        <w:rPr/>
        <w:t>in</w:t>
      </w:r>
      <w:r>
        <w:rPr>
          <w:spacing w:val="-28"/>
        </w:rPr>
        <w:t> </w:t>
      </w:r>
      <w:r>
        <w:rPr/>
        <w:t>Texas</w:t>
      </w:r>
    </w:p>
    <w:p>
      <w:pPr>
        <w:pStyle w:val="BodyText"/>
        <w:spacing w:line="247" w:lineRule="auto" w:before="55"/>
        <w:ind w:left="305" w:right="735" w:hanging="199"/>
      </w:pPr>
      <w:r>
        <w:rPr>
          <w:rFonts w:ascii="Century Gothic" w:hAnsi="Century Gothic"/>
          <w:b/>
          <w:w w:val="115"/>
        </w:rPr>
        <w:t>≥ </w:t>
      </w:r>
      <w:r>
        <w:rPr/>
        <w:t>Six academic staff members and one professional staff member participated in the University’s Inspire Leadership Program.</w:t>
      </w:r>
    </w:p>
    <w:p>
      <w:pPr>
        <w:pStyle w:val="BodyText"/>
        <w:spacing w:before="7"/>
        <w:rPr>
          <w:sz w:val="19"/>
        </w:rPr>
      </w:pPr>
      <w:r>
        <w:rPr/>
        <w:br w:type="column"/>
      </w:r>
      <w:r>
        <w:rPr>
          <w:sz w:val="19"/>
        </w:rPr>
      </w:r>
    </w:p>
    <w:p>
      <w:pPr>
        <w:spacing w:line="274" w:lineRule="exact" w:before="0"/>
        <w:ind w:left="107" w:right="103" w:firstLine="0"/>
        <w:jc w:val="left"/>
        <w:rPr>
          <w:rFonts w:ascii="Gotham Narrow Bold"/>
          <w:b/>
          <w:sz w:val="24"/>
        </w:rPr>
      </w:pPr>
      <w:r>
        <w:rPr>
          <w:rFonts w:ascii="Gotham Narrow Bold"/>
          <w:b/>
          <w:w w:val="95"/>
          <w:sz w:val="24"/>
        </w:rPr>
        <w:t>SCHOOL OF</w:t>
      </w:r>
    </w:p>
    <w:p>
      <w:pPr>
        <w:spacing w:line="274" w:lineRule="exact" w:before="0"/>
        <w:ind w:left="107" w:right="103" w:firstLine="0"/>
        <w:jc w:val="left"/>
        <w:rPr>
          <w:rFonts w:ascii="Gotham Narrow Bold"/>
          <w:b/>
          <w:sz w:val="24"/>
        </w:rPr>
      </w:pPr>
      <w:r>
        <w:rPr>
          <w:rFonts w:ascii="Gotham Narrow Bold"/>
          <w:b/>
          <w:w w:val="95"/>
          <w:sz w:val="24"/>
        </w:rPr>
        <w:t>SCIENCE AND HEALTH</w:t>
      </w:r>
    </w:p>
    <w:p>
      <w:pPr>
        <w:pStyle w:val="BodyText"/>
        <w:spacing w:line="249" w:lineRule="auto" w:before="95"/>
        <w:ind w:left="107" w:right="499"/>
        <w:jc w:val="both"/>
      </w:pPr>
      <w:r>
        <w:rPr/>
        <w:t>The academic program of the School of</w:t>
      </w:r>
      <w:r>
        <w:rPr>
          <w:spacing w:val="-15"/>
        </w:rPr>
        <w:t> </w:t>
      </w:r>
      <w:r>
        <w:rPr/>
        <w:t>Science</w:t>
      </w:r>
      <w:r>
        <w:rPr>
          <w:spacing w:val="-15"/>
        </w:rPr>
        <w:t> </w:t>
      </w:r>
      <w:r>
        <w:rPr/>
        <w:t>and</w:t>
      </w:r>
      <w:r>
        <w:rPr>
          <w:spacing w:val="-15"/>
        </w:rPr>
        <w:t> </w:t>
      </w:r>
      <w:r>
        <w:rPr/>
        <w:t>Health</w:t>
      </w:r>
      <w:r>
        <w:rPr>
          <w:spacing w:val="-15"/>
        </w:rPr>
        <w:t> </w:t>
      </w:r>
      <w:r>
        <w:rPr/>
        <w:t>covers</w:t>
      </w:r>
      <w:r>
        <w:rPr>
          <w:spacing w:val="-15"/>
        </w:rPr>
        <w:t> </w:t>
      </w:r>
      <w:r>
        <w:rPr/>
        <w:t>a</w:t>
      </w:r>
      <w:r>
        <w:rPr>
          <w:spacing w:val="-15"/>
        </w:rPr>
        <w:t> </w:t>
      </w:r>
      <w:r>
        <w:rPr/>
        <w:t>broad range</w:t>
      </w:r>
      <w:r>
        <w:rPr>
          <w:spacing w:val="-16"/>
        </w:rPr>
        <w:t> </w:t>
      </w:r>
      <w:r>
        <w:rPr/>
        <w:t>of</w:t>
      </w:r>
      <w:r>
        <w:rPr>
          <w:spacing w:val="-16"/>
        </w:rPr>
        <w:t> </w:t>
      </w:r>
      <w:r>
        <w:rPr/>
        <w:t>disciplines</w:t>
      </w:r>
      <w:r>
        <w:rPr>
          <w:spacing w:val="-16"/>
        </w:rPr>
        <w:t> </w:t>
      </w:r>
      <w:r>
        <w:rPr/>
        <w:t>across</w:t>
      </w:r>
      <w:r>
        <w:rPr>
          <w:spacing w:val="-16"/>
        </w:rPr>
        <w:t> </w:t>
      </w:r>
      <w:r>
        <w:rPr/>
        <w:t>the</w:t>
      </w:r>
      <w:r>
        <w:rPr>
          <w:spacing w:val="-16"/>
        </w:rPr>
        <w:t> </w:t>
      </w:r>
      <w:r>
        <w:rPr/>
        <w:t>science</w:t>
      </w:r>
    </w:p>
    <w:p>
      <w:pPr>
        <w:pStyle w:val="BodyText"/>
        <w:spacing w:line="249" w:lineRule="auto"/>
        <w:ind w:left="107" w:right="103"/>
      </w:pPr>
      <w:r>
        <w:rPr/>
        <w:t>and health domains. This diversity fosters innovative collaborations across traditional boundaries, contemporary learning programs and strong research capabilities.</w:t>
      </w:r>
    </w:p>
    <w:p>
      <w:pPr>
        <w:pStyle w:val="BodyText"/>
        <w:rPr>
          <w:sz w:val="14"/>
        </w:rPr>
      </w:pPr>
    </w:p>
    <w:p>
      <w:pPr>
        <w:pStyle w:val="BodyText"/>
        <w:spacing w:line="249" w:lineRule="auto"/>
        <w:ind w:left="107" w:right="198"/>
      </w:pP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w w:val="96"/>
        </w:rPr>
        <w:t>was </w:t>
      </w:r>
      <w:r>
        <w:rPr>
          <w:spacing w:val="1"/>
          <w:w w:val="97"/>
        </w:rPr>
        <w:t>challenged</w:t>
      </w:r>
      <w:r>
        <w:rPr>
          <w:w w:val="97"/>
        </w:rPr>
        <w:t> </w:t>
      </w:r>
      <w:r>
        <w:rPr>
          <w:spacing w:val="-1"/>
          <w:w w:val="102"/>
        </w:rPr>
        <w:t>by</w:t>
      </w:r>
      <w:r>
        <w:rPr>
          <w:w w:val="102"/>
        </w:rPr>
        <w:t> </w:t>
      </w:r>
      <w:r>
        <w:rPr>
          <w:w w:val="94"/>
        </w:rPr>
        <w:t>a </w:t>
      </w:r>
      <w:r>
        <w:rPr/>
        <w:t>drop</w:t>
      </w:r>
      <w:r>
        <w:rPr>
          <w:spacing w:val="-15"/>
        </w:rPr>
        <w:t> </w:t>
      </w:r>
      <w:r>
        <w:rPr/>
        <w:t>in</w:t>
      </w:r>
      <w:r>
        <w:rPr>
          <w:spacing w:val="-15"/>
        </w:rPr>
        <w:t> </w:t>
      </w:r>
      <w:r>
        <w:rPr/>
        <w:t>student</w:t>
      </w:r>
      <w:r>
        <w:rPr>
          <w:spacing w:val="-15"/>
        </w:rPr>
        <w:t> </w:t>
      </w:r>
      <w:r>
        <w:rPr/>
        <w:t>numbers,</w:t>
      </w:r>
      <w:r>
        <w:rPr>
          <w:spacing w:val="-15"/>
        </w:rPr>
        <w:t> </w:t>
      </w:r>
      <w:r>
        <w:rPr/>
        <w:t>but</w:t>
      </w:r>
      <w:r>
        <w:rPr>
          <w:spacing w:val="-15"/>
        </w:rPr>
        <w:t> </w:t>
      </w:r>
      <w:r>
        <w:rPr/>
        <w:t>it</w:t>
      </w:r>
      <w:r>
        <w:rPr>
          <w:spacing w:val="-15"/>
        </w:rPr>
        <w:t> </w:t>
      </w:r>
      <w:r>
        <w:rPr/>
        <w:t>continued to</w:t>
      </w:r>
      <w:r>
        <w:rPr>
          <w:spacing w:val="-16"/>
        </w:rPr>
        <w:t> </w:t>
      </w:r>
      <w:r>
        <w:rPr/>
        <w:t>have</w:t>
      </w:r>
      <w:r>
        <w:rPr>
          <w:spacing w:val="-16"/>
        </w:rPr>
        <w:t> </w:t>
      </w:r>
      <w:r>
        <w:rPr/>
        <w:t>great</w:t>
      </w:r>
      <w:r>
        <w:rPr>
          <w:spacing w:val="-16"/>
        </w:rPr>
        <w:t> </w:t>
      </w:r>
      <w:r>
        <w:rPr/>
        <w:t>success</w:t>
      </w:r>
      <w:r>
        <w:rPr>
          <w:spacing w:val="-16"/>
        </w:rPr>
        <w:t> </w:t>
      </w:r>
      <w:r>
        <w:rPr/>
        <w:t>across</w:t>
      </w:r>
      <w:r>
        <w:rPr>
          <w:spacing w:val="-16"/>
        </w:rPr>
        <w:t> </w:t>
      </w:r>
      <w:r>
        <w:rPr/>
        <w:t>a</w:t>
      </w:r>
      <w:r>
        <w:rPr>
          <w:spacing w:val="-16"/>
        </w:rPr>
        <w:t> </w:t>
      </w:r>
      <w:r>
        <w:rPr/>
        <w:t>wide</w:t>
      </w:r>
      <w:r>
        <w:rPr>
          <w:spacing w:val="-16"/>
        </w:rPr>
        <w:t> </w:t>
      </w:r>
      <w:r>
        <w:rPr/>
        <w:t>range of</w:t>
      </w:r>
      <w:r>
        <w:rPr>
          <w:spacing w:val="-22"/>
        </w:rPr>
        <w:t> </w:t>
      </w:r>
      <w:r>
        <w:rPr/>
        <w:t>activities.</w:t>
      </w:r>
      <w:r>
        <w:rPr>
          <w:spacing w:val="-22"/>
        </w:rPr>
        <w:t> </w:t>
      </w:r>
      <w:r>
        <w:rPr/>
        <w:t>It</w:t>
      </w:r>
      <w:r>
        <w:rPr>
          <w:spacing w:val="-22"/>
        </w:rPr>
        <w:t> </w:t>
      </w:r>
      <w:r>
        <w:rPr/>
        <w:t>exceeded</w:t>
      </w:r>
      <w:r>
        <w:rPr>
          <w:spacing w:val="-22"/>
        </w:rPr>
        <w:t> </w:t>
      </w:r>
      <w:r>
        <w:rPr/>
        <w:t>research</w:t>
      </w:r>
      <w:r>
        <w:rPr>
          <w:spacing w:val="-22"/>
        </w:rPr>
        <w:t> </w:t>
      </w:r>
      <w:r>
        <w:rPr/>
        <w:t>revenue targets</w:t>
      </w:r>
      <w:r>
        <w:rPr>
          <w:spacing w:val="-14"/>
        </w:rPr>
        <w:t> </w:t>
      </w:r>
      <w:r>
        <w:rPr/>
        <w:t>with</w:t>
      </w:r>
      <w:r>
        <w:rPr>
          <w:spacing w:val="-14"/>
        </w:rPr>
        <w:t> </w:t>
      </w:r>
      <w:r>
        <w:rPr/>
        <w:t>the</w:t>
      </w:r>
      <w:r>
        <w:rPr>
          <w:spacing w:val="-14"/>
        </w:rPr>
        <w:t> </w:t>
      </w:r>
      <w:r>
        <w:rPr/>
        <w:t>help</w:t>
      </w:r>
      <w:r>
        <w:rPr>
          <w:spacing w:val="-14"/>
        </w:rPr>
        <w:t> </w:t>
      </w:r>
      <w:r>
        <w:rPr/>
        <w:t>of</w:t>
      </w:r>
      <w:r>
        <w:rPr>
          <w:spacing w:val="-14"/>
        </w:rPr>
        <w:t> </w:t>
      </w:r>
      <w:r>
        <w:rPr/>
        <w:t>grants</w:t>
      </w:r>
      <w:r>
        <w:rPr>
          <w:spacing w:val="-14"/>
        </w:rPr>
        <w:t> </w:t>
      </w:r>
      <w:r>
        <w:rPr/>
        <w:t>to</w:t>
      </w:r>
      <w:r>
        <w:rPr>
          <w:spacing w:val="-14"/>
        </w:rPr>
        <w:t> </w:t>
      </w:r>
      <w:r>
        <w:rPr/>
        <w:t>its</w:t>
      </w:r>
      <w:r>
        <w:rPr>
          <w:spacing w:val="-14"/>
        </w:rPr>
        <w:t> </w:t>
      </w:r>
      <w:r>
        <w:rPr/>
        <w:t>Early Career Researchers (ECRs) and a new industry partnership scheme. It enjoyed large student intakes for new health and physical education, and science/natural science</w:t>
      </w:r>
      <w:r>
        <w:rPr>
          <w:spacing w:val="-20"/>
        </w:rPr>
        <w:t> </w:t>
      </w:r>
      <w:r>
        <w:rPr/>
        <w:t>courses.</w:t>
      </w:r>
      <w:r>
        <w:rPr>
          <w:spacing w:val="-20"/>
        </w:rPr>
        <w:t> </w:t>
      </w:r>
      <w:r>
        <w:rPr/>
        <w:t>It</w:t>
      </w:r>
      <w:r>
        <w:rPr>
          <w:spacing w:val="-20"/>
        </w:rPr>
        <w:t> </w:t>
      </w:r>
      <w:r>
        <w:rPr/>
        <w:t>developed</w:t>
      </w:r>
      <w:r>
        <w:rPr>
          <w:spacing w:val="-20"/>
        </w:rPr>
        <w:t> </w:t>
      </w:r>
      <w:r>
        <w:rPr/>
        <w:t>new</w:t>
      </w:r>
      <w:r>
        <w:rPr>
          <w:spacing w:val="-20"/>
        </w:rPr>
        <w:t> </w:t>
      </w:r>
      <w:r>
        <w:rPr/>
        <w:t>courses </w:t>
      </w:r>
      <w:r>
        <w:rPr>
          <w:w w:val="98"/>
        </w:rPr>
        <w:t>for </w:t>
      </w:r>
      <w:r>
        <w:rPr>
          <w:w w:val="87"/>
        </w:rPr>
        <w:t>2017 </w:t>
      </w:r>
      <w:r>
        <w:rPr>
          <w:w w:val="95"/>
        </w:rPr>
        <w:t>in </w:t>
      </w:r>
      <w:r>
        <w:rPr>
          <w:spacing w:val="1"/>
          <w:w w:val="94"/>
        </w:rPr>
        <w:t>science,</w:t>
      </w:r>
      <w:r>
        <w:rPr>
          <w:w w:val="94"/>
        </w:rPr>
        <w:t> </w:t>
      </w:r>
      <w:r>
        <w:rPr>
          <w:spacing w:val="1"/>
          <w:w w:val="97"/>
        </w:rPr>
        <w:t>medical</w:t>
      </w:r>
      <w:r>
        <w:rPr>
          <w:w w:val="97"/>
        </w:rPr>
        <w:t> </w:t>
      </w:r>
      <w:r>
        <w:rPr>
          <w:spacing w:val="1"/>
          <w:w w:val="97"/>
        </w:rPr>
        <w:t>science</w:t>
      </w:r>
      <w:r>
        <w:rPr>
          <w:w w:val="97"/>
        </w:rPr>
        <w:t> </w:t>
      </w:r>
      <w:r>
        <w:rPr>
          <w:spacing w:val="1"/>
          <w:w w:val="97"/>
        </w:rPr>
        <w:t>and</w:t>
      </w:r>
      <w:r>
        <w:rPr>
          <w:w w:val="97"/>
        </w:rPr>
        <w:t> </w:t>
      </w:r>
      <w:r>
        <w:rPr/>
        <w:t>forensic science, and offered students opportunities to study undergraduate health</w:t>
      </w:r>
      <w:r>
        <w:rPr>
          <w:spacing w:val="-27"/>
        </w:rPr>
        <w:t> </w:t>
      </w:r>
      <w:r>
        <w:rPr/>
        <w:t>science</w:t>
      </w:r>
      <w:r>
        <w:rPr>
          <w:spacing w:val="-27"/>
        </w:rPr>
        <w:t> </w:t>
      </w:r>
      <w:r>
        <w:rPr/>
        <w:t>with</w:t>
      </w:r>
      <w:r>
        <w:rPr>
          <w:spacing w:val="-27"/>
        </w:rPr>
        <w:t> </w:t>
      </w:r>
      <w:r>
        <w:rPr/>
        <w:t>external</w:t>
      </w:r>
      <w:r>
        <w:rPr>
          <w:spacing w:val="-27"/>
        </w:rPr>
        <w:t> </w:t>
      </w:r>
      <w:r>
        <w:rPr>
          <w:spacing w:val="2"/>
        </w:rPr>
        <w:t>partners.</w:t>
      </w:r>
    </w:p>
    <w:p>
      <w:pPr>
        <w:pStyle w:val="BodyText"/>
        <w:rPr>
          <w:sz w:val="14"/>
        </w:rPr>
      </w:pPr>
    </w:p>
    <w:p>
      <w:pPr>
        <w:pStyle w:val="BodyText"/>
        <w:spacing w:line="249" w:lineRule="auto"/>
        <w:ind w:left="107" w:right="129"/>
      </w:pPr>
      <w:r>
        <w:rPr/>
        <w:t>The</w:t>
      </w:r>
      <w:r>
        <w:rPr>
          <w:spacing w:val="-16"/>
        </w:rPr>
        <w:t> </w:t>
      </w:r>
      <w:r>
        <w:rPr/>
        <w:t>School</w:t>
      </w:r>
      <w:r>
        <w:rPr>
          <w:spacing w:val="-16"/>
        </w:rPr>
        <w:t> </w:t>
      </w:r>
      <w:r>
        <w:rPr/>
        <w:t>reached</w:t>
      </w:r>
      <w:r>
        <w:rPr>
          <w:spacing w:val="-16"/>
        </w:rPr>
        <w:t> </w:t>
      </w:r>
      <w:r>
        <w:rPr/>
        <w:t>a</w:t>
      </w:r>
      <w:r>
        <w:rPr>
          <w:spacing w:val="-16"/>
        </w:rPr>
        <w:t> </w:t>
      </w:r>
      <w:r>
        <w:rPr/>
        <w:t>significant</w:t>
      </w:r>
      <w:r>
        <w:rPr>
          <w:spacing w:val="-16"/>
        </w:rPr>
        <w:t> </w:t>
      </w:r>
      <w:r>
        <w:rPr/>
        <w:t>milestone </w:t>
      </w:r>
      <w:r>
        <w:rPr>
          <w:w w:val="95"/>
        </w:rPr>
        <w:t>in </w:t>
      </w:r>
      <w:r>
        <w:rPr>
          <w:spacing w:val="1"/>
          <w:w w:val="100"/>
        </w:rPr>
        <w:t>August</w:t>
      </w:r>
      <w:r>
        <w:rPr>
          <w:w w:val="100"/>
        </w:rPr>
        <w:t> </w:t>
      </w:r>
      <w:r>
        <w:rPr>
          <w:spacing w:val="1"/>
          <w:w w:val="90"/>
        </w:rPr>
        <w:t>2016</w:t>
      </w:r>
      <w:r>
        <w:rPr>
          <w:w w:val="90"/>
        </w:rPr>
        <w:t> </w:t>
      </w:r>
      <w:r>
        <w:rPr>
          <w:spacing w:val="1"/>
          <w:w w:val="97"/>
        </w:rPr>
        <w:t>when</w:t>
      </w:r>
      <w:r>
        <w:rPr>
          <w:w w:val="97"/>
        </w:rPr>
        <w:t> </w:t>
      </w:r>
      <w:r>
        <w:rPr>
          <w:w w:val="99"/>
        </w:rPr>
        <w:t>it </w:t>
      </w:r>
      <w:r>
        <w:rPr>
          <w:w w:val="99"/>
        </w:rPr>
        <w:t>moved </w:t>
      </w:r>
      <w:r>
        <w:rPr>
          <w:spacing w:val="-1"/>
          <w:w w:val="98"/>
        </w:rPr>
        <w:t>into</w:t>
      </w:r>
      <w:r>
        <w:rPr>
          <w:w w:val="98"/>
        </w:rPr>
        <w:t> </w:t>
      </w:r>
      <w:r>
        <w:rPr>
          <w:w w:val="97"/>
        </w:rPr>
        <w:t>new </w:t>
      </w:r>
      <w:r>
        <w:rPr/>
        <w:t>science</w:t>
      </w:r>
      <w:r>
        <w:rPr>
          <w:spacing w:val="-20"/>
        </w:rPr>
        <w:t> </w:t>
      </w:r>
      <w:r>
        <w:rPr/>
        <w:t>facilities</w:t>
      </w:r>
      <w:r>
        <w:rPr>
          <w:spacing w:val="-20"/>
        </w:rPr>
        <w:t> </w:t>
      </w:r>
      <w:r>
        <w:rPr/>
        <w:t>at</w:t>
      </w:r>
      <w:r>
        <w:rPr>
          <w:spacing w:val="-20"/>
        </w:rPr>
        <w:t> </w:t>
      </w:r>
      <w:r>
        <w:rPr/>
        <w:t>the</w:t>
      </w:r>
      <w:r>
        <w:rPr>
          <w:spacing w:val="-20"/>
        </w:rPr>
        <w:t> </w:t>
      </w:r>
      <w:r>
        <w:rPr/>
        <w:t>Parramatta</w:t>
      </w:r>
      <w:r>
        <w:rPr>
          <w:spacing w:val="-20"/>
        </w:rPr>
        <w:t> </w:t>
      </w:r>
      <w:r>
        <w:rPr>
          <w:spacing w:val="2"/>
        </w:rPr>
        <w:t>campus. </w:t>
      </w:r>
      <w:r>
        <w:rPr/>
        <w:t>Its programs will also benefit from a new allied health teaching and research facility at the Campbelltown </w:t>
      </w:r>
      <w:r>
        <w:rPr>
          <w:spacing w:val="2"/>
        </w:rPr>
        <w:t>campus, </w:t>
      </w:r>
      <w:r>
        <w:rPr/>
        <w:t>due for </w:t>
      </w:r>
      <w:r>
        <w:rPr>
          <w:w w:val="95"/>
        </w:rPr>
        <w:t>completion in</w:t>
      </w:r>
      <w:r>
        <w:rPr>
          <w:spacing w:val="-5"/>
          <w:w w:val="95"/>
        </w:rPr>
        <w:t> </w:t>
      </w:r>
      <w:r>
        <w:rPr>
          <w:w w:val="95"/>
        </w:rPr>
        <w:t>mid-2017.</w:t>
      </w:r>
    </w:p>
    <w:p>
      <w:pPr>
        <w:pStyle w:val="BodyText"/>
        <w:rPr>
          <w:sz w:val="14"/>
        </w:rPr>
      </w:pPr>
    </w:p>
    <w:p>
      <w:pPr>
        <w:pStyle w:val="BodyText"/>
        <w:spacing w:line="249" w:lineRule="auto"/>
        <w:ind w:left="107" w:right="-13"/>
      </w:pPr>
      <w:r>
        <w:rPr/>
        <w:t>The success of the School’s staff members </w:t>
      </w:r>
      <w:r>
        <w:rPr>
          <w:w w:val="96"/>
        </w:rPr>
        <w:t>was </w:t>
      </w:r>
      <w:r>
        <w:rPr>
          <w:w w:val="98"/>
        </w:rPr>
        <w:t>recognised </w:t>
      </w:r>
      <w:r>
        <w:rPr>
          <w:w w:val="98"/>
        </w:rPr>
        <w:t>at </w:t>
      </w:r>
      <w:r>
        <w:rPr>
          <w:w w:val="97"/>
        </w:rPr>
        <w:t>the </w:t>
      </w:r>
      <w:r>
        <w:rPr>
          <w:w w:val="90"/>
        </w:rPr>
        <w:t>2016 </w:t>
      </w:r>
      <w:r>
        <w:rPr>
          <w:w w:val="98"/>
        </w:rPr>
        <w:t>Vice-Chancellor’s </w:t>
      </w:r>
      <w:r>
        <w:rPr/>
        <w:t>Excellence Awards.</w:t>
      </w:r>
    </w:p>
    <w:p>
      <w:pPr>
        <w:pStyle w:val="BodyText"/>
        <w:spacing w:before="3"/>
        <w:rPr>
          <w:sz w:val="19"/>
        </w:rPr>
      </w:pPr>
    </w:p>
    <w:p>
      <w:pPr>
        <w:pStyle w:val="Heading7"/>
        <w:ind w:right="103"/>
      </w:pPr>
      <w:r>
        <w:rPr>
          <w:w w:val="95"/>
        </w:rPr>
        <w:t>LEARNING AND TEACHING</w:t>
      </w:r>
    </w:p>
    <w:p>
      <w:pPr>
        <w:pStyle w:val="BodyText"/>
        <w:spacing w:line="249" w:lineRule="auto" w:before="58"/>
        <w:ind w:left="107" w:right="-13"/>
      </w:pPr>
      <w:r>
        <w:rPr/>
        <w:t>The</w:t>
      </w:r>
      <w:r>
        <w:rPr>
          <w:spacing w:val="-18"/>
        </w:rPr>
        <w:t> </w:t>
      </w:r>
      <w:r>
        <w:rPr/>
        <w:t>School</w:t>
      </w:r>
      <w:r>
        <w:rPr>
          <w:spacing w:val="-18"/>
        </w:rPr>
        <w:t> </w:t>
      </w:r>
      <w:r>
        <w:rPr/>
        <w:t>continued</w:t>
      </w:r>
      <w:r>
        <w:rPr>
          <w:spacing w:val="-18"/>
        </w:rPr>
        <w:t> </w:t>
      </w:r>
      <w:r>
        <w:rPr/>
        <w:t>to</w:t>
      </w:r>
      <w:r>
        <w:rPr>
          <w:spacing w:val="-18"/>
        </w:rPr>
        <w:t> </w:t>
      </w:r>
      <w:r>
        <w:rPr/>
        <w:t>offer</w:t>
      </w:r>
      <w:r>
        <w:rPr>
          <w:spacing w:val="-18"/>
        </w:rPr>
        <w:t> </w:t>
      </w:r>
      <w:r>
        <w:rPr/>
        <w:t>unique,</w:t>
      </w:r>
      <w:r>
        <w:rPr>
          <w:spacing w:val="-18"/>
        </w:rPr>
        <w:t> </w:t>
      </w:r>
      <w:r>
        <w:rPr/>
        <w:t>flexible and responsive learning experiences. It introduced new undergraduate courses including the Bachelor of Science (Zoology)/ Bachelor</w:t>
      </w:r>
      <w:r>
        <w:rPr>
          <w:spacing w:val="-14"/>
        </w:rPr>
        <w:t> </w:t>
      </w:r>
      <w:r>
        <w:rPr/>
        <w:t>of</w:t>
      </w:r>
      <w:r>
        <w:rPr>
          <w:spacing w:val="-14"/>
        </w:rPr>
        <w:t> </w:t>
      </w:r>
      <w:r>
        <w:rPr/>
        <w:t>Natural</w:t>
      </w:r>
      <w:r>
        <w:rPr>
          <w:spacing w:val="-14"/>
        </w:rPr>
        <w:t> </w:t>
      </w:r>
      <w:r>
        <w:rPr/>
        <w:t>Science</w:t>
      </w:r>
      <w:r>
        <w:rPr>
          <w:spacing w:val="-14"/>
        </w:rPr>
        <w:t> </w:t>
      </w:r>
      <w:r>
        <w:rPr/>
        <w:t>(Animal</w:t>
      </w:r>
      <w:r>
        <w:rPr>
          <w:spacing w:val="-14"/>
        </w:rPr>
        <w:t> </w:t>
      </w:r>
      <w:r>
        <w:rPr/>
        <w:t>Science) double degree, and the Bachelor of Health Science</w:t>
      </w:r>
      <w:r>
        <w:rPr>
          <w:spacing w:val="-17"/>
        </w:rPr>
        <w:t> </w:t>
      </w:r>
      <w:r>
        <w:rPr/>
        <w:t>(Health</w:t>
      </w:r>
      <w:r>
        <w:rPr>
          <w:spacing w:val="-17"/>
        </w:rPr>
        <w:t> </w:t>
      </w:r>
      <w:r>
        <w:rPr/>
        <w:t>and</w:t>
      </w:r>
      <w:r>
        <w:rPr>
          <w:spacing w:val="-17"/>
        </w:rPr>
        <w:t> </w:t>
      </w:r>
      <w:r>
        <w:rPr/>
        <w:t>Physical</w:t>
      </w:r>
      <w:r>
        <w:rPr>
          <w:spacing w:val="-17"/>
        </w:rPr>
        <w:t> </w:t>
      </w:r>
      <w:r>
        <w:rPr/>
        <w:t>Education)</w:t>
      </w:r>
    </w:p>
    <w:p>
      <w:pPr>
        <w:pStyle w:val="BodyText"/>
        <w:spacing w:line="249" w:lineRule="auto"/>
        <w:ind w:left="107" w:right="30"/>
      </w:pPr>
      <w:r>
        <w:rPr/>
        <w:t>Pathway to Teaching (Secondary). Both were highly popular with students. It also introduced</w:t>
      </w:r>
      <w:r>
        <w:rPr>
          <w:spacing w:val="-13"/>
        </w:rPr>
        <w:t> </w:t>
      </w:r>
      <w:r>
        <w:rPr/>
        <w:t>online</w:t>
      </w:r>
      <w:r>
        <w:rPr>
          <w:spacing w:val="-13"/>
        </w:rPr>
        <w:t> </w:t>
      </w:r>
      <w:r>
        <w:rPr/>
        <w:t>options</w:t>
      </w:r>
      <w:r>
        <w:rPr>
          <w:spacing w:val="-13"/>
        </w:rPr>
        <w:t> </w:t>
      </w:r>
      <w:r>
        <w:rPr/>
        <w:t>for</w:t>
      </w:r>
      <w:r>
        <w:rPr>
          <w:spacing w:val="-13"/>
        </w:rPr>
        <w:t> </w:t>
      </w:r>
      <w:r>
        <w:rPr/>
        <w:t>the</w:t>
      </w:r>
      <w:r>
        <w:rPr>
          <w:spacing w:val="-13"/>
        </w:rPr>
        <w:t> </w:t>
      </w:r>
      <w:r>
        <w:rPr/>
        <w:t>Bachelor</w:t>
      </w:r>
      <w:r>
        <w:rPr>
          <w:spacing w:val="-13"/>
        </w:rPr>
        <w:t> </w:t>
      </w:r>
      <w:r>
        <w:rPr/>
        <w:t>of Health</w:t>
      </w:r>
      <w:r>
        <w:rPr>
          <w:spacing w:val="-17"/>
        </w:rPr>
        <w:t> </w:t>
      </w:r>
      <w:r>
        <w:rPr/>
        <w:t>Science</w:t>
      </w:r>
      <w:r>
        <w:rPr>
          <w:spacing w:val="-17"/>
        </w:rPr>
        <w:t> </w:t>
      </w:r>
      <w:r>
        <w:rPr/>
        <w:t>and</w:t>
      </w:r>
      <w:r>
        <w:rPr>
          <w:spacing w:val="-17"/>
        </w:rPr>
        <w:t> </w:t>
      </w:r>
      <w:r>
        <w:rPr/>
        <w:t>Master</w:t>
      </w:r>
      <w:r>
        <w:rPr>
          <w:spacing w:val="-17"/>
        </w:rPr>
        <w:t> </w:t>
      </w:r>
      <w:r>
        <w:rPr/>
        <w:t>of</w:t>
      </w:r>
      <w:r>
        <w:rPr>
          <w:spacing w:val="-17"/>
        </w:rPr>
        <w:t> </w:t>
      </w:r>
      <w:r>
        <w:rPr/>
        <w:t>Health</w:t>
      </w:r>
      <w:r>
        <w:rPr>
          <w:spacing w:val="-17"/>
        </w:rPr>
        <w:t> </w:t>
      </w:r>
      <w:r>
        <w:rPr/>
        <w:t>Science programs,</w:t>
      </w:r>
      <w:r>
        <w:rPr>
          <w:spacing w:val="-16"/>
        </w:rPr>
        <w:t> </w:t>
      </w:r>
      <w:r>
        <w:rPr/>
        <w:t>and</w:t>
      </w:r>
      <w:r>
        <w:rPr>
          <w:spacing w:val="-16"/>
        </w:rPr>
        <w:t> </w:t>
      </w:r>
      <w:r>
        <w:rPr/>
        <w:t>will</w:t>
      </w:r>
      <w:r>
        <w:rPr>
          <w:spacing w:val="-16"/>
        </w:rPr>
        <w:t> </w:t>
      </w:r>
      <w:r>
        <w:rPr/>
        <w:t>progressively</w:t>
      </w:r>
      <w:r>
        <w:rPr>
          <w:spacing w:val="-16"/>
        </w:rPr>
        <w:t> </w:t>
      </w:r>
      <w:r>
        <w:rPr/>
        <w:t>develop</w:t>
      </w:r>
      <w:r>
        <w:rPr>
          <w:spacing w:val="-16"/>
        </w:rPr>
        <w:t> </w:t>
      </w:r>
      <w:r>
        <w:rPr/>
        <w:t>the </w:t>
      </w:r>
      <w:r>
        <w:rPr>
          <w:w w:val="98"/>
        </w:rPr>
        <w:t>coursework </w:t>
      </w:r>
      <w:r>
        <w:rPr>
          <w:spacing w:val="1"/>
          <w:w w:val="96"/>
        </w:rPr>
        <w:t>masters</w:t>
      </w:r>
      <w:r>
        <w:rPr>
          <w:w w:val="96"/>
        </w:rPr>
        <w:t> </w:t>
      </w:r>
      <w:r>
        <w:rPr>
          <w:spacing w:val="1"/>
          <w:w w:val="98"/>
        </w:rPr>
        <w:t>programs</w:t>
      </w:r>
      <w:r>
        <w:rPr>
          <w:w w:val="98"/>
        </w:rPr>
        <w:t> </w:t>
      </w:r>
      <w:r>
        <w:rPr>
          <w:w w:val="95"/>
        </w:rPr>
        <w:t>in</w:t>
      </w:r>
      <w:r>
        <w:rPr>
          <w:spacing w:val="-15"/>
          <w:w w:val="95"/>
        </w:rPr>
        <w:t> </w:t>
      </w:r>
      <w:r>
        <w:rPr>
          <w:spacing w:val="-2"/>
          <w:w w:val="83"/>
        </w:rPr>
        <w:t>2017.</w:t>
      </w:r>
    </w:p>
    <w:p>
      <w:pPr>
        <w:pStyle w:val="BodyText"/>
        <w:spacing w:before="1"/>
        <w:rPr>
          <w:sz w:val="20"/>
        </w:rPr>
      </w:pPr>
      <w:r>
        <w:rPr/>
        <w:br w:type="column"/>
      </w:r>
      <w:r>
        <w:rPr>
          <w:sz w:val="20"/>
        </w:rPr>
      </w:r>
    </w:p>
    <w:p>
      <w:pPr>
        <w:pStyle w:val="BodyText"/>
        <w:spacing w:line="249" w:lineRule="auto"/>
        <w:ind w:left="107" w:right="155"/>
      </w:pPr>
      <w:r>
        <w:rPr/>
        <w:t>Close collaboration between academic staff and the Blended Learning team allowed the School to continue to develop contemporary courses and new approaches to improving teaching and learning outcomes. In line with the theme of developing unique learning experiences, the School finalised course developments for the Bachelor of Medical Science (Forensic Mortuary Practice). It also amended the Master of Forensic Science (online) with the help of domestic and international collaboration. Both updated </w:t>
      </w:r>
      <w:r>
        <w:rPr>
          <w:w w:val="97"/>
        </w:rPr>
        <w:t>courses </w:t>
      </w:r>
      <w:r>
        <w:rPr>
          <w:w w:val="95"/>
        </w:rPr>
        <w:t>are </w:t>
      </w:r>
      <w:r>
        <w:rPr>
          <w:w w:val="98"/>
        </w:rPr>
        <w:t>part </w:t>
      </w:r>
      <w:r>
        <w:rPr>
          <w:w w:val="99"/>
        </w:rPr>
        <w:t>of </w:t>
      </w:r>
      <w:r>
        <w:rPr>
          <w:w w:val="97"/>
        </w:rPr>
        <w:t>the </w:t>
      </w:r>
      <w:r>
        <w:rPr>
          <w:w w:val="98"/>
        </w:rPr>
        <w:t>School’s </w:t>
      </w:r>
      <w:r>
        <w:rPr>
          <w:w w:val="87"/>
        </w:rPr>
        <w:t>2017 </w:t>
      </w:r>
      <w:r>
        <w:rPr>
          <w:w w:val="97"/>
        </w:rPr>
        <w:t>course </w:t>
      </w:r>
      <w:r>
        <w:rPr/>
        <w:t>offerings. A workgroup was established</w:t>
      </w:r>
    </w:p>
    <w:p>
      <w:pPr>
        <w:pStyle w:val="BodyText"/>
        <w:spacing w:line="249" w:lineRule="auto"/>
        <w:ind w:left="107" w:right="365"/>
      </w:pPr>
      <w:r>
        <w:rPr/>
        <w:t>to streamline and strengthen the School’s science programs.</w:t>
      </w:r>
    </w:p>
    <w:p>
      <w:pPr>
        <w:pStyle w:val="BodyText"/>
        <w:rPr>
          <w:sz w:val="14"/>
        </w:rPr>
      </w:pPr>
    </w:p>
    <w:p>
      <w:pPr>
        <w:pStyle w:val="BodyText"/>
        <w:spacing w:line="249" w:lineRule="auto"/>
        <w:ind w:left="107" w:right="381"/>
      </w:pPr>
      <w:r>
        <w:rPr/>
        <w:t>The School maintains very high academic </w:t>
      </w:r>
      <w:r>
        <w:rPr>
          <w:w w:val="97"/>
        </w:rPr>
        <w:t>and </w:t>
      </w:r>
      <w:r>
        <w:rPr>
          <w:w w:val="97"/>
        </w:rPr>
        <w:t>professional </w:t>
      </w:r>
      <w:r>
        <w:rPr>
          <w:w w:val="94"/>
        </w:rPr>
        <w:t>standards. </w:t>
      </w:r>
      <w:r>
        <w:rPr>
          <w:w w:val="80"/>
        </w:rPr>
        <w:t>In </w:t>
      </w:r>
      <w:r>
        <w:rPr>
          <w:w w:val="85"/>
        </w:rPr>
        <w:t>2016, </w:t>
      </w:r>
      <w:r>
        <w:rPr>
          <w:w w:val="99"/>
        </w:rPr>
        <w:t>it </w:t>
      </w:r>
      <w:r>
        <w:rPr/>
        <w:t>received ongoing accreditation for its traditional Chinese medicine program.</w:t>
      </w:r>
    </w:p>
    <w:p>
      <w:pPr>
        <w:pStyle w:val="BodyText"/>
        <w:spacing w:line="249" w:lineRule="auto"/>
        <w:ind w:left="107" w:right="321"/>
      </w:pPr>
      <w:r>
        <w:rPr/>
        <w:t>Its highly commended and successful paramedicine program will undergo a final </w:t>
      </w:r>
      <w:r>
        <w:rPr>
          <w:w w:val="96"/>
        </w:rPr>
        <w:t>assessment </w:t>
      </w:r>
      <w:r>
        <w:rPr>
          <w:w w:val="98"/>
        </w:rPr>
        <w:t>for </w:t>
      </w:r>
      <w:r>
        <w:rPr>
          <w:w w:val="96"/>
        </w:rPr>
        <w:t>full </w:t>
      </w:r>
      <w:r>
        <w:rPr>
          <w:w w:val="98"/>
        </w:rPr>
        <w:t>accreditation </w:t>
      </w:r>
      <w:r>
        <w:rPr>
          <w:w w:val="95"/>
        </w:rPr>
        <w:t>in </w:t>
      </w:r>
      <w:r>
        <w:rPr>
          <w:w w:val="83"/>
        </w:rPr>
        <w:t>2017.</w:t>
      </w:r>
    </w:p>
    <w:p>
      <w:pPr>
        <w:pStyle w:val="BodyText"/>
        <w:rPr>
          <w:sz w:val="14"/>
        </w:rPr>
      </w:pPr>
    </w:p>
    <w:p>
      <w:pPr>
        <w:pStyle w:val="BodyText"/>
        <w:spacing w:line="249" w:lineRule="auto"/>
        <w:ind w:left="107" w:right="139"/>
      </w:pPr>
      <w:r>
        <w:rPr/>
        <w:t>The paramedicine program saw its first </w:t>
      </w:r>
      <w:r>
        <w:rPr>
          <w:spacing w:val="1"/>
          <w:w w:val="99"/>
        </w:rPr>
        <w:t>cohort</w:t>
      </w:r>
      <w:r>
        <w:rPr>
          <w:w w:val="99"/>
        </w:rPr>
        <w:t> </w:t>
      </w:r>
      <w:r>
        <w:rPr>
          <w:w w:val="99"/>
        </w:rPr>
        <w:t>of </w:t>
      </w:r>
      <w:r>
        <w:rPr>
          <w:spacing w:val="1"/>
          <w:w w:val="98"/>
        </w:rPr>
        <w:t>graduating</w:t>
      </w:r>
      <w:r>
        <w:rPr>
          <w:w w:val="98"/>
        </w:rPr>
        <w:t> </w:t>
      </w:r>
      <w:r>
        <w:rPr>
          <w:spacing w:val="1"/>
          <w:w w:val="97"/>
        </w:rPr>
        <w:t>students</w:t>
      </w:r>
      <w:r>
        <w:rPr>
          <w:w w:val="97"/>
        </w:rPr>
        <w:t> </w:t>
      </w:r>
      <w:r>
        <w:rPr>
          <w:w w:val="95"/>
        </w:rPr>
        <w:t>in </w:t>
      </w:r>
      <w:r>
        <w:rPr>
          <w:spacing w:val="2"/>
          <w:w w:val="85"/>
        </w:rPr>
        <w:t>2016.</w:t>
      </w:r>
      <w:r>
        <w:rPr>
          <w:w w:val="85"/>
        </w:rPr>
        <w:t> </w:t>
      </w:r>
      <w:r>
        <w:rPr>
          <w:w w:val="112"/>
        </w:rPr>
        <w:t>A </w:t>
      </w:r>
      <w:r>
        <w:rPr>
          <w:spacing w:val="1"/>
          <w:w w:val="97"/>
        </w:rPr>
        <w:t>high</w:t>
      </w:r>
      <w:r>
        <w:rPr>
          <w:w w:val="97"/>
        </w:rPr>
        <w:t> </w:t>
      </w:r>
      <w:r>
        <w:rPr/>
        <w:t>proportion of graduates secured full-time employment</w:t>
      </w:r>
      <w:r>
        <w:rPr>
          <w:spacing w:val="-17"/>
        </w:rPr>
        <w:t> </w:t>
      </w:r>
      <w:r>
        <w:rPr/>
        <w:t>before</w:t>
      </w:r>
      <w:r>
        <w:rPr>
          <w:spacing w:val="-17"/>
        </w:rPr>
        <w:t> </w:t>
      </w:r>
      <w:r>
        <w:rPr/>
        <w:t>completing</w:t>
      </w:r>
      <w:r>
        <w:rPr>
          <w:spacing w:val="-17"/>
        </w:rPr>
        <w:t> </w:t>
      </w:r>
      <w:r>
        <w:rPr/>
        <w:t>their</w:t>
      </w:r>
      <w:r>
        <w:rPr>
          <w:spacing w:val="-17"/>
        </w:rPr>
        <w:t> </w:t>
      </w:r>
      <w:r>
        <w:rPr/>
        <w:t>degrees.</w:t>
      </w:r>
    </w:p>
    <w:p>
      <w:pPr>
        <w:pStyle w:val="BodyText"/>
        <w:rPr>
          <w:sz w:val="14"/>
        </w:rPr>
      </w:pPr>
    </w:p>
    <w:p>
      <w:pPr>
        <w:pStyle w:val="BodyText"/>
        <w:spacing w:line="249" w:lineRule="auto"/>
        <w:ind w:left="107" w:right="130"/>
      </w:pPr>
      <w:r>
        <w:rPr/>
        <w:t>The School is at the forefront of student clinical and work placements, and in late </w:t>
      </w:r>
      <w:r>
        <w:rPr>
          <w:w w:val="85"/>
        </w:rPr>
        <w:t>2016, </w:t>
      </w:r>
      <w:r>
        <w:rPr>
          <w:w w:val="96"/>
        </w:rPr>
        <w:t>was </w:t>
      </w:r>
      <w:r>
        <w:rPr>
          <w:w w:val="97"/>
        </w:rPr>
        <w:t>well </w:t>
      </w:r>
      <w:r>
        <w:rPr>
          <w:w w:val="98"/>
        </w:rPr>
        <w:t>on </w:t>
      </w:r>
      <w:r>
        <w:rPr>
          <w:w w:val="97"/>
        </w:rPr>
        <w:t>the </w:t>
      </w:r>
      <w:r>
        <w:rPr>
          <w:w w:val="99"/>
        </w:rPr>
        <w:t>way </w:t>
      </w:r>
      <w:r>
        <w:rPr>
          <w:w w:val="101"/>
        </w:rPr>
        <w:t>to </w:t>
      </w:r>
      <w:r>
        <w:rPr>
          <w:w w:val="97"/>
        </w:rPr>
        <w:t>implementing </w:t>
      </w:r>
      <w:r>
        <w:rPr/>
        <w:t>the InPlace student placement system. This contemporary management tool will support students undertaking placements both domestically and internationally. The number of domestic and international placements </w:t>
      </w:r>
      <w:r>
        <w:rPr>
          <w:w w:val="98"/>
        </w:rPr>
        <w:t>continued </w:t>
      </w:r>
      <w:r>
        <w:rPr>
          <w:w w:val="101"/>
        </w:rPr>
        <w:t>to </w:t>
      </w:r>
      <w:r>
        <w:rPr>
          <w:w w:val="96"/>
        </w:rPr>
        <w:t>increase </w:t>
      </w:r>
      <w:r>
        <w:rPr>
          <w:w w:val="95"/>
        </w:rPr>
        <w:t>in </w:t>
      </w:r>
      <w:r>
        <w:rPr>
          <w:w w:val="85"/>
        </w:rPr>
        <w:t>2016. </w:t>
      </w:r>
      <w:r>
        <w:rPr>
          <w:w w:val="98"/>
        </w:rPr>
        <w:t>Students</w:t>
      </w:r>
    </w:p>
    <w:p>
      <w:pPr>
        <w:pStyle w:val="BodyText"/>
        <w:spacing w:line="249" w:lineRule="auto"/>
        <w:ind w:left="107" w:right="-1"/>
      </w:pPr>
      <w:r>
        <w:rPr/>
        <w:t>studied</w:t>
      </w:r>
      <w:r>
        <w:rPr>
          <w:spacing w:val="-24"/>
        </w:rPr>
        <w:t> </w:t>
      </w:r>
      <w:r>
        <w:rPr/>
        <w:t>in</w:t>
      </w:r>
      <w:r>
        <w:rPr>
          <w:spacing w:val="-24"/>
        </w:rPr>
        <w:t> </w:t>
      </w:r>
      <w:r>
        <w:rPr/>
        <w:t>China,</w:t>
      </w:r>
      <w:r>
        <w:rPr>
          <w:spacing w:val="-24"/>
        </w:rPr>
        <w:t> </w:t>
      </w:r>
      <w:r>
        <w:rPr/>
        <w:t>Ireland,</w:t>
      </w:r>
      <w:r>
        <w:rPr>
          <w:spacing w:val="-24"/>
        </w:rPr>
        <w:t> </w:t>
      </w:r>
      <w:r>
        <w:rPr/>
        <w:t>South</w:t>
      </w:r>
      <w:r>
        <w:rPr>
          <w:spacing w:val="-24"/>
        </w:rPr>
        <w:t> </w:t>
      </w:r>
      <w:r>
        <w:rPr/>
        <w:t>Africa,</w:t>
      </w:r>
      <w:r>
        <w:rPr>
          <w:spacing w:val="-24"/>
        </w:rPr>
        <w:t> </w:t>
      </w:r>
      <w:r>
        <w:rPr/>
        <w:t>Finland, New Zealand, Indonesia and the </w:t>
      </w:r>
      <w:r>
        <w:rPr>
          <w:spacing w:val="3"/>
        </w:rPr>
        <w:t>UK. </w:t>
      </w:r>
      <w:r>
        <w:rPr/>
        <w:t>The Australian Government’s New Colombo Plan initiative</w:t>
      </w:r>
      <w:r>
        <w:rPr>
          <w:spacing w:val="-16"/>
        </w:rPr>
        <w:t> </w:t>
      </w:r>
      <w:r>
        <w:rPr/>
        <w:t>–</w:t>
      </w:r>
      <w:r>
        <w:rPr>
          <w:spacing w:val="-16"/>
        </w:rPr>
        <w:t> </w:t>
      </w:r>
      <w:r>
        <w:rPr/>
        <w:t>which</w:t>
      </w:r>
      <w:r>
        <w:rPr>
          <w:spacing w:val="-16"/>
        </w:rPr>
        <w:t> </w:t>
      </w:r>
      <w:r>
        <w:rPr/>
        <w:t>aims</w:t>
      </w:r>
      <w:r>
        <w:rPr>
          <w:spacing w:val="-16"/>
        </w:rPr>
        <w:t> </w:t>
      </w:r>
      <w:r>
        <w:rPr/>
        <w:t>to</w:t>
      </w:r>
      <w:r>
        <w:rPr>
          <w:spacing w:val="-16"/>
        </w:rPr>
        <w:t> </w:t>
      </w:r>
      <w:r>
        <w:rPr/>
        <w:t>boost</w:t>
      </w:r>
      <w:r>
        <w:rPr>
          <w:spacing w:val="-16"/>
        </w:rPr>
        <w:t> </w:t>
      </w:r>
      <w:r>
        <w:rPr/>
        <w:t>knowledge</w:t>
      </w:r>
    </w:p>
    <w:p>
      <w:pPr>
        <w:pStyle w:val="BodyText"/>
        <w:spacing w:line="249" w:lineRule="auto"/>
        <w:ind w:left="107" w:right="283"/>
      </w:pPr>
      <w:r>
        <w:rPr/>
        <w:t>of the Indo-Pacific region – provided funds for students to undertake overseas study </w:t>
      </w:r>
      <w:r>
        <w:rPr>
          <w:w w:val="97"/>
        </w:rPr>
        <w:t>placements </w:t>
      </w:r>
      <w:r>
        <w:rPr>
          <w:w w:val="95"/>
        </w:rPr>
        <w:t>in </w:t>
      </w:r>
      <w:r>
        <w:rPr>
          <w:w w:val="97"/>
        </w:rPr>
        <w:t>the </w:t>
      </w:r>
      <w:r>
        <w:rPr>
          <w:w w:val="97"/>
        </w:rPr>
        <w:t>region </w:t>
      </w:r>
      <w:r>
        <w:rPr>
          <w:w w:val="95"/>
        </w:rPr>
        <w:t>in </w:t>
      </w:r>
      <w:r>
        <w:rPr>
          <w:w w:val="83"/>
        </w:rPr>
        <w:t>2017.</w:t>
      </w:r>
    </w:p>
    <w:p>
      <w:pPr>
        <w:pStyle w:val="BodyText"/>
        <w:rPr>
          <w:sz w:val="14"/>
        </w:rPr>
      </w:pPr>
    </w:p>
    <w:p>
      <w:pPr>
        <w:pStyle w:val="BodyText"/>
        <w:spacing w:line="249" w:lineRule="auto"/>
        <w:ind w:left="107" w:right="292"/>
        <w:jc w:val="both"/>
      </w:pPr>
      <w:r>
        <w:rPr/>
        <w:t>In addition to clinical placements, students undertook additional international study in </w:t>
      </w:r>
      <w:r>
        <w:rPr>
          <w:spacing w:val="2"/>
        </w:rPr>
        <w:t>Canada,</w:t>
      </w:r>
      <w:r>
        <w:rPr>
          <w:spacing w:val="-25"/>
        </w:rPr>
        <w:t> </w:t>
      </w:r>
      <w:r>
        <w:rPr/>
        <w:t>the</w:t>
      </w:r>
      <w:r>
        <w:rPr>
          <w:spacing w:val="-25"/>
        </w:rPr>
        <w:t> </w:t>
      </w:r>
      <w:r>
        <w:rPr>
          <w:spacing w:val="2"/>
        </w:rPr>
        <w:t>US,</w:t>
      </w:r>
      <w:r>
        <w:rPr>
          <w:spacing w:val="-25"/>
        </w:rPr>
        <w:t> </w:t>
      </w:r>
      <w:r>
        <w:rPr>
          <w:spacing w:val="2"/>
        </w:rPr>
        <w:t>Japan,</w:t>
      </w:r>
      <w:r>
        <w:rPr>
          <w:spacing w:val="-25"/>
        </w:rPr>
        <w:t> </w:t>
      </w:r>
      <w:r>
        <w:rPr/>
        <w:t>Sweden</w:t>
      </w:r>
      <w:r>
        <w:rPr>
          <w:spacing w:val="-25"/>
        </w:rPr>
        <w:t> </w:t>
      </w:r>
      <w:r>
        <w:rPr/>
        <w:t>and</w:t>
      </w:r>
      <w:r>
        <w:rPr>
          <w:spacing w:val="-25"/>
        </w:rPr>
        <w:t> </w:t>
      </w:r>
      <w:r>
        <w:rPr/>
        <w:t>the</w:t>
      </w:r>
      <w:r>
        <w:rPr>
          <w:spacing w:val="-25"/>
        </w:rPr>
        <w:t> </w:t>
      </w:r>
      <w:r>
        <w:rPr>
          <w:spacing w:val="3"/>
        </w:rPr>
        <w:t>UK.</w:t>
      </w:r>
    </w:p>
    <w:p>
      <w:pPr>
        <w:pStyle w:val="BodyText"/>
        <w:rPr>
          <w:sz w:val="14"/>
        </w:rPr>
      </w:pPr>
    </w:p>
    <w:p>
      <w:pPr>
        <w:pStyle w:val="BodyText"/>
        <w:spacing w:line="249" w:lineRule="auto"/>
        <w:ind w:left="107" w:right="422"/>
      </w:pPr>
      <w:r>
        <w:rPr/>
        <w:t>The School produced a series of videos to improve student retention. The videos</w:t>
      </w:r>
    </w:p>
    <w:p>
      <w:pPr>
        <w:pStyle w:val="BodyText"/>
        <w:spacing w:line="192" w:lineRule="exact"/>
        <w:ind w:left="107" w:right="197"/>
      </w:pPr>
      <w:r>
        <w:rPr/>
        <w:t>highlight opportunities for success through</w:t>
      </w:r>
    </w:p>
    <w:p>
      <w:pPr>
        <w:spacing w:after="0" w:line="192" w:lineRule="exact"/>
        <w:sectPr>
          <w:type w:val="continuous"/>
          <w:pgSz w:w="11910" w:h="16840"/>
          <w:pgMar w:top="1580" w:bottom="280" w:left="800" w:right="800"/>
          <w:cols w:num="3" w:equalWidth="0">
            <w:col w:w="3305" w:space="134"/>
            <w:col w:w="3233" w:space="207"/>
            <w:col w:w="3431"/>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50"/>
          <w:footerReference w:type="default" r:id="rId51"/>
          <w:pgSz w:w="11910" w:h="16840"/>
          <w:pgMar w:footer="472" w:header="496" w:top="680" w:bottom="660" w:left="800" w:right="800"/>
        </w:sectPr>
      </w:pPr>
    </w:p>
    <w:p>
      <w:pPr>
        <w:pStyle w:val="BodyText"/>
        <w:spacing w:before="11"/>
        <w:rPr>
          <w:rFonts w:ascii="Chronicle Text G1"/>
          <w:b w:val="0"/>
        </w:rPr>
      </w:pPr>
    </w:p>
    <w:p>
      <w:pPr>
        <w:pStyle w:val="BodyText"/>
        <w:spacing w:line="249" w:lineRule="auto"/>
        <w:ind w:left="107" w:right="461"/>
        <w:jc w:val="both"/>
      </w:pPr>
      <w:r>
        <w:rPr/>
        <w:t>the</w:t>
      </w:r>
      <w:r>
        <w:rPr>
          <w:spacing w:val="-17"/>
        </w:rPr>
        <w:t> </w:t>
      </w:r>
      <w:r>
        <w:rPr/>
        <w:t>eyes</w:t>
      </w:r>
      <w:r>
        <w:rPr>
          <w:spacing w:val="-17"/>
        </w:rPr>
        <w:t> </w:t>
      </w:r>
      <w:r>
        <w:rPr/>
        <w:t>of</w:t>
      </w:r>
      <w:r>
        <w:rPr>
          <w:spacing w:val="-17"/>
        </w:rPr>
        <w:t> </w:t>
      </w:r>
      <w:r>
        <w:rPr/>
        <w:t>current</w:t>
      </w:r>
      <w:r>
        <w:rPr>
          <w:spacing w:val="-17"/>
        </w:rPr>
        <w:t> </w:t>
      </w:r>
      <w:r>
        <w:rPr/>
        <w:t>students</w:t>
      </w:r>
      <w:r>
        <w:rPr>
          <w:spacing w:val="-17"/>
        </w:rPr>
        <w:t> </w:t>
      </w:r>
      <w:r>
        <w:rPr/>
        <w:t>and</w:t>
      </w:r>
      <w:r>
        <w:rPr>
          <w:spacing w:val="-17"/>
        </w:rPr>
        <w:t> </w:t>
      </w:r>
      <w:r>
        <w:rPr/>
        <w:t>alumni from</w:t>
      </w:r>
      <w:r>
        <w:rPr>
          <w:spacing w:val="-20"/>
        </w:rPr>
        <w:t> </w:t>
      </w:r>
      <w:r>
        <w:rPr/>
        <w:t>the</w:t>
      </w:r>
      <w:r>
        <w:rPr>
          <w:spacing w:val="-20"/>
        </w:rPr>
        <w:t> </w:t>
      </w:r>
      <w:r>
        <w:rPr/>
        <w:t>health</w:t>
      </w:r>
      <w:r>
        <w:rPr>
          <w:spacing w:val="-20"/>
        </w:rPr>
        <w:t> </w:t>
      </w:r>
      <w:r>
        <w:rPr/>
        <w:t>science,</w:t>
      </w:r>
      <w:r>
        <w:rPr>
          <w:spacing w:val="-20"/>
        </w:rPr>
        <w:t> </w:t>
      </w:r>
      <w:r>
        <w:rPr/>
        <w:t>agriculture</w:t>
      </w:r>
      <w:r>
        <w:rPr>
          <w:spacing w:val="-20"/>
        </w:rPr>
        <w:t> </w:t>
      </w:r>
      <w:r>
        <w:rPr/>
        <w:t>and environmental</w:t>
      </w:r>
      <w:r>
        <w:rPr>
          <w:spacing w:val="-29"/>
        </w:rPr>
        <w:t> </w:t>
      </w:r>
      <w:r>
        <w:rPr/>
        <w:t>science</w:t>
      </w:r>
      <w:r>
        <w:rPr>
          <w:spacing w:val="-29"/>
        </w:rPr>
        <w:t> </w:t>
      </w:r>
      <w:r>
        <w:rPr/>
        <w:t>courses.</w:t>
      </w:r>
    </w:p>
    <w:p>
      <w:pPr>
        <w:pStyle w:val="BodyText"/>
        <w:rPr>
          <w:sz w:val="14"/>
        </w:rPr>
      </w:pPr>
    </w:p>
    <w:p>
      <w:pPr>
        <w:pStyle w:val="BodyText"/>
        <w:spacing w:line="249" w:lineRule="auto"/>
        <w:ind w:left="107" w:right="66"/>
      </w:pPr>
      <w:r>
        <w:rPr>
          <w:w w:val="112"/>
        </w:rPr>
        <w:t>A </w:t>
      </w:r>
      <w:r>
        <w:rPr>
          <w:spacing w:val="-1"/>
          <w:w w:val="98"/>
        </w:rPr>
        <w:t>key</w:t>
      </w:r>
      <w:r>
        <w:rPr>
          <w:w w:val="98"/>
        </w:rPr>
        <w:t> </w:t>
      </w:r>
      <w:r>
        <w:rPr>
          <w:spacing w:val="1"/>
          <w:w w:val="98"/>
        </w:rPr>
        <w:t>development</w:t>
      </w:r>
      <w:r>
        <w:rPr>
          <w:w w:val="98"/>
        </w:rPr>
        <w:t> </w:t>
      </w:r>
      <w:r>
        <w:rPr>
          <w:w w:val="95"/>
        </w:rPr>
        <w:t>in </w:t>
      </w:r>
      <w:r>
        <w:rPr>
          <w:spacing w:val="1"/>
          <w:w w:val="90"/>
        </w:rPr>
        <w:t>2016</w:t>
      </w:r>
      <w:r>
        <w:rPr>
          <w:w w:val="90"/>
        </w:rPr>
        <w:t> </w:t>
      </w:r>
      <w:r>
        <w:rPr>
          <w:w w:val="96"/>
        </w:rPr>
        <w:t>was </w:t>
      </w:r>
      <w:r>
        <w:rPr>
          <w:w w:val="97"/>
        </w:rPr>
        <w:t>the </w:t>
      </w:r>
      <w:r>
        <w:rPr/>
        <w:t>completion of new teaching, learning and research</w:t>
      </w:r>
      <w:r>
        <w:rPr>
          <w:spacing w:val="-20"/>
        </w:rPr>
        <w:t> </w:t>
      </w:r>
      <w:r>
        <w:rPr/>
        <w:t>facilities</w:t>
      </w:r>
      <w:r>
        <w:rPr>
          <w:spacing w:val="-20"/>
        </w:rPr>
        <w:t> </w:t>
      </w:r>
      <w:r>
        <w:rPr/>
        <w:t>at</w:t>
      </w:r>
      <w:r>
        <w:rPr>
          <w:spacing w:val="-20"/>
        </w:rPr>
        <w:t> </w:t>
      </w:r>
      <w:r>
        <w:rPr/>
        <w:t>the</w:t>
      </w:r>
      <w:r>
        <w:rPr>
          <w:spacing w:val="-20"/>
        </w:rPr>
        <w:t> </w:t>
      </w:r>
      <w:r>
        <w:rPr/>
        <w:t>Parramatta</w:t>
      </w:r>
      <w:r>
        <w:rPr>
          <w:spacing w:val="-20"/>
        </w:rPr>
        <w:t> </w:t>
      </w:r>
      <w:r>
        <w:rPr>
          <w:spacing w:val="2"/>
        </w:rPr>
        <w:t>campus. </w:t>
      </w:r>
      <w:r>
        <w:rPr/>
        <w:t>The facilities accommodate science and medical</w:t>
      </w:r>
      <w:r>
        <w:rPr>
          <w:spacing w:val="-16"/>
        </w:rPr>
        <w:t> </w:t>
      </w:r>
      <w:r>
        <w:rPr/>
        <w:t>science</w:t>
      </w:r>
      <w:r>
        <w:rPr>
          <w:spacing w:val="-16"/>
        </w:rPr>
        <w:t> </w:t>
      </w:r>
      <w:r>
        <w:rPr/>
        <w:t>programs,</w:t>
      </w:r>
      <w:r>
        <w:rPr>
          <w:spacing w:val="-16"/>
        </w:rPr>
        <w:t> </w:t>
      </w:r>
      <w:r>
        <w:rPr/>
        <w:t>and</w:t>
      </w:r>
      <w:r>
        <w:rPr>
          <w:spacing w:val="-16"/>
        </w:rPr>
        <w:t> </w:t>
      </w:r>
      <w:r>
        <w:rPr/>
        <w:t>will</w:t>
      </w:r>
      <w:r>
        <w:rPr>
          <w:spacing w:val="-16"/>
        </w:rPr>
        <w:t> </w:t>
      </w:r>
      <w:r>
        <w:rPr/>
        <w:t>be</w:t>
      </w:r>
      <w:r>
        <w:rPr>
          <w:spacing w:val="-16"/>
        </w:rPr>
        <w:t> </w:t>
      </w:r>
      <w:r>
        <w:rPr/>
        <w:t>shared with</w:t>
      </w:r>
      <w:r>
        <w:rPr>
          <w:spacing w:val="-17"/>
        </w:rPr>
        <w:t> </w:t>
      </w:r>
      <w:r>
        <w:rPr/>
        <w:t>other</w:t>
      </w:r>
      <w:r>
        <w:rPr>
          <w:spacing w:val="-17"/>
        </w:rPr>
        <w:t> </w:t>
      </w:r>
      <w:r>
        <w:rPr/>
        <w:t>Schools</w:t>
      </w:r>
      <w:r>
        <w:rPr>
          <w:spacing w:val="-17"/>
        </w:rPr>
        <w:t> </w:t>
      </w:r>
      <w:r>
        <w:rPr/>
        <w:t>and</w:t>
      </w:r>
      <w:r>
        <w:rPr>
          <w:spacing w:val="-17"/>
        </w:rPr>
        <w:t> </w:t>
      </w:r>
      <w:r>
        <w:rPr/>
        <w:t>The</w:t>
      </w:r>
      <w:r>
        <w:rPr>
          <w:spacing w:val="-17"/>
        </w:rPr>
        <w:t> </w:t>
      </w:r>
      <w:r>
        <w:rPr/>
        <w:t>College.</w:t>
      </w:r>
    </w:p>
    <w:p>
      <w:pPr>
        <w:pStyle w:val="BodyText"/>
        <w:rPr>
          <w:sz w:val="14"/>
        </w:rPr>
      </w:pPr>
    </w:p>
    <w:p>
      <w:pPr>
        <w:pStyle w:val="BodyText"/>
        <w:spacing w:line="249" w:lineRule="auto"/>
        <w:ind w:left="107" w:right="22"/>
      </w:pPr>
      <w:r>
        <w:rPr/>
        <w:t>In</w:t>
      </w:r>
      <w:r>
        <w:rPr>
          <w:spacing w:val="-22"/>
        </w:rPr>
        <w:t> </w:t>
      </w:r>
      <w:r>
        <w:rPr/>
        <w:t>July,</w:t>
      </w:r>
      <w:r>
        <w:rPr>
          <w:spacing w:val="-22"/>
        </w:rPr>
        <w:t> </w:t>
      </w:r>
      <w:r>
        <w:rPr/>
        <w:t>the</w:t>
      </w:r>
      <w:r>
        <w:rPr>
          <w:spacing w:val="-22"/>
        </w:rPr>
        <w:t> </w:t>
      </w:r>
      <w:r>
        <w:rPr/>
        <w:t>School’s</w:t>
      </w:r>
      <w:r>
        <w:rPr>
          <w:spacing w:val="-22"/>
        </w:rPr>
        <w:t> </w:t>
      </w:r>
      <w:r>
        <w:rPr/>
        <w:t>Deputy</w:t>
      </w:r>
      <w:r>
        <w:rPr>
          <w:spacing w:val="-22"/>
        </w:rPr>
        <w:t> </w:t>
      </w:r>
      <w:r>
        <w:rPr>
          <w:spacing w:val="2"/>
        </w:rPr>
        <w:t>Dean,</w:t>
      </w:r>
      <w:r>
        <w:rPr>
          <w:spacing w:val="-22"/>
        </w:rPr>
        <w:t> </w:t>
      </w:r>
      <w:r>
        <w:rPr/>
        <w:t>Dr</w:t>
      </w:r>
      <w:r>
        <w:rPr>
          <w:spacing w:val="-22"/>
        </w:rPr>
        <w:t> </w:t>
      </w:r>
      <w:r>
        <w:rPr/>
        <w:t>Trevor Bailey,</w:t>
      </w:r>
      <w:r>
        <w:rPr>
          <w:spacing w:val="-20"/>
        </w:rPr>
        <w:t> </w:t>
      </w:r>
      <w:r>
        <w:rPr/>
        <w:t>retired.</w:t>
      </w:r>
      <w:r>
        <w:rPr>
          <w:spacing w:val="-20"/>
        </w:rPr>
        <w:t> </w:t>
      </w:r>
      <w:r>
        <w:rPr/>
        <w:t>The</w:t>
      </w:r>
      <w:r>
        <w:rPr>
          <w:spacing w:val="-20"/>
        </w:rPr>
        <w:t> </w:t>
      </w:r>
      <w:r>
        <w:rPr/>
        <w:t>School</w:t>
      </w:r>
      <w:r>
        <w:rPr>
          <w:spacing w:val="-20"/>
        </w:rPr>
        <w:t> </w:t>
      </w:r>
      <w:r>
        <w:rPr/>
        <w:t>acknowledges</w:t>
      </w:r>
      <w:r>
        <w:rPr>
          <w:spacing w:val="-20"/>
        </w:rPr>
        <w:t> </w:t>
      </w:r>
      <w:r>
        <w:rPr/>
        <w:t>the significant</w:t>
      </w:r>
      <w:r>
        <w:rPr>
          <w:spacing w:val="-18"/>
        </w:rPr>
        <w:t> </w:t>
      </w:r>
      <w:r>
        <w:rPr/>
        <w:t>contributions</w:t>
      </w:r>
      <w:r>
        <w:rPr>
          <w:spacing w:val="-18"/>
        </w:rPr>
        <w:t> </w:t>
      </w:r>
      <w:r>
        <w:rPr/>
        <w:t>of</w:t>
      </w:r>
      <w:r>
        <w:rPr>
          <w:spacing w:val="-18"/>
        </w:rPr>
        <w:t> </w:t>
      </w:r>
      <w:r>
        <w:rPr/>
        <w:t>Dr</w:t>
      </w:r>
      <w:r>
        <w:rPr>
          <w:spacing w:val="-18"/>
        </w:rPr>
        <w:t> </w:t>
      </w:r>
      <w:r>
        <w:rPr/>
        <w:t>Bailey,</w:t>
      </w:r>
      <w:r>
        <w:rPr>
          <w:spacing w:val="-18"/>
        </w:rPr>
        <w:t> </w:t>
      </w:r>
      <w:r>
        <w:rPr/>
        <w:t>and</w:t>
      </w:r>
      <w:r>
        <w:rPr>
          <w:spacing w:val="-18"/>
        </w:rPr>
        <w:t> </w:t>
      </w:r>
      <w:r>
        <w:rPr/>
        <w:t>will miss</w:t>
      </w:r>
      <w:r>
        <w:rPr>
          <w:spacing w:val="-22"/>
        </w:rPr>
        <w:t> </w:t>
      </w:r>
      <w:r>
        <w:rPr/>
        <w:t>his</w:t>
      </w:r>
      <w:r>
        <w:rPr>
          <w:spacing w:val="-22"/>
        </w:rPr>
        <w:t> </w:t>
      </w:r>
      <w:r>
        <w:rPr/>
        <w:t>insights,</w:t>
      </w:r>
      <w:r>
        <w:rPr>
          <w:spacing w:val="-22"/>
        </w:rPr>
        <w:t> </w:t>
      </w:r>
      <w:r>
        <w:rPr/>
        <w:t>knowledge</w:t>
      </w:r>
      <w:r>
        <w:rPr>
          <w:spacing w:val="-22"/>
        </w:rPr>
        <w:t> </w:t>
      </w:r>
      <w:r>
        <w:rPr/>
        <w:t>and</w:t>
      </w:r>
      <w:r>
        <w:rPr>
          <w:spacing w:val="-22"/>
        </w:rPr>
        <w:t> </w:t>
      </w:r>
      <w:r>
        <w:rPr/>
        <w:t>experience.</w:t>
      </w:r>
    </w:p>
    <w:p>
      <w:pPr>
        <w:pStyle w:val="BodyText"/>
        <w:spacing w:before="3"/>
        <w:rPr>
          <w:sz w:val="19"/>
        </w:rPr>
      </w:pPr>
    </w:p>
    <w:p>
      <w:pPr>
        <w:pStyle w:val="Heading7"/>
        <w:ind w:right="421"/>
      </w:pPr>
      <w:r>
        <w:rPr/>
        <w:t>RESEARCH</w:t>
      </w:r>
    </w:p>
    <w:p>
      <w:pPr>
        <w:pStyle w:val="BodyText"/>
        <w:spacing w:line="249" w:lineRule="auto" w:before="58"/>
        <w:ind w:left="107"/>
      </w:pPr>
      <w:r>
        <w:rPr/>
        <w:t>The School continued to focus on offering research-led</w:t>
      </w:r>
      <w:r>
        <w:rPr>
          <w:spacing w:val="-18"/>
        </w:rPr>
        <w:t> </w:t>
      </w:r>
      <w:r>
        <w:rPr/>
        <w:t>academic</w:t>
      </w:r>
      <w:r>
        <w:rPr>
          <w:spacing w:val="-18"/>
        </w:rPr>
        <w:t> </w:t>
      </w:r>
      <w:r>
        <w:rPr/>
        <w:t>programs.</w:t>
      </w:r>
      <w:r>
        <w:rPr>
          <w:spacing w:val="-18"/>
        </w:rPr>
        <w:t> </w:t>
      </w:r>
      <w:r>
        <w:rPr/>
        <w:t>It</w:t>
      </w:r>
      <w:r>
        <w:rPr>
          <w:spacing w:val="-18"/>
        </w:rPr>
        <w:t> </w:t>
      </w:r>
      <w:r>
        <w:rPr/>
        <w:t>exceeded targets for external research grant income </w:t>
      </w:r>
      <w:r>
        <w:rPr>
          <w:spacing w:val="1"/>
          <w:w w:val="97"/>
        </w:rPr>
        <w:t>and</w:t>
      </w:r>
      <w:r>
        <w:rPr>
          <w:w w:val="97"/>
        </w:rPr>
        <w:t> </w:t>
      </w:r>
      <w:r>
        <w:rPr>
          <w:w w:val="98"/>
        </w:rPr>
        <w:t>consulting </w:t>
      </w:r>
      <w:r>
        <w:rPr>
          <w:spacing w:val="1"/>
          <w:w w:val="98"/>
        </w:rPr>
        <w:t>income</w:t>
      </w:r>
      <w:r>
        <w:rPr>
          <w:w w:val="98"/>
        </w:rPr>
        <w:t> </w:t>
      </w:r>
      <w:r>
        <w:rPr>
          <w:w w:val="95"/>
        </w:rPr>
        <w:t>in </w:t>
      </w:r>
      <w:r>
        <w:rPr>
          <w:spacing w:val="2"/>
          <w:w w:val="85"/>
        </w:rPr>
        <w:t>2016,</w:t>
      </w:r>
      <w:r>
        <w:rPr>
          <w:w w:val="85"/>
        </w:rPr>
        <w:t> </w:t>
      </w:r>
      <w:r>
        <w:rPr>
          <w:w w:val="98"/>
        </w:rPr>
        <w:t>at </w:t>
      </w:r>
      <w:r>
        <w:rPr>
          <w:spacing w:val="2"/>
          <w:w w:val="91"/>
        </w:rPr>
        <w:t>$5.6</w:t>
      </w:r>
      <w:r>
        <w:rPr>
          <w:w w:val="91"/>
        </w:rPr>
        <w:t> </w:t>
      </w:r>
      <w:r>
        <w:rPr>
          <w:w w:val="96"/>
        </w:rPr>
        <w:t>million </w:t>
      </w:r>
      <w:r>
        <w:rPr/>
        <w:t>and</w:t>
      </w:r>
      <w:r>
        <w:rPr>
          <w:spacing w:val="-23"/>
        </w:rPr>
        <w:t> </w:t>
      </w:r>
      <w:r>
        <w:rPr/>
        <w:t>$0.7</w:t>
      </w:r>
      <w:r>
        <w:rPr>
          <w:spacing w:val="-23"/>
        </w:rPr>
        <w:t> </w:t>
      </w:r>
      <w:r>
        <w:rPr/>
        <w:t>million,</w:t>
      </w:r>
      <w:r>
        <w:rPr>
          <w:spacing w:val="-23"/>
        </w:rPr>
        <w:t> </w:t>
      </w:r>
      <w:r>
        <w:rPr/>
        <w:t>respectively,</w:t>
      </w:r>
      <w:r>
        <w:rPr>
          <w:spacing w:val="-23"/>
        </w:rPr>
        <w:t> </w:t>
      </w:r>
      <w:r>
        <w:rPr/>
        <w:t>and</w:t>
      </w:r>
      <w:r>
        <w:rPr>
          <w:spacing w:val="-23"/>
        </w:rPr>
        <w:t> </w:t>
      </w:r>
      <w:r>
        <w:rPr/>
        <w:t>made</w:t>
      </w:r>
      <w:r>
        <w:rPr>
          <w:spacing w:val="-23"/>
        </w:rPr>
        <w:t> </w:t>
      </w:r>
      <w:r>
        <w:rPr/>
        <w:t>seven new industry partnerships via the Research Partnerships</w:t>
      </w:r>
      <w:r>
        <w:rPr>
          <w:spacing w:val="-23"/>
        </w:rPr>
        <w:t> </w:t>
      </w:r>
      <w:r>
        <w:rPr/>
        <w:t>Program.</w:t>
      </w:r>
    </w:p>
    <w:p>
      <w:pPr>
        <w:pStyle w:val="BodyText"/>
        <w:rPr>
          <w:sz w:val="14"/>
        </w:rPr>
      </w:pPr>
    </w:p>
    <w:p>
      <w:pPr>
        <w:pStyle w:val="BodyText"/>
        <w:spacing w:line="249" w:lineRule="auto"/>
        <w:ind w:left="107" w:right="-4"/>
      </w:pPr>
      <w:r>
        <w:rPr/>
        <w:t>Research programs led by School staff </w:t>
      </w:r>
      <w:r>
        <w:rPr>
          <w:w w:val="97"/>
        </w:rPr>
        <w:t>members </w:t>
      </w:r>
      <w:r>
        <w:rPr>
          <w:w w:val="98"/>
        </w:rPr>
        <w:t>achieved </w:t>
      </w:r>
      <w:r>
        <w:rPr>
          <w:w w:val="97"/>
        </w:rPr>
        <w:t>significant </w:t>
      </w:r>
      <w:r>
        <w:rPr>
          <w:w w:val="97"/>
        </w:rPr>
        <w:t>success </w:t>
      </w:r>
      <w:r>
        <w:rPr>
          <w:w w:val="95"/>
        </w:rPr>
        <w:t>in </w:t>
      </w:r>
      <w:r>
        <w:rPr>
          <w:w w:val="85"/>
        </w:rPr>
        <w:t>2016. </w:t>
      </w:r>
      <w:r>
        <w:rPr/>
        <w:t>For example:</w:t>
      </w:r>
    </w:p>
    <w:p>
      <w:pPr>
        <w:pStyle w:val="BodyText"/>
        <w:spacing w:line="247" w:lineRule="auto" w:before="55"/>
        <w:ind w:left="305" w:right="1" w:hanging="199"/>
      </w:pPr>
      <w:r>
        <w:rPr>
          <w:rFonts w:ascii="Century Gothic" w:hAnsi="Century Gothic"/>
          <w:b/>
          <w:w w:val="115"/>
        </w:rPr>
        <w:t>≥ </w:t>
      </w:r>
      <w:r>
        <w:rPr/>
        <w:t>Associate Professor Robert Spooner-Hart and</w:t>
      </w:r>
      <w:r>
        <w:rPr>
          <w:spacing w:val="-18"/>
        </w:rPr>
        <w:t> </w:t>
      </w:r>
      <w:r>
        <w:rPr/>
        <w:t>a</w:t>
      </w:r>
      <w:r>
        <w:rPr>
          <w:spacing w:val="-18"/>
        </w:rPr>
        <w:t> </w:t>
      </w:r>
      <w:r>
        <w:rPr/>
        <w:t>team</w:t>
      </w:r>
      <w:r>
        <w:rPr>
          <w:spacing w:val="-18"/>
        </w:rPr>
        <w:t> </w:t>
      </w:r>
      <w:r>
        <w:rPr/>
        <w:t>from</w:t>
      </w:r>
      <w:r>
        <w:rPr>
          <w:spacing w:val="-18"/>
        </w:rPr>
        <w:t> </w:t>
      </w:r>
      <w:r>
        <w:rPr/>
        <w:t>the</w:t>
      </w:r>
      <w:r>
        <w:rPr>
          <w:spacing w:val="-18"/>
        </w:rPr>
        <w:t> </w:t>
      </w:r>
      <w:r>
        <w:rPr/>
        <w:t>Hawkesbury</w:t>
      </w:r>
      <w:r>
        <w:rPr>
          <w:spacing w:val="-18"/>
        </w:rPr>
        <w:t> </w:t>
      </w:r>
      <w:r>
        <w:rPr/>
        <w:t>Institute for</w:t>
      </w:r>
      <w:r>
        <w:rPr>
          <w:spacing w:val="-19"/>
        </w:rPr>
        <w:t> </w:t>
      </w:r>
      <w:r>
        <w:rPr/>
        <w:t>the</w:t>
      </w:r>
      <w:r>
        <w:rPr>
          <w:spacing w:val="-19"/>
        </w:rPr>
        <w:t> </w:t>
      </w:r>
      <w:r>
        <w:rPr/>
        <w:t>Environment</w:t>
      </w:r>
      <w:r>
        <w:rPr>
          <w:spacing w:val="-19"/>
        </w:rPr>
        <w:t> </w:t>
      </w:r>
      <w:r>
        <w:rPr>
          <w:spacing w:val="2"/>
        </w:rPr>
        <w:t>(HIE)</w:t>
      </w:r>
      <w:r>
        <w:rPr>
          <w:spacing w:val="-19"/>
        </w:rPr>
        <w:t> </w:t>
      </w:r>
      <w:r>
        <w:rPr/>
        <w:t>obtained</w:t>
      </w:r>
      <w:r>
        <w:rPr>
          <w:spacing w:val="-19"/>
        </w:rPr>
        <w:t> </w:t>
      </w:r>
      <w:r>
        <w:rPr/>
        <w:t>a</w:t>
      </w:r>
      <w:r>
        <w:rPr>
          <w:spacing w:val="-19"/>
        </w:rPr>
        <w:t> </w:t>
      </w:r>
      <w:r>
        <w:rPr/>
        <w:t>grant of</w:t>
      </w:r>
      <w:r>
        <w:rPr>
          <w:spacing w:val="-17"/>
        </w:rPr>
        <w:t> </w:t>
      </w:r>
      <w:r>
        <w:rPr/>
        <w:t>more</w:t>
      </w:r>
      <w:r>
        <w:rPr>
          <w:spacing w:val="-17"/>
        </w:rPr>
        <w:t> </w:t>
      </w:r>
      <w:r>
        <w:rPr/>
        <w:t>than</w:t>
      </w:r>
      <w:r>
        <w:rPr>
          <w:spacing w:val="-17"/>
        </w:rPr>
        <w:t> </w:t>
      </w:r>
      <w:r>
        <w:rPr/>
        <w:t>$2.4</w:t>
      </w:r>
      <w:r>
        <w:rPr>
          <w:spacing w:val="-17"/>
        </w:rPr>
        <w:t> </w:t>
      </w:r>
      <w:r>
        <w:rPr/>
        <w:t>million</w:t>
      </w:r>
      <w:r>
        <w:rPr>
          <w:spacing w:val="-17"/>
        </w:rPr>
        <w:t> </w:t>
      </w:r>
      <w:r>
        <w:rPr/>
        <w:t>from</w:t>
      </w:r>
      <w:r>
        <w:rPr>
          <w:spacing w:val="-17"/>
        </w:rPr>
        <w:t> </w:t>
      </w:r>
      <w:r>
        <w:rPr/>
        <w:t>Horticulture Innovation Australia and industry partners for</w:t>
      </w:r>
      <w:r>
        <w:rPr>
          <w:spacing w:val="-14"/>
        </w:rPr>
        <w:t> </w:t>
      </w:r>
      <w:r>
        <w:rPr/>
        <w:t>the</w:t>
      </w:r>
      <w:r>
        <w:rPr>
          <w:spacing w:val="-14"/>
        </w:rPr>
        <w:t> </w:t>
      </w:r>
      <w:r>
        <w:rPr/>
        <w:t>project</w:t>
      </w:r>
      <w:r>
        <w:rPr>
          <w:spacing w:val="-14"/>
        </w:rPr>
        <w:t> </w:t>
      </w:r>
      <w:r>
        <w:rPr/>
        <w:t>‘Healthy</w:t>
      </w:r>
      <w:r>
        <w:rPr>
          <w:spacing w:val="-14"/>
        </w:rPr>
        <w:t> </w:t>
      </w:r>
      <w:r>
        <w:rPr/>
        <w:t>bee</w:t>
      </w:r>
      <w:r>
        <w:rPr>
          <w:spacing w:val="-14"/>
        </w:rPr>
        <w:t> </w:t>
      </w:r>
      <w:r>
        <w:rPr/>
        <w:t>populations</w:t>
      </w:r>
      <w:r>
        <w:rPr>
          <w:spacing w:val="-14"/>
        </w:rPr>
        <w:t> </w:t>
      </w:r>
      <w:r>
        <w:rPr/>
        <w:t>for horticultural pollination</w:t>
      </w:r>
      <w:r>
        <w:rPr>
          <w:spacing w:val="-31"/>
        </w:rPr>
        <w:t> </w:t>
      </w:r>
      <w:r>
        <w:rPr/>
        <w:t>services’</w:t>
      </w:r>
    </w:p>
    <w:p>
      <w:pPr>
        <w:pStyle w:val="BodyText"/>
        <w:spacing w:before="57"/>
        <w:ind w:left="107" w:right="22"/>
      </w:pPr>
      <w:r>
        <w:rPr>
          <w:rFonts w:ascii="Century Gothic" w:hAnsi="Century Gothic"/>
          <w:b/>
          <w:w w:val="115"/>
        </w:rPr>
        <w:t>≥ </w:t>
      </w:r>
      <w:r>
        <w:rPr/>
        <w:t>Dr Freya MacMillan received more than</w:t>
      </w:r>
    </w:p>
    <w:p>
      <w:pPr>
        <w:pStyle w:val="BodyText"/>
        <w:spacing w:line="249" w:lineRule="auto" w:before="4"/>
        <w:ind w:left="305" w:right="228"/>
      </w:pPr>
      <w:r>
        <w:rPr>
          <w:spacing w:val="2"/>
        </w:rPr>
        <w:t>$204,000</w:t>
      </w:r>
      <w:r>
        <w:rPr>
          <w:spacing w:val="-16"/>
        </w:rPr>
        <w:t> </w:t>
      </w:r>
      <w:r>
        <w:rPr/>
        <w:t>from</w:t>
      </w:r>
      <w:r>
        <w:rPr>
          <w:spacing w:val="-16"/>
        </w:rPr>
        <w:t> </w:t>
      </w:r>
      <w:r>
        <w:rPr/>
        <w:t>the</w:t>
      </w:r>
      <w:r>
        <w:rPr>
          <w:spacing w:val="-16"/>
        </w:rPr>
        <w:t> </w:t>
      </w:r>
      <w:r>
        <w:rPr/>
        <w:t>Translational</w:t>
      </w:r>
      <w:r>
        <w:rPr>
          <w:spacing w:val="-16"/>
        </w:rPr>
        <w:t> </w:t>
      </w:r>
      <w:r>
        <w:rPr/>
        <w:t>Health Research</w:t>
      </w:r>
      <w:r>
        <w:rPr>
          <w:spacing w:val="-16"/>
        </w:rPr>
        <w:t> </w:t>
      </w:r>
      <w:r>
        <w:rPr/>
        <w:t>Grants</w:t>
      </w:r>
      <w:r>
        <w:rPr>
          <w:spacing w:val="-16"/>
        </w:rPr>
        <w:t> </w:t>
      </w:r>
      <w:r>
        <w:rPr/>
        <w:t>Scheme</w:t>
      </w:r>
      <w:r>
        <w:rPr>
          <w:spacing w:val="-16"/>
        </w:rPr>
        <w:t> </w:t>
      </w:r>
      <w:r>
        <w:rPr/>
        <w:t>for</w:t>
      </w:r>
      <w:r>
        <w:rPr>
          <w:spacing w:val="-16"/>
        </w:rPr>
        <w:t> </w:t>
      </w:r>
      <w:r>
        <w:rPr/>
        <w:t>the</w:t>
      </w:r>
      <w:r>
        <w:rPr>
          <w:spacing w:val="-16"/>
        </w:rPr>
        <w:t> </w:t>
      </w:r>
      <w:r>
        <w:rPr/>
        <w:t>project ‘Reducing the impact of diabetes and its</w:t>
      </w:r>
      <w:r>
        <w:rPr>
          <w:spacing w:val="-16"/>
        </w:rPr>
        <w:t> </w:t>
      </w:r>
      <w:r>
        <w:rPr/>
        <w:t>complications</w:t>
      </w:r>
      <w:r>
        <w:rPr>
          <w:spacing w:val="-16"/>
        </w:rPr>
        <w:t> </w:t>
      </w:r>
      <w:r>
        <w:rPr/>
        <w:t>in</w:t>
      </w:r>
      <w:r>
        <w:rPr>
          <w:spacing w:val="-16"/>
        </w:rPr>
        <w:t> </w:t>
      </w:r>
      <w:r>
        <w:rPr/>
        <w:t>the</w:t>
      </w:r>
      <w:r>
        <w:rPr>
          <w:spacing w:val="-16"/>
        </w:rPr>
        <w:t> </w:t>
      </w:r>
      <w:r>
        <w:rPr/>
        <w:t>Greater</w:t>
      </w:r>
      <w:r>
        <w:rPr>
          <w:spacing w:val="-16"/>
        </w:rPr>
        <w:t> </w:t>
      </w:r>
      <w:r>
        <w:rPr/>
        <w:t>Western Sydney Samoan</w:t>
      </w:r>
      <w:r>
        <w:rPr>
          <w:spacing w:val="-30"/>
        </w:rPr>
        <w:t> </w:t>
      </w:r>
      <w:r>
        <w:rPr/>
        <w:t>community’</w:t>
      </w:r>
    </w:p>
    <w:p>
      <w:pPr>
        <w:pStyle w:val="BodyText"/>
        <w:spacing w:line="247" w:lineRule="auto" w:before="55"/>
        <w:ind w:left="305" w:right="59" w:hanging="199"/>
      </w:pPr>
      <w:r>
        <w:rPr>
          <w:rFonts w:ascii="Century Gothic" w:hAnsi="Century Gothic"/>
          <w:b/>
          <w:w w:val="115"/>
        </w:rPr>
        <w:t>≥ </w:t>
      </w:r>
      <w:r>
        <w:rPr/>
        <w:t>Dr Chris Turbill is </w:t>
      </w:r>
      <w:r>
        <w:rPr>
          <w:spacing w:val="2"/>
        </w:rPr>
        <w:t>part </w:t>
      </w:r>
      <w:r>
        <w:rPr/>
        <w:t>of a team working on a project entitled ‘Movement Ecology of</w:t>
      </w:r>
      <w:r>
        <w:rPr>
          <w:spacing w:val="-17"/>
        </w:rPr>
        <w:t> </w:t>
      </w:r>
      <w:r>
        <w:rPr/>
        <w:t>Flying</w:t>
      </w:r>
      <w:r>
        <w:rPr>
          <w:spacing w:val="-17"/>
        </w:rPr>
        <w:t> </w:t>
      </w:r>
      <w:r>
        <w:rPr/>
        <w:t>Foxes’,</w:t>
      </w:r>
      <w:r>
        <w:rPr>
          <w:spacing w:val="-17"/>
        </w:rPr>
        <w:t> </w:t>
      </w:r>
      <w:r>
        <w:rPr/>
        <w:t>which</w:t>
      </w:r>
      <w:r>
        <w:rPr>
          <w:spacing w:val="-17"/>
        </w:rPr>
        <w:t> </w:t>
      </w:r>
      <w:r>
        <w:rPr/>
        <w:t>received</w:t>
      </w:r>
      <w:r>
        <w:rPr>
          <w:spacing w:val="-17"/>
        </w:rPr>
        <w:t> </w:t>
      </w:r>
      <w:r>
        <w:rPr>
          <w:spacing w:val="3"/>
        </w:rPr>
        <w:t>$389,500 </w:t>
      </w:r>
      <w:r>
        <w:rPr/>
        <w:t>in funding from the Australian Research Council’s Discovery Project program. The team is led by Dr Justin Welbergen from HIE</w:t>
      </w:r>
      <w:r>
        <w:rPr>
          <w:spacing w:val="-20"/>
        </w:rPr>
        <w:t> </w:t>
      </w:r>
      <w:r>
        <w:rPr/>
        <w:t>and</w:t>
      </w:r>
      <w:r>
        <w:rPr>
          <w:spacing w:val="-20"/>
        </w:rPr>
        <w:t> </w:t>
      </w:r>
      <w:r>
        <w:rPr/>
        <w:t>also</w:t>
      </w:r>
      <w:r>
        <w:rPr>
          <w:spacing w:val="-20"/>
        </w:rPr>
        <w:t> </w:t>
      </w:r>
      <w:r>
        <w:rPr/>
        <w:t>includes</w:t>
      </w:r>
      <w:r>
        <w:rPr>
          <w:spacing w:val="-20"/>
        </w:rPr>
        <w:t> </w:t>
      </w:r>
      <w:r>
        <w:rPr/>
        <w:t>researchers</w:t>
      </w:r>
      <w:r>
        <w:rPr>
          <w:spacing w:val="-20"/>
        </w:rPr>
        <w:t> </w:t>
      </w:r>
      <w:r>
        <w:rPr/>
        <w:t>from</w:t>
      </w:r>
      <w:r>
        <w:rPr>
          <w:spacing w:val="-20"/>
        </w:rPr>
        <w:t> </w:t>
      </w:r>
      <w:r>
        <w:rPr/>
        <w:t>the </w:t>
      </w:r>
      <w:r>
        <w:rPr>
          <w:spacing w:val="2"/>
        </w:rPr>
        <w:t>CSIRO.</w:t>
      </w:r>
    </w:p>
    <w:p>
      <w:pPr>
        <w:pStyle w:val="BodyText"/>
        <w:spacing w:line="247" w:lineRule="auto" w:before="57"/>
        <w:ind w:left="305" w:right="87" w:hanging="199"/>
      </w:pPr>
      <w:r>
        <w:rPr>
          <w:rFonts w:ascii="Century Gothic" w:hAnsi="Century Gothic"/>
          <w:b/>
          <w:w w:val="115"/>
        </w:rPr>
        <w:t>≥ </w:t>
      </w:r>
      <w:r>
        <w:rPr/>
        <w:t>Dr Amit Arora was selected to serve on the Translation of Research into Practice Fellowships Panel for the National Health and Medical Research Council</w:t>
      </w:r>
    </w:p>
    <w:p>
      <w:pPr>
        <w:pStyle w:val="BodyText"/>
        <w:spacing w:before="8"/>
      </w:pPr>
      <w:r>
        <w:rPr/>
        <w:br w:type="column"/>
      </w:r>
      <w:r>
        <w:rPr/>
      </w:r>
    </w:p>
    <w:p>
      <w:pPr>
        <w:pStyle w:val="BodyText"/>
        <w:spacing w:line="247" w:lineRule="auto" w:before="1"/>
        <w:ind w:left="305" w:right="170" w:hanging="199"/>
      </w:pPr>
      <w:r>
        <w:rPr>
          <w:rFonts w:ascii="Century Gothic" w:hAnsi="Century Gothic"/>
          <w:b/>
          <w:w w:val="115"/>
        </w:rPr>
        <w:t>≥ </w:t>
      </w:r>
      <w:r>
        <w:rPr/>
        <w:t>Professor Lucy Chipchase, PhD student Bernadette Brady and Dr Siobhan Schabrun received a Physiotherapy Research Foundation grant for a project entitled ‘The inequities of chronic pain</w:t>
      </w:r>
    </w:p>
    <w:p>
      <w:pPr>
        <w:pStyle w:val="BodyText"/>
        <w:spacing w:line="249" w:lineRule="auto" w:before="1"/>
        <w:ind w:left="305" w:right="-3"/>
      </w:pPr>
      <w:r>
        <w:rPr/>
        <w:t>– responding with culturally diverse physiotherapy’. Bernadette was also </w:t>
      </w:r>
      <w:r>
        <w:rPr>
          <w:w w:val="98"/>
        </w:rPr>
        <w:t>awarded </w:t>
      </w:r>
      <w:r>
        <w:rPr>
          <w:w w:val="97"/>
        </w:rPr>
        <w:t>the </w:t>
      </w:r>
      <w:r>
        <w:rPr>
          <w:w w:val="87"/>
        </w:rPr>
        <w:t>2017 </w:t>
      </w:r>
      <w:r>
        <w:rPr>
          <w:w w:val="96"/>
        </w:rPr>
        <w:t>Sir </w:t>
      </w:r>
      <w:r>
        <w:rPr>
          <w:spacing w:val="1"/>
          <w:w w:val="99"/>
        </w:rPr>
        <w:t>Robert</w:t>
      </w:r>
      <w:r>
        <w:rPr>
          <w:w w:val="99"/>
        </w:rPr>
        <w:t> </w:t>
      </w:r>
      <w:r>
        <w:rPr>
          <w:spacing w:val="1"/>
          <w:w w:val="97"/>
        </w:rPr>
        <w:t>Menzies</w:t>
      </w:r>
      <w:r>
        <w:rPr>
          <w:w w:val="97"/>
        </w:rPr>
        <w:t> </w:t>
      </w:r>
      <w:r>
        <w:rPr/>
        <w:t>Memorial</w:t>
      </w:r>
      <w:r>
        <w:rPr>
          <w:spacing w:val="-15"/>
        </w:rPr>
        <w:t> </w:t>
      </w:r>
      <w:r>
        <w:rPr/>
        <w:t>Research</w:t>
      </w:r>
      <w:r>
        <w:rPr>
          <w:spacing w:val="-15"/>
        </w:rPr>
        <w:t> </w:t>
      </w:r>
      <w:r>
        <w:rPr/>
        <w:t>Scholarship</w:t>
      </w:r>
      <w:r>
        <w:rPr>
          <w:spacing w:val="-15"/>
        </w:rPr>
        <w:t> </w:t>
      </w:r>
      <w:r>
        <w:rPr/>
        <w:t>in</w:t>
      </w:r>
      <w:r>
        <w:rPr>
          <w:spacing w:val="-15"/>
        </w:rPr>
        <w:t> </w:t>
      </w:r>
      <w:r>
        <w:rPr/>
        <w:t>the</w:t>
      </w:r>
      <w:r>
        <w:rPr>
          <w:spacing w:val="-15"/>
        </w:rPr>
        <w:t> </w:t>
      </w:r>
      <w:r>
        <w:rPr/>
        <w:t>Allied Health</w:t>
      </w:r>
      <w:r>
        <w:rPr>
          <w:spacing w:val="-23"/>
        </w:rPr>
        <w:t> </w:t>
      </w:r>
      <w:r>
        <w:rPr/>
        <w:t>Sciences.</w:t>
      </w:r>
      <w:r>
        <w:rPr>
          <w:spacing w:val="-23"/>
        </w:rPr>
        <w:t> </w:t>
      </w:r>
      <w:r>
        <w:rPr/>
        <w:t>The</w:t>
      </w:r>
      <w:r>
        <w:rPr>
          <w:spacing w:val="-23"/>
        </w:rPr>
        <w:t> </w:t>
      </w:r>
      <w:r>
        <w:rPr/>
        <w:t>scholarship</w:t>
      </w:r>
      <w:r>
        <w:rPr>
          <w:spacing w:val="-23"/>
        </w:rPr>
        <w:t> </w:t>
      </w:r>
      <w:r>
        <w:rPr/>
        <w:t>offers</w:t>
      </w:r>
    </w:p>
    <w:p>
      <w:pPr>
        <w:pStyle w:val="BodyText"/>
        <w:spacing w:line="249" w:lineRule="auto"/>
        <w:ind w:left="305" w:right="58"/>
      </w:pPr>
      <w:r>
        <w:rPr/>
        <w:t>$40,000 a year for up to two years and will help Bernadette complete her PhD on chronic pain.</w:t>
      </w:r>
    </w:p>
    <w:p>
      <w:pPr>
        <w:pStyle w:val="BodyText"/>
        <w:spacing w:line="247" w:lineRule="auto" w:before="55"/>
        <w:ind w:left="305" w:right="229" w:hanging="199"/>
      </w:pPr>
      <w:r>
        <w:rPr>
          <w:rFonts w:ascii="Century Gothic" w:hAnsi="Century Gothic"/>
          <w:b/>
          <w:w w:val="115"/>
        </w:rPr>
        <w:t>≥ </w:t>
      </w:r>
      <w:r>
        <w:rPr/>
        <w:t>Professor Vijay Jayasena received scholarship funding from Campbell Arnott’s for his ‘New Technology in Food Science’ project</w:t>
      </w:r>
    </w:p>
    <w:p>
      <w:pPr>
        <w:pStyle w:val="BodyText"/>
        <w:spacing w:line="247" w:lineRule="auto" w:before="57"/>
        <w:ind w:left="305" w:hanging="199"/>
      </w:pPr>
      <w:r>
        <w:rPr>
          <w:rFonts w:ascii="Century Gothic" w:hAnsi="Century Gothic"/>
          <w:b/>
          <w:w w:val="115"/>
        </w:rPr>
        <w:t>≥ </w:t>
      </w:r>
      <w:r>
        <w:rPr/>
        <w:t>Emeritus Professor Rob Mulley was appointed to the Game and Pest Management Advisory Board of NSW,</w:t>
      </w:r>
    </w:p>
    <w:p>
      <w:pPr>
        <w:pStyle w:val="BodyText"/>
        <w:spacing w:line="249" w:lineRule="auto" w:before="1"/>
        <w:ind w:left="305" w:right="103"/>
      </w:pPr>
      <w:r>
        <w:rPr/>
        <w:t>the NSW Biosecurity Advisory Committee and the NSW Kangaroo Management Advisory Panel</w:t>
      </w:r>
    </w:p>
    <w:p>
      <w:pPr>
        <w:pStyle w:val="BodyText"/>
        <w:spacing w:line="247" w:lineRule="auto" w:before="55"/>
        <w:ind w:left="305" w:right="14" w:hanging="199"/>
      </w:pPr>
      <w:r>
        <w:rPr>
          <w:rFonts w:ascii="Century Gothic" w:hAnsi="Century Gothic"/>
          <w:b/>
          <w:w w:val="115"/>
        </w:rPr>
        <w:t>≥ </w:t>
      </w:r>
      <w:r>
        <w:rPr/>
        <w:t>Dr Ian Wright took first place and the People’s Choice award in the Western Sydney University Research </w:t>
      </w:r>
      <w:r>
        <w:rPr>
          <w:spacing w:val="2"/>
        </w:rPr>
        <w:t>Impact </w:t>
      </w:r>
      <w:r>
        <w:rPr/>
        <w:t>Competition for a presentation entitled ‘What</w:t>
      </w:r>
      <w:r>
        <w:rPr>
          <w:spacing w:val="-14"/>
        </w:rPr>
        <w:t> </w:t>
      </w:r>
      <w:r>
        <w:rPr/>
        <w:t>happened</w:t>
      </w:r>
      <w:r>
        <w:rPr>
          <w:spacing w:val="-14"/>
        </w:rPr>
        <w:t> </w:t>
      </w:r>
      <w:r>
        <w:rPr/>
        <w:t>when</w:t>
      </w:r>
      <w:r>
        <w:rPr>
          <w:spacing w:val="-14"/>
        </w:rPr>
        <w:t> </w:t>
      </w:r>
      <w:r>
        <w:rPr/>
        <w:t>research</w:t>
      </w:r>
      <w:r>
        <w:rPr>
          <w:spacing w:val="-14"/>
        </w:rPr>
        <w:t> </w:t>
      </w:r>
      <w:r>
        <w:rPr/>
        <w:t>discovered major water pollution of a highly valued river from a coal mine?’ The presentation demonstrated the significant impact on government agencies, the coal-mining industry</w:t>
      </w:r>
      <w:r>
        <w:rPr>
          <w:spacing w:val="-17"/>
        </w:rPr>
        <w:t> </w:t>
      </w:r>
      <w:r>
        <w:rPr/>
        <w:t>and</w:t>
      </w:r>
      <w:r>
        <w:rPr>
          <w:spacing w:val="-17"/>
        </w:rPr>
        <w:t> </w:t>
      </w:r>
      <w:r>
        <w:rPr/>
        <w:t>local</w:t>
      </w:r>
      <w:r>
        <w:rPr>
          <w:spacing w:val="-17"/>
        </w:rPr>
        <w:t> </w:t>
      </w:r>
      <w:r>
        <w:rPr/>
        <w:t>communities.</w:t>
      </w:r>
    </w:p>
    <w:p>
      <w:pPr>
        <w:pStyle w:val="BodyText"/>
        <w:spacing w:before="2"/>
        <w:rPr>
          <w:sz w:val="14"/>
        </w:rPr>
      </w:pPr>
    </w:p>
    <w:p>
      <w:pPr>
        <w:pStyle w:val="BodyText"/>
        <w:spacing w:line="249" w:lineRule="auto"/>
        <w:ind w:left="107" w:right="76"/>
        <w:jc w:val="both"/>
      </w:pP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spacing w:val="1"/>
          <w:w w:val="98"/>
        </w:rPr>
        <w:t>celebrated</w:t>
      </w:r>
      <w:r>
        <w:rPr>
          <w:w w:val="98"/>
        </w:rPr>
        <w:t> </w:t>
      </w:r>
      <w:r>
        <w:rPr>
          <w:w w:val="97"/>
        </w:rPr>
        <w:t>the</w:t>
      </w:r>
      <w:r>
        <w:rPr>
          <w:spacing w:val="-31"/>
          <w:w w:val="97"/>
        </w:rPr>
        <w:t> </w:t>
      </w:r>
      <w:r>
        <w:rPr>
          <w:spacing w:val="1"/>
          <w:w w:val="97"/>
        </w:rPr>
        <w:t>graduation</w:t>
      </w:r>
      <w:r>
        <w:rPr>
          <w:w w:val="97"/>
        </w:rPr>
        <w:t> </w:t>
      </w:r>
      <w:r>
        <w:rPr/>
        <w:t>of</w:t>
      </w:r>
      <w:r>
        <w:rPr>
          <w:spacing w:val="-16"/>
        </w:rPr>
        <w:t> </w:t>
      </w:r>
      <w:r>
        <w:rPr/>
        <w:t>28</w:t>
      </w:r>
      <w:r>
        <w:rPr>
          <w:spacing w:val="-16"/>
        </w:rPr>
        <w:t> </w:t>
      </w:r>
      <w:r>
        <w:rPr/>
        <w:t>higher</w:t>
      </w:r>
      <w:r>
        <w:rPr>
          <w:spacing w:val="-16"/>
        </w:rPr>
        <w:t> </w:t>
      </w:r>
      <w:r>
        <w:rPr/>
        <w:t>degree</w:t>
      </w:r>
      <w:r>
        <w:rPr>
          <w:spacing w:val="-16"/>
        </w:rPr>
        <w:t> </w:t>
      </w:r>
      <w:r>
        <w:rPr/>
        <w:t>research</w:t>
      </w:r>
      <w:r>
        <w:rPr>
          <w:spacing w:val="-16"/>
        </w:rPr>
        <w:t> </w:t>
      </w:r>
      <w:r>
        <w:rPr/>
        <w:t>(HDR)</w:t>
      </w:r>
      <w:r>
        <w:rPr>
          <w:spacing w:val="-16"/>
        </w:rPr>
        <w:t> </w:t>
      </w:r>
      <w:r>
        <w:rPr/>
        <w:t>students and</w:t>
      </w:r>
      <w:r>
        <w:rPr>
          <w:spacing w:val="-13"/>
        </w:rPr>
        <w:t> </w:t>
      </w:r>
      <w:r>
        <w:rPr/>
        <w:t>welcomed</w:t>
      </w:r>
      <w:r>
        <w:rPr>
          <w:spacing w:val="-13"/>
        </w:rPr>
        <w:t> </w:t>
      </w:r>
      <w:r>
        <w:rPr/>
        <w:t>40</w:t>
      </w:r>
      <w:r>
        <w:rPr>
          <w:spacing w:val="-13"/>
        </w:rPr>
        <w:t> </w:t>
      </w:r>
      <w:r>
        <w:rPr/>
        <w:t>new</w:t>
      </w:r>
      <w:r>
        <w:rPr>
          <w:spacing w:val="-13"/>
        </w:rPr>
        <w:t> </w:t>
      </w:r>
      <w:r>
        <w:rPr>
          <w:spacing w:val="2"/>
        </w:rPr>
        <w:t>HDR</w:t>
      </w:r>
      <w:r>
        <w:rPr>
          <w:spacing w:val="-13"/>
        </w:rPr>
        <w:t> </w:t>
      </w:r>
      <w:r>
        <w:rPr/>
        <w:t>students.</w:t>
      </w:r>
    </w:p>
    <w:p>
      <w:pPr>
        <w:pStyle w:val="BodyText"/>
        <w:spacing w:line="249" w:lineRule="auto"/>
        <w:ind w:left="107"/>
      </w:pPr>
      <w:r>
        <w:rPr/>
        <w:t>Eighteen students are supported by scholarships.</w:t>
      </w:r>
    </w:p>
    <w:p>
      <w:pPr>
        <w:pStyle w:val="BodyText"/>
        <w:rPr>
          <w:sz w:val="14"/>
        </w:rPr>
      </w:pPr>
    </w:p>
    <w:p>
      <w:pPr>
        <w:pStyle w:val="BodyText"/>
        <w:spacing w:line="249" w:lineRule="auto"/>
        <w:ind w:left="107" w:right="-3"/>
      </w:pPr>
      <w:r>
        <w:rPr/>
        <w:t>The School held its annual Higher Degree Research Forum in June, providing opportunities for students to showcase their research. The two-day forum included poster presentations by science and medical science honours students, plenary lectures by final- year HDR students, and short theses by first- year students.</w:t>
      </w:r>
    </w:p>
    <w:p>
      <w:pPr>
        <w:pStyle w:val="BodyText"/>
        <w:spacing w:before="3"/>
        <w:rPr>
          <w:sz w:val="19"/>
        </w:rPr>
      </w:pPr>
    </w:p>
    <w:p>
      <w:pPr>
        <w:pStyle w:val="Heading7"/>
        <w:ind w:right="0"/>
      </w:pPr>
      <w:r>
        <w:rPr/>
        <w:t>ENGAGEMENT</w:t>
      </w:r>
    </w:p>
    <w:p>
      <w:pPr>
        <w:pStyle w:val="BodyText"/>
        <w:spacing w:line="249" w:lineRule="auto" w:before="58"/>
        <w:ind w:left="107" w:right="197"/>
        <w:jc w:val="both"/>
      </w:pPr>
      <w:r>
        <w:rPr/>
        <w:t>Science</w:t>
      </w:r>
      <w:r>
        <w:rPr>
          <w:spacing w:val="-16"/>
        </w:rPr>
        <w:t> </w:t>
      </w:r>
      <w:r>
        <w:rPr/>
        <w:t>and</w:t>
      </w:r>
      <w:r>
        <w:rPr>
          <w:spacing w:val="-16"/>
        </w:rPr>
        <w:t> </w:t>
      </w:r>
      <w:r>
        <w:rPr/>
        <w:t>Health</w:t>
      </w:r>
      <w:r>
        <w:rPr>
          <w:spacing w:val="-16"/>
        </w:rPr>
        <w:t> </w:t>
      </w:r>
      <w:r>
        <w:rPr/>
        <w:t>continues</w:t>
      </w:r>
      <w:r>
        <w:rPr>
          <w:spacing w:val="-16"/>
        </w:rPr>
        <w:t> </w:t>
      </w:r>
      <w:r>
        <w:rPr/>
        <w:t>to</w:t>
      </w:r>
      <w:r>
        <w:rPr>
          <w:spacing w:val="-16"/>
        </w:rPr>
        <w:t> </w:t>
      </w:r>
      <w:r>
        <w:rPr/>
        <w:t>be</w:t>
      </w:r>
      <w:r>
        <w:rPr>
          <w:spacing w:val="-16"/>
        </w:rPr>
        <w:t> </w:t>
      </w:r>
      <w:r>
        <w:rPr/>
        <w:t>a</w:t>
      </w:r>
      <w:r>
        <w:rPr>
          <w:spacing w:val="-16"/>
        </w:rPr>
        <w:t> </w:t>
      </w:r>
      <w:r>
        <w:rPr/>
        <w:t>leader among</w:t>
      </w:r>
      <w:r>
        <w:rPr>
          <w:spacing w:val="-15"/>
        </w:rPr>
        <w:t> </w:t>
      </w:r>
      <w:r>
        <w:rPr/>
        <w:t>the</w:t>
      </w:r>
      <w:r>
        <w:rPr>
          <w:spacing w:val="-15"/>
        </w:rPr>
        <w:t> </w:t>
      </w:r>
      <w:r>
        <w:rPr/>
        <w:t>University’s</w:t>
      </w:r>
      <w:r>
        <w:rPr>
          <w:spacing w:val="-15"/>
        </w:rPr>
        <w:t> </w:t>
      </w:r>
      <w:r>
        <w:rPr/>
        <w:t>Schools</w:t>
      </w:r>
      <w:r>
        <w:rPr>
          <w:spacing w:val="-15"/>
        </w:rPr>
        <w:t> </w:t>
      </w:r>
      <w:r>
        <w:rPr/>
        <w:t>in</w:t>
      </w:r>
      <w:r>
        <w:rPr>
          <w:spacing w:val="-15"/>
        </w:rPr>
        <w:t> </w:t>
      </w:r>
      <w:r>
        <w:rPr/>
        <w:t>engaging with,</w:t>
      </w:r>
      <w:r>
        <w:rPr>
          <w:spacing w:val="-22"/>
        </w:rPr>
        <w:t> </w:t>
      </w:r>
      <w:r>
        <w:rPr/>
        <w:t>and</w:t>
      </w:r>
      <w:r>
        <w:rPr>
          <w:spacing w:val="-22"/>
        </w:rPr>
        <w:t> </w:t>
      </w:r>
      <w:r>
        <w:rPr/>
        <w:t>advocating</w:t>
      </w:r>
      <w:r>
        <w:rPr>
          <w:spacing w:val="-22"/>
        </w:rPr>
        <w:t> </w:t>
      </w:r>
      <w:r>
        <w:rPr/>
        <w:t>for,</w:t>
      </w:r>
      <w:r>
        <w:rPr>
          <w:spacing w:val="-22"/>
        </w:rPr>
        <w:t> </w:t>
      </w:r>
      <w:r>
        <w:rPr/>
        <w:t>Western</w:t>
      </w:r>
      <w:r>
        <w:rPr>
          <w:spacing w:val="-22"/>
        </w:rPr>
        <w:t> </w:t>
      </w:r>
      <w:r>
        <w:rPr/>
        <w:t>Sydney</w:t>
      </w:r>
    </w:p>
    <w:p>
      <w:pPr>
        <w:pStyle w:val="BodyText"/>
        <w:spacing w:before="9"/>
      </w:pPr>
      <w:r>
        <w:rPr/>
        <w:br w:type="column"/>
      </w:r>
      <w:r>
        <w:rPr/>
      </w:r>
    </w:p>
    <w:p>
      <w:pPr>
        <w:pStyle w:val="BodyText"/>
        <w:spacing w:line="249" w:lineRule="auto"/>
        <w:ind w:left="107" w:right="253"/>
      </w:pPr>
      <w:r>
        <w:rPr/>
        <w:t>and its people. For example, the School signed an agreement with South Western Sydney Local Health District to establish a conjoint</w:t>
      </w:r>
      <w:r>
        <w:rPr>
          <w:spacing w:val="-20"/>
        </w:rPr>
        <w:t> </w:t>
      </w:r>
      <w:r>
        <w:rPr/>
        <w:t>professorial</w:t>
      </w:r>
      <w:r>
        <w:rPr>
          <w:spacing w:val="-20"/>
        </w:rPr>
        <w:t> </w:t>
      </w:r>
      <w:r>
        <w:rPr/>
        <w:t>position</w:t>
      </w:r>
      <w:r>
        <w:rPr>
          <w:spacing w:val="-20"/>
        </w:rPr>
        <w:t> </w:t>
      </w:r>
      <w:r>
        <w:rPr/>
        <w:t>in</w:t>
      </w:r>
      <w:r>
        <w:rPr>
          <w:spacing w:val="-20"/>
        </w:rPr>
        <w:t> </w:t>
      </w:r>
      <w:r>
        <w:rPr/>
        <w:t>allied</w:t>
      </w:r>
      <w:r>
        <w:rPr>
          <w:spacing w:val="-20"/>
        </w:rPr>
        <w:t> </w:t>
      </w:r>
      <w:r>
        <w:rPr/>
        <w:t>health. It continued to support The Men’s Health Information and Resource Centre, and gained</w:t>
      </w:r>
      <w:r>
        <w:rPr>
          <w:spacing w:val="-15"/>
        </w:rPr>
        <w:t> </w:t>
      </w:r>
      <w:r>
        <w:rPr/>
        <w:t>government</w:t>
      </w:r>
      <w:r>
        <w:rPr>
          <w:spacing w:val="-15"/>
        </w:rPr>
        <w:t> </w:t>
      </w:r>
      <w:r>
        <w:rPr/>
        <w:t>funding</w:t>
      </w:r>
      <w:r>
        <w:rPr>
          <w:spacing w:val="-15"/>
        </w:rPr>
        <w:t> </w:t>
      </w:r>
      <w:r>
        <w:rPr/>
        <w:t>for</w:t>
      </w:r>
      <w:r>
        <w:rPr>
          <w:spacing w:val="-15"/>
        </w:rPr>
        <w:t> </w:t>
      </w:r>
      <w:r>
        <w:rPr/>
        <w:t>a</w:t>
      </w:r>
      <w:r>
        <w:rPr>
          <w:spacing w:val="-15"/>
        </w:rPr>
        <w:t> </w:t>
      </w:r>
      <w:r>
        <w:rPr/>
        <w:t>range</w:t>
      </w:r>
      <w:r>
        <w:rPr>
          <w:spacing w:val="-15"/>
        </w:rPr>
        <w:t> </w:t>
      </w:r>
      <w:r>
        <w:rPr/>
        <w:t>of</w:t>
      </w:r>
    </w:p>
    <w:p>
      <w:pPr>
        <w:pStyle w:val="BodyText"/>
        <w:spacing w:line="249" w:lineRule="auto"/>
        <w:ind w:left="107" w:right="-1"/>
      </w:pPr>
      <w:r>
        <w:rPr/>
        <w:t>community-embedded services and research programs with Indigenous communities.</w:t>
      </w:r>
    </w:p>
    <w:p>
      <w:pPr>
        <w:pStyle w:val="BodyText"/>
        <w:spacing w:line="192" w:lineRule="exact"/>
        <w:ind w:left="107" w:right="-1"/>
      </w:pPr>
      <w:r>
        <w:rPr/>
        <w:t>These programs include The Shed In Mt Druitt</w:t>
      </w:r>
    </w:p>
    <w:p>
      <w:pPr>
        <w:pStyle w:val="BodyText"/>
        <w:spacing w:line="249" w:lineRule="auto" w:before="7"/>
        <w:ind w:left="107" w:right="460"/>
      </w:pPr>
      <w:r>
        <w:rPr/>
        <w:t>–</w:t>
      </w:r>
      <w:r>
        <w:rPr>
          <w:spacing w:val="-16"/>
        </w:rPr>
        <w:t> </w:t>
      </w:r>
      <w:r>
        <w:rPr/>
        <w:t>which</w:t>
      </w:r>
      <w:r>
        <w:rPr>
          <w:spacing w:val="-16"/>
        </w:rPr>
        <w:t> </w:t>
      </w:r>
      <w:r>
        <w:rPr/>
        <w:t>was</w:t>
      </w:r>
      <w:r>
        <w:rPr>
          <w:spacing w:val="-16"/>
        </w:rPr>
        <w:t> </w:t>
      </w:r>
      <w:r>
        <w:rPr/>
        <w:t>set</w:t>
      </w:r>
      <w:r>
        <w:rPr>
          <w:spacing w:val="-16"/>
        </w:rPr>
        <w:t> </w:t>
      </w:r>
      <w:r>
        <w:rPr/>
        <w:t>up</w:t>
      </w:r>
      <w:r>
        <w:rPr>
          <w:spacing w:val="-16"/>
        </w:rPr>
        <w:t> </w:t>
      </w:r>
      <w:r>
        <w:rPr/>
        <w:t>to</w:t>
      </w:r>
      <w:r>
        <w:rPr>
          <w:spacing w:val="-16"/>
        </w:rPr>
        <w:t> </w:t>
      </w:r>
      <w:r>
        <w:rPr/>
        <w:t>improve</w:t>
      </w:r>
      <w:r>
        <w:rPr>
          <w:spacing w:val="-16"/>
        </w:rPr>
        <w:t> </w:t>
      </w:r>
      <w:r>
        <w:rPr/>
        <w:t>the</w:t>
      </w:r>
      <w:r>
        <w:rPr>
          <w:spacing w:val="-16"/>
        </w:rPr>
        <w:t> </w:t>
      </w:r>
      <w:r>
        <w:rPr/>
        <w:t>health prospects</w:t>
      </w:r>
      <w:r>
        <w:rPr>
          <w:spacing w:val="-19"/>
        </w:rPr>
        <w:t> </w:t>
      </w:r>
      <w:r>
        <w:rPr/>
        <w:t>of</w:t>
      </w:r>
      <w:r>
        <w:rPr>
          <w:spacing w:val="-19"/>
        </w:rPr>
        <w:t> </w:t>
      </w:r>
      <w:r>
        <w:rPr/>
        <w:t>Indigenous</w:t>
      </w:r>
      <w:r>
        <w:rPr>
          <w:spacing w:val="-19"/>
        </w:rPr>
        <w:t> </w:t>
      </w:r>
      <w:r>
        <w:rPr/>
        <w:t>men</w:t>
      </w:r>
      <w:r>
        <w:rPr>
          <w:spacing w:val="-19"/>
        </w:rPr>
        <w:t> </w:t>
      </w:r>
      <w:r>
        <w:rPr/>
        <w:t>–</w:t>
      </w:r>
      <w:r>
        <w:rPr>
          <w:spacing w:val="-19"/>
        </w:rPr>
        <w:t> </w:t>
      </w:r>
      <w:r>
        <w:rPr/>
        <w:t>and</w:t>
      </w:r>
      <w:r>
        <w:rPr>
          <w:spacing w:val="-19"/>
        </w:rPr>
        <w:t> </w:t>
      </w:r>
      <w:r>
        <w:rPr/>
        <w:t>Men’s Health</w:t>
      </w:r>
      <w:r>
        <w:rPr>
          <w:spacing w:val="-33"/>
        </w:rPr>
        <w:t> </w:t>
      </w:r>
      <w:r>
        <w:rPr/>
        <w:t>Week.</w:t>
      </w:r>
    </w:p>
    <w:p>
      <w:pPr>
        <w:pStyle w:val="BodyText"/>
        <w:rPr>
          <w:sz w:val="14"/>
        </w:rPr>
      </w:pPr>
    </w:p>
    <w:p>
      <w:pPr>
        <w:pStyle w:val="BodyText"/>
        <w:spacing w:line="249" w:lineRule="auto"/>
        <w:ind w:left="107" w:right="132"/>
      </w:pPr>
      <w:r>
        <w:rPr/>
        <w:t>The School demonstrated its strong </w:t>
      </w:r>
      <w:r>
        <w:rPr>
          <w:w w:val="99"/>
        </w:rPr>
        <w:t>commitment </w:t>
      </w:r>
      <w:r>
        <w:rPr>
          <w:spacing w:val="-1"/>
          <w:w w:val="101"/>
        </w:rPr>
        <w:t>to</w:t>
      </w:r>
      <w:r>
        <w:rPr>
          <w:w w:val="101"/>
        </w:rPr>
        <w:t> </w:t>
      </w:r>
      <w:r>
        <w:rPr>
          <w:w w:val="97"/>
        </w:rPr>
        <w:t>the </w:t>
      </w:r>
      <w:r>
        <w:rPr>
          <w:spacing w:val="1"/>
          <w:w w:val="97"/>
        </w:rPr>
        <w:t>local</w:t>
      </w:r>
      <w:r>
        <w:rPr>
          <w:w w:val="97"/>
        </w:rPr>
        <w:t> </w:t>
      </w:r>
      <w:r>
        <w:rPr>
          <w:spacing w:val="1"/>
          <w:w w:val="99"/>
        </w:rPr>
        <w:t>community</w:t>
      </w:r>
      <w:r>
        <w:rPr>
          <w:w w:val="99"/>
        </w:rPr>
        <w:t> </w:t>
      </w:r>
      <w:r>
        <w:rPr>
          <w:w w:val="95"/>
        </w:rPr>
        <w:t>in </w:t>
      </w:r>
      <w:r>
        <w:rPr>
          <w:spacing w:val="1"/>
          <w:w w:val="90"/>
        </w:rPr>
        <w:t>2016</w:t>
      </w:r>
      <w:r>
        <w:rPr>
          <w:w w:val="90"/>
        </w:rPr>
        <w:t> </w:t>
      </w:r>
      <w:r>
        <w:rPr/>
        <w:t>through</w:t>
      </w:r>
      <w:r>
        <w:rPr>
          <w:spacing w:val="-13"/>
        </w:rPr>
        <w:t> </w:t>
      </w:r>
      <w:r>
        <w:rPr/>
        <w:t>support</w:t>
      </w:r>
      <w:r>
        <w:rPr>
          <w:spacing w:val="-13"/>
        </w:rPr>
        <w:t> </w:t>
      </w:r>
      <w:r>
        <w:rPr/>
        <w:t>for</w:t>
      </w:r>
      <w:r>
        <w:rPr>
          <w:spacing w:val="-13"/>
        </w:rPr>
        <w:t> </w:t>
      </w:r>
      <w:r>
        <w:rPr/>
        <w:t>activities</w:t>
      </w:r>
      <w:r>
        <w:rPr>
          <w:spacing w:val="-13"/>
        </w:rPr>
        <w:t> </w:t>
      </w:r>
      <w:r>
        <w:rPr/>
        <w:t>such</w:t>
      </w:r>
      <w:r>
        <w:rPr>
          <w:spacing w:val="-13"/>
        </w:rPr>
        <w:t> </w:t>
      </w:r>
      <w:r>
        <w:rPr/>
        <w:t>as</w:t>
      </w:r>
      <w:r>
        <w:rPr>
          <w:spacing w:val="-13"/>
        </w:rPr>
        <w:t> </w:t>
      </w:r>
      <w:r>
        <w:rPr/>
        <w:t>Beyond the Classroom, a forum aimed at broadening students’ perceptions of careers in the fields of</w:t>
      </w:r>
      <w:r>
        <w:rPr>
          <w:spacing w:val="-20"/>
        </w:rPr>
        <w:t> </w:t>
      </w:r>
      <w:r>
        <w:rPr/>
        <w:t>agriculture,</w:t>
      </w:r>
      <w:r>
        <w:rPr>
          <w:spacing w:val="-20"/>
        </w:rPr>
        <w:t> </w:t>
      </w:r>
      <w:r>
        <w:rPr/>
        <w:t>food</w:t>
      </w:r>
      <w:r>
        <w:rPr>
          <w:spacing w:val="-20"/>
        </w:rPr>
        <w:t> </w:t>
      </w:r>
      <w:r>
        <w:rPr/>
        <w:t>and</w:t>
      </w:r>
      <w:r>
        <w:rPr>
          <w:spacing w:val="-20"/>
        </w:rPr>
        <w:t> </w:t>
      </w:r>
      <w:r>
        <w:rPr/>
        <w:t>the</w:t>
      </w:r>
      <w:r>
        <w:rPr>
          <w:spacing w:val="-20"/>
        </w:rPr>
        <w:t> </w:t>
      </w:r>
      <w:r>
        <w:rPr/>
        <w:t>environment.</w:t>
      </w:r>
      <w:r>
        <w:rPr>
          <w:spacing w:val="-20"/>
        </w:rPr>
        <w:t> </w:t>
      </w:r>
      <w:r>
        <w:rPr/>
        <w:t>The School also supported UniSteers – a steer- raising challenge for high school students from across Sydney – as well as the Western Sydney Pathways to Dreaming and the Heartbeat:</w:t>
      </w:r>
      <w:r>
        <w:rPr>
          <w:spacing w:val="-21"/>
        </w:rPr>
        <w:t> </w:t>
      </w:r>
      <w:r>
        <w:rPr/>
        <w:t>Signals</w:t>
      </w:r>
      <w:r>
        <w:rPr>
          <w:spacing w:val="-21"/>
        </w:rPr>
        <w:t> </w:t>
      </w:r>
      <w:r>
        <w:rPr/>
        <w:t>and</w:t>
      </w:r>
      <w:r>
        <w:rPr>
          <w:spacing w:val="-21"/>
        </w:rPr>
        <w:t> </w:t>
      </w:r>
      <w:r>
        <w:rPr/>
        <w:t>Signs</w:t>
      </w:r>
      <w:r>
        <w:rPr>
          <w:spacing w:val="-21"/>
        </w:rPr>
        <w:t> </w:t>
      </w:r>
      <w:r>
        <w:rPr/>
        <w:t>programs,</w:t>
      </w:r>
      <w:r>
        <w:rPr>
          <w:spacing w:val="-21"/>
        </w:rPr>
        <w:t> </w:t>
      </w:r>
      <w:r>
        <w:rPr/>
        <w:t>which support</w:t>
      </w:r>
      <w:r>
        <w:rPr>
          <w:spacing w:val="-17"/>
        </w:rPr>
        <w:t> </w:t>
      </w:r>
      <w:r>
        <w:rPr/>
        <w:t>Indigenous</w:t>
      </w:r>
      <w:r>
        <w:rPr>
          <w:spacing w:val="-17"/>
        </w:rPr>
        <w:t> </w:t>
      </w:r>
      <w:r>
        <w:rPr/>
        <w:t>students.</w:t>
      </w:r>
      <w:r>
        <w:rPr>
          <w:spacing w:val="-17"/>
        </w:rPr>
        <w:t> </w:t>
      </w:r>
      <w:r>
        <w:rPr/>
        <w:t>With</w:t>
      </w:r>
      <w:r>
        <w:rPr>
          <w:spacing w:val="-17"/>
        </w:rPr>
        <w:t> </w:t>
      </w:r>
      <w:r>
        <w:rPr/>
        <w:t>a</w:t>
      </w:r>
      <w:r>
        <w:rPr>
          <w:spacing w:val="-17"/>
        </w:rPr>
        <w:t> </w:t>
      </w:r>
      <w:r>
        <w:rPr/>
        <w:t>focus</w:t>
      </w:r>
    </w:p>
    <w:p>
      <w:pPr>
        <w:pStyle w:val="BodyText"/>
        <w:spacing w:line="249" w:lineRule="auto"/>
        <w:ind w:left="107" w:right="197"/>
      </w:pPr>
      <w:r>
        <w:rPr/>
        <w:t>on</w:t>
      </w:r>
      <w:r>
        <w:rPr>
          <w:spacing w:val="-21"/>
        </w:rPr>
        <w:t> </w:t>
      </w:r>
      <w:r>
        <w:rPr/>
        <w:t>promoting</w:t>
      </w:r>
      <w:r>
        <w:rPr>
          <w:spacing w:val="-21"/>
        </w:rPr>
        <w:t> </w:t>
      </w:r>
      <w:r>
        <w:rPr>
          <w:spacing w:val="2"/>
        </w:rPr>
        <w:t>STEMM</w:t>
      </w:r>
      <w:r>
        <w:rPr>
          <w:spacing w:val="-21"/>
        </w:rPr>
        <w:t> </w:t>
      </w:r>
      <w:r>
        <w:rPr/>
        <w:t>(science,</w:t>
      </w:r>
      <w:r>
        <w:rPr>
          <w:spacing w:val="-21"/>
        </w:rPr>
        <w:t> </w:t>
      </w:r>
      <w:r>
        <w:rPr/>
        <w:t>technology, engineering, mathematics and medicine) studies,</w:t>
      </w:r>
      <w:r>
        <w:rPr>
          <w:spacing w:val="-17"/>
        </w:rPr>
        <w:t> </w:t>
      </w:r>
      <w:r>
        <w:rPr/>
        <w:t>the</w:t>
      </w:r>
      <w:r>
        <w:rPr>
          <w:spacing w:val="-17"/>
        </w:rPr>
        <w:t> </w:t>
      </w:r>
      <w:r>
        <w:rPr/>
        <w:t>School</w:t>
      </w:r>
      <w:r>
        <w:rPr>
          <w:spacing w:val="-17"/>
        </w:rPr>
        <w:t> </w:t>
      </w:r>
      <w:r>
        <w:rPr/>
        <w:t>ran</w:t>
      </w:r>
      <w:r>
        <w:rPr>
          <w:spacing w:val="-17"/>
        </w:rPr>
        <w:t> </w:t>
      </w:r>
      <w:r>
        <w:rPr/>
        <w:t>the</w:t>
      </w:r>
      <w:r>
        <w:rPr>
          <w:spacing w:val="-17"/>
        </w:rPr>
        <w:t> </w:t>
      </w:r>
      <w:r>
        <w:rPr/>
        <w:t>highly</w:t>
      </w:r>
      <w:r>
        <w:rPr>
          <w:spacing w:val="-17"/>
        </w:rPr>
        <w:t> </w:t>
      </w:r>
      <w:r>
        <w:rPr/>
        <w:t>successful NSW Schools Titration Competition jointly with</w:t>
      </w:r>
      <w:r>
        <w:rPr>
          <w:spacing w:val="-22"/>
        </w:rPr>
        <w:t> </w:t>
      </w:r>
      <w:r>
        <w:rPr/>
        <w:t>the</w:t>
      </w:r>
      <w:r>
        <w:rPr>
          <w:spacing w:val="-22"/>
        </w:rPr>
        <w:t> </w:t>
      </w:r>
      <w:r>
        <w:rPr/>
        <w:t>Royal</w:t>
      </w:r>
      <w:r>
        <w:rPr>
          <w:spacing w:val="-22"/>
        </w:rPr>
        <w:t> </w:t>
      </w:r>
      <w:r>
        <w:rPr/>
        <w:t>Australian</w:t>
      </w:r>
      <w:r>
        <w:rPr>
          <w:spacing w:val="-22"/>
        </w:rPr>
        <w:t> </w:t>
      </w:r>
      <w:r>
        <w:rPr/>
        <w:t>Chemical</w:t>
      </w:r>
      <w:r>
        <w:rPr>
          <w:spacing w:val="-22"/>
        </w:rPr>
        <w:t> </w:t>
      </w:r>
      <w:r>
        <w:rPr/>
        <w:t>Institute, for Higher School Certificate chemistry students.</w:t>
      </w:r>
    </w:p>
    <w:p>
      <w:pPr>
        <w:pStyle w:val="BodyText"/>
        <w:spacing w:before="3"/>
        <w:rPr>
          <w:sz w:val="19"/>
        </w:rPr>
      </w:pPr>
    </w:p>
    <w:p>
      <w:pPr>
        <w:pStyle w:val="Heading7"/>
        <w:ind w:right="460"/>
      </w:pPr>
      <w:r>
        <w:rPr/>
        <w:t>INTERNATIONAL</w:t>
      </w:r>
    </w:p>
    <w:p>
      <w:pPr>
        <w:pStyle w:val="BodyText"/>
        <w:spacing w:line="249" w:lineRule="auto" w:before="58"/>
        <w:ind w:left="107" w:right="334"/>
      </w:pPr>
      <w:r>
        <w:rPr/>
        <w:t>The School continues to explore and strengthen key international relationships. To facilitate this, the Vice-Chancellor appointed Dr Zhonghua Chen and Dr Xiaoshu Zhu to the position of Associate Dean – International (China, Hong</w:t>
      </w:r>
    </w:p>
    <w:p>
      <w:pPr>
        <w:pStyle w:val="BodyText"/>
        <w:spacing w:line="192" w:lineRule="exact"/>
        <w:ind w:left="107" w:right="460"/>
      </w:pPr>
      <w:r>
        <w:rPr>
          <w:spacing w:val="-2"/>
          <w:w w:val="103"/>
        </w:rPr>
        <w:t>K</w:t>
      </w:r>
      <w:r>
        <w:rPr>
          <w:spacing w:val="2"/>
          <w:w w:val="100"/>
        </w:rPr>
        <w:t>o</w:t>
      </w:r>
      <w:r>
        <w:rPr>
          <w:spacing w:val="2"/>
          <w:w w:val="95"/>
        </w:rPr>
        <w:t>n</w:t>
      </w:r>
      <w:r>
        <w:rPr>
          <w:spacing w:val="3"/>
          <w:w w:val="102"/>
        </w:rPr>
        <w:t>g</w:t>
      </w:r>
      <w:r>
        <w:rPr>
          <w:w w:val="68"/>
        </w:rPr>
        <w:t>,</w:t>
      </w:r>
      <w:r>
        <w:rPr>
          <w:spacing w:val="-12"/>
        </w:rPr>
        <w:t> </w:t>
      </w:r>
      <w:r>
        <w:rPr>
          <w:spacing w:val="3"/>
          <w:w w:val="97"/>
        </w:rPr>
        <w:t>M</w:t>
      </w:r>
      <w:r>
        <w:rPr>
          <w:spacing w:val="2"/>
          <w:w w:val="94"/>
        </w:rPr>
        <w:t>a</w:t>
      </w:r>
      <w:r>
        <w:rPr>
          <w:spacing w:val="3"/>
          <w:w w:val="102"/>
        </w:rPr>
        <w:t>c</w:t>
      </w:r>
      <w:r>
        <w:rPr>
          <w:spacing w:val="2"/>
          <w:w w:val="94"/>
        </w:rPr>
        <w:t>a</w:t>
      </w:r>
      <w:r>
        <w:rPr>
          <w:w w:val="95"/>
        </w:rPr>
        <w:t>u</w:t>
      </w:r>
      <w:r>
        <w:rPr>
          <w:spacing w:val="-12"/>
        </w:rPr>
        <w:t> </w:t>
      </w:r>
      <w:r>
        <w:rPr>
          <w:spacing w:val="2"/>
          <w:w w:val="94"/>
        </w:rPr>
        <w:t>a</w:t>
      </w:r>
      <w:r>
        <w:rPr>
          <w:spacing w:val="2"/>
          <w:w w:val="95"/>
        </w:rPr>
        <w:t>n</w:t>
      </w:r>
      <w:r>
        <w:rPr>
          <w:w w:val="102"/>
        </w:rPr>
        <w:t>d</w:t>
      </w:r>
      <w:r>
        <w:rPr>
          <w:spacing w:val="-12"/>
        </w:rPr>
        <w:t> </w:t>
      </w:r>
      <w:r>
        <w:rPr>
          <w:spacing w:val="-10"/>
          <w:w w:val="92"/>
        </w:rPr>
        <w:t>T</w:t>
      </w:r>
      <w:r>
        <w:rPr>
          <w:spacing w:val="1"/>
          <w:w w:val="94"/>
        </w:rPr>
        <w:t>a</w:t>
      </w:r>
      <w:r>
        <w:rPr>
          <w:w w:val="95"/>
        </w:rPr>
        <w:t>i</w:t>
      </w:r>
      <w:r>
        <w:rPr>
          <w:w w:val="101"/>
        </w:rPr>
        <w:t>w</w:t>
      </w:r>
      <w:r>
        <w:rPr>
          <w:spacing w:val="2"/>
          <w:w w:val="94"/>
        </w:rPr>
        <w:t>a</w:t>
      </w:r>
      <w:r>
        <w:rPr>
          <w:spacing w:val="-6"/>
          <w:w w:val="95"/>
        </w:rPr>
        <w:t>n</w:t>
      </w:r>
      <w:r>
        <w:rPr>
          <w:w w:val="96"/>
        </w:rPr>
        <w:t>)</w:t>
      </w:r>
      <w:r>
        <w:rPr>
          <w:spacing w:val="-12"/>
        </w:rPr>
        <w:t> </w:t>
      </w:r>
      <w:r>
        <w:rPr>
          <w:spacing w:val="3"/>
          <w:w w:val="98"/>
        </w:rPr>
        <w:t>f</w:t>
      </w:r>
      <w:r>
        <w:rPr>
          <w:spacing w:val="-1"/>
          <w:w w:val="95"/>
        </w:rPr>
        <w:t>r</w:t>
      </w:r>
      <w:r>
        <w:rPr>
          <w:spacing w:val="2"/>
          <w:w w:val="100"/>
        </w:rPr>
        <w:t>o</w:t>
      </w:r>
      <w:r>
        <w:rPr>
          <w:w w:val="98"/>
        </w:rPr>
        <w:t>m</w:t>
      </w:r>
      <w:r>
        <w:rPr>
          <w:spacing w:val="-12"/>
        </w:rPr>
        <w:t> </w:t>
      </w:r>
      <w:r>
        <w:rPr>
          <w:spacing w:val="2"/>
          <w:w w:val="93"/>
        </w:rPr>
        <w:t>2</w:t>
      </w:r>
      <w:r>
        <w:rPr>
          <w:spacing w:val="1"/>
          <w:w w:val="111"/>
        </w:rPr>
        <w:t>0</w:t>
      </w:r>
      <w:r>
        <w:rPr>
          <w:w w:val="54"/>
        </w:rPr>
        <w:t>1</w:t>
      </w:r>
      <w:r>
        <w:rPr>
          <w:spacing w:val="-10"/>
          <w:w w:val="91"/>
        </w:rPr>
        <w:t>7</w:t>
      </w:r>
      <w:r>
        <w:rPr>
          <w:w w:val="68"/>
        </w:rPr>
        <w:t>.</w:t>
      </w:r>
    </w:p>
    <w:p>
      <w:pPr>
        <w:pStyle w:val="BodyText"/>
        <w:spacing w:before="7"/>
        <w:rPr>
          <w:sz w:val="14"/>
        </w:rPr>
      </w:pPr>
    </w:p>
    <w:p>
      <w:pPr>
        <w:pStyle w:val="BodyText"/>
        <w:spacing w:line="249" w:lineRule="auto" w:before="1"/>
        <w:ind w:left="107" w:right="90"/>
      </w:pPr>
      <w:r>
        <w:rPr/>
        <w:t>The School has deepened relationships in China with Huazhong Agricultural University, Wuhan. The University’s Academic Senate approved an articulation arrangement allowing students from the Chinese university to undertake studies in the Bachelor of Science (Environmental Science) program.</w:t>
      </w:r>
    </w:p>
    <w:p>
      <w:pPr>
        <w:pStyle w:val="BodyText"/>
        <w:rPr>
          <w:sz w:val="14"/>
        </w:rPr>
      </w:pPr>
    </w:p>
    <w:p>
      <w:pPr>
        <w:pStyle w:val="BodyText"/>
        <w:spacing w:line="249" w:lineRule="auto"/>
        <w:ind w:left="107" w:right="180"/>
      </w:pPr>
      <w:r>
        <w:rPr/>
        <w:t>The School further expanded its relationship with Beijing University of Chinese Medicine. It signed a bilateral agreement to advance</w:t>
      </w:r>
    </w:p>
    <w:p>
      <w:pPr>
        <w:spacing w:after="0" w:line="249" w:lineRule="auto"/>
        <w:sectPr>
          <w:type w:val="continuous"/>
          <w:pgSz w:w="11910" w:h="16840"/>
          <w:pgMar w:top="1580" w:bottom="280" w:left="800" w:right="800"/>
          <w:cols w:num="3" w:equalWidth="0">
            <w:col w:w="3304" w:space="135"/>
            <w:col w:w="3319" w:space="121"/>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58"/>
      </w:pPr>
      <w:r>
        <w:rPr/>
        <w:t>collaboration on research, education and clinical services related to Chinese medicine.</w:t>
      </w:r>
    </w:p>
    <w:p>
      <w:pPr>
        <w:pStyle w:val="BodyText"/>
        <w:spacing w:before="3"/>
        <w:rPr>
          <w:sz w:val="19"/>
        </w:rPr>
      </w:pPr>
    </w:p>
    <w:p>
      <w:pPr>
        <w:pStyle w:val="Heading7"/>
        <w:ind w:right="20"/>
      </w:pPr>
      <w:r>
        <w:rPr>
          <w:w w:val="95"/>
        </w:rPr>
        <w:t>SUSTAINABILITY  AND SUCCESS</w:t>
      </w:r>
    </w:p>
    <w:p>
      <w:pPr>
        <w:pStyle w:val="BodyText"/>
        <w:spacing w:line="249" w:lineRule="auto" w:before="58"/>
        <w:ind w:left="107" w:right="297"/>
      </w:pPr>
      <w:r>
        <w:rPr/>
        <w:t>The</w:t>
      </w:r>
      <w:r>
        <w:rPr>
          <w:spacing w:val="-14"/>
        </w:rPr>
        <w:t> </w:t>
      </w:r>
      <w:r>
        <w:rPr/>
        <w:t>School</w:t>
      </w:r>
      <w:r>
        <w:rPr>
          <w:spacing w:val="-14"/>
        </w:rPr>
        <w:t> </w:t>
      </w:r>
      <w:r>
        <w:rPr/>
        <w:t>continued</w:t>
      </w:r>
      <w:r>
        <w:rPr>
          <w:spacing w:val="-14"/>
        </w:rPr>
        <w:t> </w:t>
      </w:r>
      <w:r>
        <w:rPr/>
        <w:t>to</w:t>
      </w:r>
      <w:r>
        <w:rPr>
          <w:spacing w:val="-14"/>
        </w:rPr>
        <w:t> </w:t>
      </w:r>
      <w:r>
        <w:rPr/>
        <w:t>focus</w:t>
      </w:r>
      <w:r>
        <w:rPr>
          <w:spacing w:val="-14"/>
        </w:rPr>
        <w:t> </w:t>
      </w:r>
      <w:r>
        <w:rPr/>
        <w:t>on</w:t>
      </w:r>
      <w:r>
        <w:rPr>
          <w:spacing w:val="-14"/>
        </w:rPr>
        <w:t> </w:t>
      </w:r>
      <w:r>
        <w:rPr/>
        <w:t>creating a</w:t>
      </w:r>
      <w:r>
        <w:rPr>
          <w:spacing w:val="-18"/>
        </w:rPr>
        <w:t> </w:t>
      </w:r>
      <w:r>
        <w:rPr/>
        <w:t>dynamic</w:t>
      </w:r>
      <w:r>
        <w:rPr>
          <w:spacing w:val="-18"/>
        </w:rPr>
        <w:t> </w:t>
      </w:r>
      <w:r>
        <w:rPr/>
        <w:t>and</w:t>
      </w:r>
      <w:r>
        <w:rPr>
          <w:spacing w:val="-18"/>
        </w:rPr>
        <w:t> </w:t>
      </w:r>
      <w:r>
        <w:rPr/>
        <w:t>innovative</w:t>
      </w:r>
      <w:r>
        <w:rPr>
          <w:spacing w:val="-18"/>
        </w:rPr>
        <w:t> </w:t>
      </w:r>
      <w:r>
        <w:rPr/>
        <w:t>culture</w:t>
      </w:r>
      <w:r>
        <w:rPr>
          <w:spacing w:val="-18"/>
        </w:rPr>
        <w:t> </w:t>
      </w:r>
      <w:r>
        <w:rPr/>
        <w:t>that</w:t>
      </w:r>
    </w:p>
    <w:p>
      <w:pPr>
        <w:pStyle w:val="BodyText"/>
        <w:spacing w:line="249" w:lineRule="auto"/>
        <w:ind w:left="107" w:right="20"/>
      </w:pPr>
      <w:r>
        <w:rPr>
          <w:spacing w:val="1"/>
          <w:w w:val="97"/>
        </w:rPr>
        <w:t>encourages</w:t>
      </w:r>
      <w:r>
        <w:rPr>
          <w:w w:val="97"/>
        </w:rPr>
        <w:t> </w:t>
      </w:r>
      <w:r>
        <w:rPr>
          <w:spacing w:val="1"/>
          <w:w w:val="93"/>
        </w:rPr>
        <w:t>success,</w:t>
      </w:r>
      <w:r>
        <w:rPr>
          <w:w w:val="93"/>
        </w:rPr>
        <w:t> </w:t>
      </w:r>
      <w:r>
        <w:rPr>
          <w:spacing w:val="1"/>
          <w:w w:val="97"/>
        </w:rPr>
        <w:t>and</w:t>
      </w:r>
      <w:r>
        <w:rPr>
          <w:w w:val="97"/>
        </w:rPr>
        <w:t> </w:t>
      </w:r>
      <w:r>
        <w:rPr>
          <w:w w:val="95"/>
        </w:rPr>
        <w:t>in </w:t>
      </w:r>
      <w:r>
        <w:rPr>
          <w:spacing w:val="2"/>
          <w:w w:val="85"/>
        </w:rPr>
        <w:t>2016,</w:t>
      </w:r>
      <w:r>
        <w:rPr>
          <w:w w:val="85"/>
        </w:rPr>
        <w:t> </w:t>
      </w:r>
      <w:r>
        <w:rPr>
          <w:spacing w:val="1"/>
          <w:w w:val="99"/>
        </w:rPr>
        <w:t>supported</w:t>
      </w:r>
      <w:r>
        <w:rPr>
          <w:spacing w:val="-26"/>
          <w:w w:val="99"/>
        </w:rPr>
        <w:t> </w:t>
      </w:r>
      <w:r>
        <w:rPr>
          <w:w w:val="94"/>
        </w:rPr>
        <w:t>a </w:t>
      </w:r>
      <w:r>
        <w:rPr/>
        <w:t>wide</w:t>
      </w:r>
      <w:r>
        <w:rPr>
          <w:spacing w:val="-15"/>
        </w:rPr>
        <w:t> </w:t>
      </w:r>
      <w:r>
        <w:rPr/>
        <w:t>range</w:t>
      </w:r>
      <w:r>
        <w:rPr>
          <w:spacing w:val="-15"/>
        </w:rPr>
        <w:t> </w:t>
      </w:r>
      <w:r>
        <w:rPr/>
        <w:t>of</w:t>
      </w:r>
      <w:r>
        <w:rPr>
          <w:spacing w:val="-15"/>
        </w:rPr>
        <w:t> </w:t>
      </w:r>
      <w:r>
        <w:rPr/>
        <w:t>corporate</w:t>
      </w:r>
      <w:r>
        <w:rPr>
          <w:spacing w:val="-15"/>
        </w:rPr>
        <w:t> </w:t>
      </w:r>
      <w:r>
        <w:rPr/>
        <w:t>projects.</w:t>
      </w:r>
      <w:r>
        <w:rPr>
          <w:spacing w:val="-15"/>
        </w:rPr>
        <w:t> </w:t>
      </w:r>
      <w:r>
        <w:rPr>
          <w:spacing w:val="-5"/>
        </w:rPr>
        <w:t>To</w:t>
      </w:r>
      <w:r>
        <w:rPr>
          <w:spacing w:val="-15"/>
        </w:rPr>
        <w:t> </w:t>
      </w:r>
      <w:r>
        <w:rPr/>
        <w:t>improve the administration of student placements across nine program areas, the School adopted the InPlace student placement system. The School has also contributed significantly to a new casual employment management</w:t>
      </w:r>
      <w:r>
        <w:rPr>
          <w:spacing w:val="-17"/>
        </w:rPr>
        <w:t> </w:t>
      </w:r>
      <w:r>
        <w:rPr/>
        <w:t>system,</w:t>
      </w:r>
      <w:r>
        <w:rPr>
          <w:spacing w:val="-17"/>
        </w:rPr>
        <w:t> </w:t>
      </w:r>
      <w:r>
        <w:rPr/>
        <w:t>to</w:t>
      </w:r>
      <w:r>
        <w:rPr>
          <w:spacing w:val="-17"/>
        </w:rPr>
        <w:t> </w:t>
      </w:r>
      <w:r>
        <w:rPr/>
        <w:t>be</w:t>
      </w:r>
      <w:r>
        <w:rPr>
          <w:spacing w:val="-17"/>
        </w:rPr>
        <w:t> </w:t>
      </w:r>
      <w:r>
        <w:rPr/>
        <w:t>piloted</w:t>
      </w:r>
      <w:r>
        <w:rPr>
          <w:spacing w:val="-17"/>
        </w:rPr>
        <w:t> </w:t>
      </w:r>
      <w:r>
        <w:rPr/>
        <w:t>before</w:t>
      </w:r>
      <w:r>
        <w:rPr>
          <w:spacing w:val="-17"/>
        </w:rPr>
        <w:t> </w:t>
      </w:r>
      <w:r>
        <w:rPr/>
        <w:t>full </w:t>
      </w:r>
      <w:r>
        <w:rPr>
          <w:spacing w:val="1"/>
          <w:w w:val="99"/>
        </w:rPr>
        <w:t>deployment</w:t>
      </w:r>
      <w:r>
        <w:rPr>
          <w:w w:val="99"/>
        </w:rPr>
        <w:t> </w:t>
      </w:r>
      <w:r>
        <w:rPr>
          <w:w w:val="95"/>
        </w:rPr>
        <w:t>in</w:t>
      </w:r>
      <w:r>
        <w:rPr>
          <w:spacing w:val="-12"/>
          <w:w w:val="95"/>
        </w:rPr>
        <w:t> </w:t>
      </w:r>
      <w:r>
        <w:rPr>
          <w:spacing w:val="-2"/>
          <w:w w:val="83"/>
        </w:rPr>
        <w:t>2017.</w:t>
      </w:r>
    </w:p>
    <w:p>
      <w:pPr>
        <w:pStyle w:val="BodyText"/>
        <w:rPr>
          <w:sz w:val="14"/>
        </w:rPr>
      </w:pPr>
    </w:p>
    <w:p>
      <w:pPr>
        <w:pStyle w:val="BodyText"/>
        <w:spacing w:line="249" w:lineRule="auto"/>
        <w:ind w:left="107" w:right="294"/>
      </w:pPr>
      <w:r>
        <w:rPr/>
        <w:t>Supporting staff members is key to the </w:t>
      </w:r>
      <w:r>
        <w:rPr>
          <w:spacing w:val="1"/>
          <w:w w:val="98"/>
        </w:rPr>
        <w:t>School’s</w:t>
      </w:r>
      <w:r>
        <w:rPr>
          <w:w w:val="98"/>
        </w:rPr>
        <w:t> </w:t>
      </w:r>
      <w:r>
        <w:rPr>
          <w:spacing w:val="1"/>
          <w:w w:val="93"/>
        </w:rPr>
        <w:t>success.</w:t>
      </w:r>
      <w:r>
        <w:rPr>
          <w:w w:val="93"/>
        </w:rPr>
        <w:t> </w:t>
      </w: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t>supported staff-led initiatives by hosting a</w:t>
      </w:r>
      <w:r>
        <w:rPr>
          <w:spacing w:val="-16"/>
        </w:rPr>
        <w:t> </w:t>
      </w:r>
      <w:r>
        <w:rPr/>
        <w:t>TechNet</w:t>
      </w:r>
      <w:r>
        <w:rPr>
          <w:spacing w:val="-16"/>
        </w:rPr>
        <w:t> </w:t>
      </w:r>
      <w:r>
        <w:rPr/>
        <w:t>Forum</w:t>
      </w:r>
      <w:r>
        <w:rPr>
          <w:spacing w:val="-16"/>
        </w:rPr>
        <w:t> </w:t>
      </w:r>
      <w:r>
        <w:rPr/>
        <w:t>for</w:t>
      </w:r>
      <w:r>
        <w:rPr>
          <w:spacing w:val="-16"/>
        </w:rPr>
        <w:t> </w:t>
      </w:r>
      <w:r>
        <w:rPr/>
        <w:t>technical</w:t>
      </w:r>
      <w:r>
        <w:rPr>
          <w:spacing w:val="-16"/>
        </w:rPr>
        <w:t> </w:t>
      </w:r>
      <w:r>
        <w:rPr/>
        <w:t>staff</w:t>
      </w:r>
      <w:r>
        <w:rPr>
          <w:spacing w:val="-16"/>
        </w:rPr>
        <w:t> </w:t>
      </w:r>
      <w:r>
        <w:rPr/>
        <w:t>across the University, establishing the MyVoice Working Group to implement solutions to matters</w:t>
      </w:r>
      <w:r>
        <w:rPr>
          <w:spacing w:val="-16"/>
        </w:rPr>
        <w:t> </w:t>
      </w:r>
      <w:r>
        <w:rPr/>
        <w:t>raised</w:t>
      </w:r>
      <w:r>
        <w:rPr>
          <w:spacing w:val="-16"/>
        </w:rPr>
        <w:t> </w:t>
      </w:r>
      <w:r>
        <w:rPr/>
        <w:t>in</w:t>
      </w:r>
      <w:r>
        <w:rPr>
          <w:spacing w:val="-16"/>
        </w:rPr>
        <w:t> </w:t>
      </w:r>
      <w:r>
        <w:rPr/>
        <w:t>the</w:t>
      </w:r>
      <w:r>
        <w:rPr>
          <w:spacing w:val="-16"/>
        </w:rPr>
        <w:t> </w:t>
      </w:r>
      <w:r>
        <w:rPr/>
        <w:t>most</w:t>
      </w:r>
      <w:r>
        <w:rPr>
          <w:spacing w:val="-16"/>
        </w:rPr>
        <w:t> </w:t>
      </w:r>
      <w:r>
        <w:rPr/>
        <w:t>recent</w:t>
      </w:r>
      <w:r>
        <w:rPr>
          <w:spacing w:val="-16"/>
        </w:rPr>
        <w:t> </w:t>
      </w:r>
      <w:r>
        <w:rPr/>
        <w:t>MyVoice</w:t>
      </w:r>
    </w:p>
    <w:p>
      <w:pPr>
        <w:pStyle w:val="BodyText"/>
        <w:spacing w:line="249" w:lineRule="auto"/>
        <w:ind w:left="107" w:right="63"/>
      </w:pPr>
      <w:r>
        <w:rPr/>
        <w:t>Staff Engagement Survey, and introducing an e-handbook for School staff members. Workshops run by the School’s Director of Research and Dean improved the skills and research</w:t>
      </w:r>
      <w:r>
        <w:rPr>
          <w:spacing w:val="-16"/>
        </w:rPr>
        <w:t> </w:t>
      </w:r>
      <w:r>
        <w:rPr/>
        <w:t>opportunities</w:t>
      </w:r>
      <w:r>
        <w:rPr>
          <w:spacing w:val="-16"/>
        </w:rPr>
        <w:t> </w:t>
      </w:r>
      <w:r>
        <w:rPr/>
        <w:t>of</w:t>
      </w:r>
      <w:r>
        <w:rPr>
          <w:spacing w:val="-16"/>
        </w:rPr>
        <w:t> </w:t>
      </w:r>
      <w:r>
        <w:rPr/>
        <w:t>ECRs.</w:t>
      </w:r>
      <w:r>
        <w:rPr>
          <w:spacing w:val="-16"/>
        </w:rPr>
        <w:t> </w:t>
      </w:r>
      <w:r>
        <w:rPr/>
        <w:t>The</w:t>
      </w:r>
      <w:r>
        <w:rPr>
          <w:spacing w:val="-16"/>
        </w:rPr>
        <w:t> </w:t>
      </w:r>
      <w:r>
        <w:rPr/>
        <w:t>School’s researchers</w:t>
      </w:r>
      <w:r>
        <w:rPr>
          <w:spacing w:val="-20"/>
        </w:rPr>
        <w:t> </w:t>
      </w:r>
      <w:r>
        <w:rPr/>
        <w:t>were</w:t>
      </w:r>
      <w:r>
        <w:rPr>
          <w:spacing w:val="-20"/>
        </w:rPr>
        <w:t> </w:t>
      </w:r>
      <w:r>
        <w:rPr/>
        <w:t>successful</w:t>
      </w:r>
      <w:r>
        <w:rPr>
          <w:spacing w:val="-20"/>
        </w:rPr>
        <w:t> </w:t>
      </w:r>
      <w:r>
        <w:rPr/>
        <w:t>in</w:t>
      </w:r>
      <w:r>
        <w:rPr>
          <w:spacing w:val="-20"/>
        </w:rPr>
        <w:t> </w:t>
      </w:r>
      <w:r>
        <w:rPr/>
        <w:t>gaining</w:t>
      </w:r>
      <w:r>
        <w:rPr>
          <w:spacing w:val="-20"/>
        </w:rPr>
        <w:t> </w:t>
      </w:r>
      <w:r>
        <w:rPr/>
        <w:t>grants in the Early Career Researcher Fellowship and Women’s Fellowship categories of the </w:t>
      </w:r>
      <w:r>
        <w:rPr>
          <w:w w:val="97"/>
        </w:rPr>
        <w:t>University’s </w:t>
      </w:r>
      <w:r>
        <w:rPr>
          <w:w w:val="87"/>
        </w:rPr>
        <w:t>2017 </w:t>
      </w:r>
      <w:r>
        <w:rPr>
          <w:spacing w:val="1"/>
          <w:w w:val="96"/>
        </w:rPr>
        <w:t>Researcher</w:t>
      </w:r>
      <w:r>
        <w:rPr>
          <w:w w:val="96"/>
        </w:rPr>
        <w:t> </w:t>
      </w:r>
      <w:r>
        <w:rPr>
          <w:spacing w:val="1"/>
          <w:w w:val="98"/>
        </w:rPr>
        <w:t>Development</w:t>
      </w:r>
      <w:r>
        <w:rPr>
          <w:w w:val="98"/>
        </w:rPr>
        <w:t> </w:t>
      </w:r>
      <w:r>
        <w:rPr/>
        <w:t>Awards. At the inaugural School Staff Excellence Awards in August, the School presented team and individual awards for outstanding contributions in teaching, research, professional service, community engagement, inspirational leadership and positive work culture, and change and continuous</w:t>
      </w:r>
      <w:r>
        <w:rPr>
          <w:spacing w:val="-35"/>
        </w:rPr>
        <w:t> </w:t>
      </w:r>
      <w:r>
        <w:rPr/>
        <w:t>improvement.</w:t>
      </w:r>
    </w:p>
    <w:p>
      <w:pPr>
        <w:pStyle w:val="BodyText"/>
      </w:pPr>
    </w:p>
    <w:p>
      <w:pPr>
        <w:pStyle w:val="BodyText"/>
        <w:spacing w:before="1"/>
        <w:rPr>
          <w:sz w:val="13"/>
        </w:rPr>
      </w:pPr>
    </w:p>
    <w:p>
      <w:pPr>
        <w:pStyle w:val="Heading5"/>
        <w:spacing w:line="260" w:lineRule="exact"/>
        <w:ind w:right="-7"/>
      </w:pPr>
      <w:bookmarkStart w:name="_TOC_250035" w:id="19"/>
      <w:r>
        <w:rPr>
          <w:spacing w:val="-3"/>
          <w:w w:val="95"/>
        </w:rPr>
        <w:t>SCHOOL </w:t>
      </w:r>
      <w:r>
        <w:rPr>
          <w:w w:val="95"/>
        </w:rPr>
        <w:t>OF </w:t>
      </w:r>
      <w:r>
        <w:rPr>
          <w:spacing w:val="-3"/>
          <w:w w:val="95"/>
        </w:rPr>
        <w:t>SOCIAL</w:t>
      </w:r>
      <w:r>
        <w:rPr>
          <w:spacing w:val="-17"/>
          <w:w w:val="95"/>
        </w:rPr>
        <w:t> </w:t>
      </w:r>
      <w:r>
        <w:rPr>
          <w:w w:val="95"/>
        </w:rPr>
        <w:t>SCIENCES AND</w:t>
      </w:r>
      <w:r>
        <w:rPr>
          <w:spacing w:val="9"/>
          <w:w w:val="95"/>
        </w:rPr>
        <w:t> </w:t>
      </w:r>
      <w:bookmarkEnd w:id="19"/>
      <w:r>
        <w:rPr>
          <w:spacing w:val="-4"/>
          <w:w w:val="95"/>
        </w:rPr>
        <w:t>PSYCHOLOGY</w:t>
      </w:r>
    </w:p>
    <w:p>
      <w:pPr>
        <w:pStyle w:val="BodyText"/>
        <w:spacing w:line="249" w:lineRule="auto" w:before="101"/>
        <w:ind w:left="107" w:right="20"/>
      </w:pPr>
      <w:r>
        <w:rPr/>
        <w:t>The</w:t>
      </w:r>
      <w:r>
        <w:rPr>
          <w:spacing w:val="-11"/>
        </w:rPr>
        <w:t> </w:t>
      </w:r>
      <w:r>
        <w:rPr/>
        <w:t>School</w:t>
      </w:r>
      <w:r>
        <w:rPr>
          <w:spacing w:val="-11"/>
        </w:rPr>
        <w:t> </w:t>
      </w:r>
      <w:r>
        <w:rPr/>
        <w:t>of</w:t>
      </w:r>
      <w:r>
        <w:rPr>
          <w:spacing w:val="-11"/>
        </w:rPr>
        <w:t> </w:t>
      </w:r>
      <w:r>
        <w:rPr/>
        <w:t>Social</w:t>
      </w:r>
      <w:r>
        <w:rPr>
          <w:spacing w:val="-11"/>
        </w:rPr>
        <w:t> </w:t>
      </w:r>
      <w:r>
        <w:rPr/>
        <w:t>Sciences</w:t>
      </w:r>
      <w:r>
        <w:rPr>
          <w:spacing w:val="-11"/>
        </w:rPr>
        <w:t> </w:t>
      </w:r>
      <w:r>
        <w:rPr/>
        <w:t>and</w:t>
      </w:r>
      <w:r>
        <w:rPr>
          <w:spacing w:val="-11"/>
        </w:rPr>
        <w:t> </w:t>
      </w:r>
      <w:r>
        <w:rPr/>
        <w:t>Psychology (SSAP) remains committed to integrating teaching, research and practice for the betterment of society and the enhancement of</w:t>
      </w:r>
      <w:r>
        <w:rPr>
          <w:spacing w:val="-21"/>
        </w:rPr>
        <w:t> </w:t>
      </w:r>
      <w:r>
        <w:rPr/>
        <w:t>human</w:t>
      </w:r>
      <w:r>
        <w:rPr>
          <w:spacing w:val="-21"/>
        </w:rPr>
        <w:t> </w:t>
      </w:r>
      <w:r>
        <w:rPr/>
        <w:t>performance</w:t>
      </w:r>
      <w:r>
        <w:rPr>
          <w:spacing w:val="-21"/>
        </w:rPr>
        <w:t> </w:t>
      </w:r>
      <w:r>
        <w:rPr/>
        <w:t>and</w:t>
      </w:r>
      <w:r>
        <w:rPr>
          <w:spacing w:val="-21"/>
        </w:rPr>
        <w:t> </w:t>
      </w:r>
      <w:r>
        <w:rPr/>
        <w:t>life</w:t>
      </w:r>
      <w:r>
        <w:rPr>
          <w:spacing w:val="-21"/>
        </w:rPr>
        <w:t> </w:t>
      </w:r>
      <w:r>
        <w:rPr/>
        <w:t>satisfaction.</w:t>
      </w:r>
      <w:r>
        <w:rPr>
          <w:spacing w:val="-21"/>
        </w:rPr>
        <w:t> </w:t>
      </w:r>
      <w:r>
        <w:rPr/>
        <w:t>In </w:t>
      </w:r>
      <w:r>
        <w:rPr>
          <w:spacing w:val="2"/>
          <w:w w:val="85"/>
        </w:rPr>
        <w:t>2016,</w:t>
      </w:r>
      <w:r>
        <w:rPr>
          <w:w w:val="85"/>
        </w:rPr>
        <w:t> </w:t>
      </w:r>
      <w:r>
        <w:rPr>
          <w:spacing w:val="1"/>
          <w:w w:val="103"/>
        </w:rPr>
        <w:t>SSAP</w:t>
      </w:r>
      <w:r>
        <w:rPr>
          <w:w w:val="103"/>
        </w:rPr>
        <w:t> </w:t>
      </w:r>
      <w:r>
        <w:rPr>
          <w:spacing w:val="1"/>
          <w:w w:val="98"/>
        </w:rPr>
        <w:t>continued</w:t>
      </w:r>
      <w:r>
        <w:rPr>
          <w:w w:val="98"/>
        </w:rPr>
        <w:t> </w:t>
      </w:r>
      <w:r>
        <w:rPr>
          <w:spacing w:val="-1"/>
          <w:w w:val="101"/>
        </w:rPr>
        <w:t>to</w:t>
      </w:r>
      <w:r>
        <w:rPr>
          <w:w w:val="101"/>
        </w:rPr>
        <w:t> </w:t>
      </w:r>
      <w:r>
        <w:rPr>
          <w:w w:val="98"/>
        </w:rPr>
        <w:t>improve </w:t>
      </w:r>
      <w:r>
        <w:rPr>
          <w:spacing w:val="1"/>
          <w:w w:val="97"/>
        </w:rPr>
        <w:t>its</w:t>
      </w:r>
      <w:r>
        <w:rPr>
          <w:w w:val="97"/>
        </w:rPr>
        <w:t> </w:t>
      </w:r>
      <w:r>
        <w:rPr>
          <w:spacing w:val="1"/>
          <w:w w:val="97"/>
        </w:rPr>
        <w:t>courses</w:t>
      </w:r>
      <w:r>
        <w:rPr>
          <w:w w:val="97"/>
        </w:rPr>
        <w:t> </w:t>
      </w:r>
      <w:r>
        <w:rPr/>
        <w:t>and units, and developed new industry- relevant undergraduate and postgraduate programs.</w:t>
      </w:r>
      <w:r>
        <w:rPr>
          <w:spacing w:val="-23"/>
        </w:rPr>
        <w:t> </w:t>
      </w:r>
      <w:r>
        <w:rPr/>
        <w:t>The</w:t>
      </w:r>
      <w:r>
        <w:rPr>
          <w:spacing w:val="-23"/>
        </w:rPr>
        <w:t> </w:t>
      </w:r>
      <w:r>
        <w:rPr/>
        <w:t>revisions</w:t>
      </w:r>
      <w:r>
        <w:rPr>
          <w:spacing w:val="-23"/>
        </w:rPr>
        <w:t> </w:t>
      </w:r>
      <w:r>
        <w:rPr/>
        <w:t>ensure</w:t>
      </w:r>
      <w:r>
        <w:rPr>
          <w:spacing w:val="-23"/>
        </w:rPr>
        <w:t> </w:t>
      </w:r>
      <w:r>
        <w:rPr/>
        <w:t>the</w:t>
      </w:r>
      <w:r>
        <w:rPr>
          <w:spacing w:val="-23"/>
        </w:rPr>
        <w:t> </w:t>
      </w:r>
      <w:r>
        <w:rPr/>
        <w:t>degrees</w:t>
      </w:r>
    </w:p>
    <w:p>
      <w:pPr>
        <w:pStyle w:val="BodyText"/>
        <w:spacing w:before="1"/>
        <w:rPr>
          <w:sz w:val="20"/>
        </w:rPr>
      </w:pPr>
      <w:r>
        <w:rPr/>
        <w:br w:type="column"/>
      </w:r>
      <w:r>
        <w:rPr>
          <w:sz w:val="20"/>
        </w:rPr>
      </w:r>
    </w:p>
    <w:p>
      <w:pPr>
        <w:pStyle w:val="BodyText"/>
        <w:spacing w:line="249" w:lineRule="auto"/>
        <w:ind w:left="107" w:right="281"/>
      </w:pPr>
      <w:r>
        <w:rPr/>
        <w:t>give students the applied skills they need to succeed in the fast-paced, constantly</w:t>
      </w:r>
    </w:p>
    <w:p>
      <w:pPr>
        <w:pStyle w:val="BodyText"/>
        <w:spacing w:line="249" w:lineRule="auto"/>
        <w:ind w:left="107" w:right="43"/>
      </w:pPr>
      <w:r>
        <w:rPr/>
        <w:t>changing</w:t>
      </w:r>
      <w:r>
        <w:rPr>
          <w:spacing w:val="-21"/>
        </w:rPr>
        <w:t> </w:t>
      </w:r>
      <w:r>
        <w:rPr/>
        <w:t>employment</w:t>
      </w:r>
      <w:r>
        <w:rPr>
          <w:spacing w:val="-21"/>
        </w:rPr>
        <w:t> </w:t>
      </w:r>
      <w:r>
        <w:rPr/>
        <w:t>market,</w:t>
      </w:r>
      <w:r>
        <w:rPr>
          <w:spacing w:val="-21"/>
        </w:rPr>
        <w:t> </w:t>
      </w:r>
      <w:r>
        <w:rPr/>
        <w:t>reinforcing</w:t>
      </w:r>
      <w:r>
        <w:rPr>
          <w:spacing w:val="-21"/>
        </w:rPr>
        <w:t> </w:t>
      </w:r>
      <w:r>
        <w:rPr/>
        <w:t>the School’s reputation as a strong leader in the education sector for the social science and psychology</w:t>
      </w:r>
      <w:r>
        <w:rPr>
          <w:spacing w:val="-12"/>
        </w:rPr>
        <w:t> </w:t>
      </w:r>
      <w:r>
        <w:rPr/>
        <w:t>disciplines.</w:t>
      </w:r>
    </w:p>
    <w:p>
      <w:pPr>
        <w:pStyle w:val="BodyText"/>
        <w:rPr>
          <w:sz w:val="14"/>
        </w:rPr>
      </w:pPr>
    </w:p>
    <w:p>
      <w:pPr>
        <w:pStyle w:val="BodyText"/>
        <w:spacing w:line="249" w:lineRule="auto"/>
        <w:ind w:left="107" w:right="89"/>
      </w:pPr>
      <w:r>
        <w:rPr/>
        <w:t>In addition to developing programs, the SSAP maintained its active research culture,</w:t>
      </w:r>
    </w:p>
    <w:p>
      <w:pPr>
        <w:pStyle w:val="BodyText"/>
        <w:spacing w:line="249" w:lineRule="auto"/>
        <w:ind w:left="107" w:right="-9"/>
      </w:pPr>
      <w:r>
        <w:rPr/>
        <w:t>pushing</w:t>
      </w:r>
      <w:r>
        <w:rPr>
          <w:spacing w:val="-15"/>
        </w:rPr>
        <w:t> </w:t>
      </w:r>
      <w:r>
        <w:rPr/>
        <w:t>the</w:t>
      </w:r>
      <w:r>
        <w:rPr>
          <w:spacing w:val="-15"/>
        </w:rPr>
        <w:t> </w:t>
      </w:r>
      <w:r>
        <w:rPr/>
        <w:t>theoretical</w:t>
      </w:r>
      <w:r>
        <w:rPr>
          <w:spacing w:val="-15"/>
        </w:rPr>
        <w:t> </w:t>
      </w:r>
      <w:r>
        <w:rPr/>
        <w:t>frontiers</w:t>
      </w:r>
      <w:r>
        <w:rPr>
          <w:spacing w:val="-15"/>
        </w:rPr>
        <w:t> </w:t>
      </w:r>
      <w:r>
        <w:rPr/>
        <w:t>of</w:t>
      </w:r>
      <w:r>
        <w:rPr>
          <w:spacing w:val="-15"/>
        </w:rPr>
        <w:t> </w:t>
      </w:r>
      <w:r>
        <w:rPr/>
        <w:t>knowledge as well as applying research to produce real world </w:t>
      </w:r>
      <w:r>
        <w:rPr>
          <w:spacing w:val="2"/>
        </w:rPr>
        <w:t>impacts. </w:t>
      </w:r>
      <w:r>
        <w:rPr/>
        <w:t>Research grants and business development</w:t>
      </w:r>
      <w:r>
        <w:rPr>
          <w:spacing w:val="-15"/>
        </w:rPr>
        <w:t> </w:t>
      </w:r>
      <w:r>
        <w:rPr/>
        <w:t>continue</w:t>
      </w:r>
      <w:r>
        <w:rPr>
          <w:spacing w:val="-15"/>
        </w:rPr>
        <w:t> </w:t>
      </w:r>
      <w:r>
        <w:rPr/>
        <w:t>to</w:t>
      </w:r>
      <w:r>
        <w:rPr>
          <w:spacing w:val="-15"/>
        </w:rPr>
        <w:t> </w:t>
      </w:r>
      <w:r>
        <w:rPr/>
        <w:t>be</w:t>
      </w:r>
      <w:r>
        <w:rPr>
          <w:spacing w:val="-15"/>
        </w:rPr>
        <w:t> </w:t>
      </w:r>
      <w:r>
        <w:rPr/>
        <w:t>a</w:t>
      </w:r>
      <w:r>
        <w:rPr>
          <w:spacing w:val="-15"/>
        </w:rPr>
        <w:t> </w:t>
      </w:r>
      <w:r>
        <w:rPr/>
        <w:t>key</w:t>
      </w:r>
      <w:r>
        <w:rPr>
          <w:spacing w:val="-15"/>
        </w:rPr>
        <w:t> </w:t>
      </w:r>
      <w:r>
        <w:rPr/>
        <w:t>focus</w:t>
      </w:r>
      <w:r>
        <w:rPr>
          <w:spacing w:val="-15"/>
        </w:rPr>
        <w:t> </w:t>
      </w:r>
      <w:r>
        <w:rPr/>
        <w:t>of</w:t>
      </w:r>
      <w:r>
        <w:rPr>
          <w:spacing w:val="-15"/>
        </w:rPr>
        <w:t> </w:t>
      </w:r>
      <w:r>
        <w:rPr/>
        <w:t>the School’s activities, ensuring a more engaged and</w:t>
      </w:r>
      <w:r>
        <w:rPr>
          <w:spacing w:val="-14"/>
        </w:rPr>
        <w:t> </w:t>
      </w:r>
      <w:r>
        <w:rPr/>
        <w:t>outward-looking</w:t>
      </w:r>
      <w:r>
        <w:rPr>
          <w:spacing w:val="-14"/>
        </w:rPr>
        <w:t> </w:t>
      </w:r>
      <w:r>
        <w:rPr/>
        <w:t>approach,</w:t>
      </w:r>
      <w:r>
        <w:rPr>
          <w:spacing w:val="-14"/>
        </w:rPr>
        <w:t> </w:t>
      </w:r>
      <w:r>
        <w:rPr/>
        <w:t>and</w:t>
      </w:r>
      <w:r>
        <w:rPr>
          <w:spacing w:val="-14"/>
        </w:rPr>
        <w:t> </w:t>
      </w:r>
      <w:r>
        <w:rPr/>
        <w:t>delivering local and international funding opportunities and industry-based</w:t>
      </w:r>
      <w:r>
        <w:rPr>
          <w:spacing w:val="-37"/>
        </w:rPr>
        <w:t> </w:t>
      </w:r>
      <w:r>
        <w:rPr/>
        <w:t>scholarships.</w:t>
      </w:r>
    </w:p>
    <w:p>
      <w:pPr>
        <w:pStyle w:val="BodyText"/>
        <w:rPr>
          <w:sz w:val="14"/>
        </w:rPr>
      </w:pPr>
    </w:p>
    <w:p>
      <w:pPr>
        <w:pStyle w:val="BodyText"/>
        <w:spacing w:line="249" w:lineRule="auto"/>
        <w:ind w:left="107" w:right="206"/>
      </w:pPr>
      <w:r>
        <w:rPr/>
        <w:t>The</w:t>
      </w:r>
      <w:r>
        <w:rPr>
          <w:spacing w:val="-15"/>
        </w:rPr>
        <w:t> </w:t>
      </w:r>
      <w:r>
        <w:rPr/>
        <w:t>SSAP</w:t>
      </w:r>
      <w:r>
        <w:rPr>
          <w:spacing w:val="-15"/>
        </w:rPr>
        <w:t> </w:t>
      </w:r>
      <w:r>
        <w:rPr/>
        <w:t>undertook</w:t>
      </w:r>
      <w:r>
        <w:rPr>
          <w:spacing w:val="-15"/>
        </w:rPr>
        <w:t> </w:t>
      </w:r>
      <w:r>
        <w:rPr/>
        <w:t>an</w:t>
      </w:r>
      <w:r>
        <w:rPr>
          <w:spacing w:val="-15"/>
        </w:rPr>
        <w:t> </w:t>
      </w:r>
      <w:r>
        <w:rPr/>
        <w:t>external</w:t>
      </w:r>
      <w:r>
        <w:rPr>
          <w:spacing w:val="-15"/>
        </w:rPr>
        <w:t> </w:t>
      </w:r>
      <w:r>
        <w:rPr/>
        <w:t>review</w:t>
      </w:r>
      <w:r>
        <w:rPr>
          <w:spacing w:val="-15"/>
        </w:rPr>
        <w:t> </w:t>
      </w:r>
      <w:r>
        <w:rPr/>
        <w:t>in </w:t>
      </w:r>
      <w:r>
        <w:rPr>
          <w:spacing w:val="1"/>
          <w:w w:val="100"/>
        </w:rPr>
        <w:t>October</w:t>
      </w:r>
      <w:r>
        <w:rPr>
          <w:w w:val="100"/>
        </w:rPr>
        <w:t> </w:t>
      </w:r>
      <w:r>
        <w:rPr>
          <w:spacing w:val="2"/>
          <w:w w:val="85"/>
        </w:rPr>
        <w:t>2016,</w:t>
      </w:r>
      <w:r>
        <w:rPr>
          <w:w w:val="85"/>
        </w:rPr>
        <w:t> </w:t>
      </w:r>
      <w:r>
        <w:rPr>
          <w:spacing w:val="1"/>
          <w:w w:val="97"/>
        </w:rPr>
        <w:t>and</w:t>
      </w:r>
      <w:r>
        <w:rPr>
          <w:w w:val="97"/>
        </w:rPr>
        <w:t> </w:t>
      </w:r>
      <w:r>
        <w:rPr>
          <w:w w:val="97"/>
        </w:rPr>
        <w:t>the </w:t>
      </w:r>
      <w:r>
        <w:rPr>
          <w:spacing w:val="1"/>
          <w:w w:val="98"/>
        </w:rPr>
        <w:t>report</w:t>
      </w:r>
      <w:r>
        <w:rPr>
          <w:w w:val="98"/>
        </w:rPr>
        <w:t> </w:t>
      </w:r>
      <w:r>
        <w:rPr>
          <w:spacing w:val="1"/>
          <w:w w:val="97"/>
        </w:rPr>
        <w:t>and</w:t>
      </w:r>
      <w:r>
        <w:rPr>
          <w:w w:val="97"/>
        </w:rPr>
        <w:t> </w:t>
      </w:r>
      <w:r>
        <w:rPr>
          <w:spacing w:val="1"/>
          <w:w w:val="98"/>
        </w:rPr>
        <w:t>action</w:t>
      </w:r>
      <w:r>
        <w:rPr>
          <w:w w:val="98"/>
        </w:rPr>
        <w:t> </w:t>
      </w:r>
      <w:r>
        <w:rPr/>
        <w:t>plan are currently being finalised. The recommendations from this review will help the School and the University make improvements,</w:t>
      </w:r>
      <w:r>
        <w:rPr>
          <w:spacing w:val="-18"/>
        </w:rPr>
        <w:t> </w:t>
      </w:r>
      <w:r>
        <w:rPr/>
        <w:t>and</w:t>
      </w:r>
      <w:r>
        <w:rPr>
          <w:spacing w:val="-18"/>
        </w:rPr>
        <w:t> </w:t>
      </w:r>
      <w:r>
        <w:rPr/>
        <w:t>commendations</w:t>
      </w:r>
      <w:r>
        <w:rPr>
          <w:spacing w:val="-18"/>
        </w:rPr>
        <w:t> </w:t>
      </w:r>
      <w:r>
        <w:rPr/>
        <w:t>will</w:t>
      </w:r>
      <w:r>
        <w:rPr>
          <w:spacing w:val="-18"/>
        </w:rPr>
        <w:t> </w:t>
      </w:r>
      <w:r>
        <w:rPr/>
        <w:t>be</w:t>
      </w:r>
    </w:p>
    <w:p>
      <w:pPr>
        <w:pStyle w:val="BodyText"/>
        <w:spacing w:line="249" w:lineRule="auto"/>
        <w:ind w:left="107" w:right="9"/>
      </w:pPr>
      <w:r>
        <w:rPr/>
        <w:t>used to disseminate advice on best practice. </w:t>
      </w:r>
      <w:r>
        <w:rPr>
          <w:spacing w:val="1"/>
          <w:w w:val="80"/>
        </w:rPr>
        <w:t>In</w:t>
      </w:r>
      <w:r>
        <w:rPr>
          <w:w w:val="80"/>
        </w:rPr>
        <w:t> </w:t>
      </w:r>
      <w:r>
        <w:rPr>
          <w:spacing w:val="-2"/>
          <w:w w:val="83"/>
        </w:rPr>
        <w:t>2017,</w:t>
      </w:r>
      <w:r>
        <w:rPr>
          <w:w w:val="83"/>
        </w:rPr>
        <w:t> </w:t>
      </w:r>
      <w:r>
        <w:rPr>
          <w:w w:val="97"/>
        </w:rPr>
        <w:t>the </w:t>
      </w:r>
      <w:r>
        <w:rPr>
          <w:spacing w:val="1"/>
          <w:w w:val="103"/>
        </w:rPr>
        <w:t>SSAP</w:t>
      </w:r>
      <w:r>
        <w:rPr>
          <w:w w:val="103"/>
        </w:rPr>
        <w:t> </w:t>
      </w:r>
      <w:r>
        <w:rPr>
          <w:w w:val="97"/>
        </w:rPr>
        <w:t>will </w:t>
      </w:r>
      <w:r>
        <w:rPr>
          <w:spacing w:val="1"/>
          <w:w w:val="95"/>
        </w:rPr>
        <w:t>use</w:t>
      </w:r>
      <w:r>
        <w:rPr>
          <w:w w:val="95"/>
        </w:rPr>
        <w:t> </w:t>
      </w:r>
      <w:r>
        <w:rPr>
          <w:spacing w:val="1"/>
          <w:w w:val="97"/>
        </w:rPr>
        <w:t>its</w:t>
      </w:r>
      <w:r>
        <w:rPr>
          <w:w w:val="97"/>
        </w:rPr>
        <w:t> </w:t>
      </w:r>
      <w:r>
        <w:rPr>
          <w:spacing w:val="1"/>
          <w:w w:val="97"/>
        </w:rPr>
        <w:t>partnerships</w:t>
      </w:r>
      <w:r>
        <w:rPr>
          <w:w w:val="97"/>
        </w:rPr>
        <w:t> </w:t>
      </w:r>
      <w:r>
        <w:rPr>
          <w:spacing w:val="-1"/>
          <w:w w:val="101"/>
        </w:rPr>
        <w:t>to</w:t>
      </w:r>
      <w:r>
        <w:rPr>
          <w:w w:val="101"/>
        </w:rPr>
        <w:t> </w:t>
      </w:r>
      <w:r>
        <w:rPr/>
        <w:t>prepare</w:t>
      </w:r>
      <w:r>
        <w:rPr>
          <w:spacing w:val="-18"/>
        </w:rPr>
        <w:t> </w:t>
      </w:r>
      <w:r>
        <w:rPr/>
        <w:t>students</w:t>
      </w:r>
      <w:r>
        <w:rPr>
          <w:spacing w:val="-18"/>
        </w:rPr>
        <w:t> </w:t>
      </w:r>
      <w:r>
        <w:rPr/>
        <w:t>for</w:t>
      </w:r>
      <w:r>
        <w:rPr>
          <w:spacing w:val="-18"/>
        </w:rPr>
        <w:t> </w:t>
      </w:r>
      <w:r>
        <w:rPr/>
        <w:t>employment,</w:t>
      </w:r>
      <w:r>
        <w:rPr>
          <w:spacing w:val="-18"/>
        </w:rPr>
        <w:t> </w:t>
      </w:r>
      <w:r>
        <w:rPr/>
        <w:t>increase</w:t>
      </w:r>
      <w:r>
        <w:rPr>
          <w:spacing w:val="-18"/>
        </w:rPr>
        <w:t> </w:t>
      </w:r>
      <w:r>
        <w:rPr/>
        <w:t>its focus on the support needs of sessional staff and continue pursuing its strategy to achieve exceptional research performance and international</w:t>
      </w:r>
      <w:r>
        <w:rPr>
          <w:spacing w:val="-24"/>
        </w:rPr>
        <w:t> </w:t>
      </w:r>
      <w:r>
        <w:rPr/>
        <w:t>partnership</w:t>
      </w:r>
      <w:r>
        <w:rPr>
          <w:spacing w:val="-24"/>
        </w:rPr>
        <w:t> </w:t>
      </w:r>
      <w:r>
        <w:rPr/>
        <w:t>opportunities.</w:t>
      </w:r>
    </w:p>
    <w:p>
      <w:pPr>
        <w:pStyle w:val="BodyText"/>
        <w:spacing w:before="3"/>
        <w:rPr>
          <w:sz w:val="19"/>
        </w:rPr>
      </w:pPr>
    </w:p>
    <w:p>
      <w:pPr>
        <w:pStyle w:val="Heading7"/>
        <w:ind w:right="20"/>
      </w:pPr>
      <w:r>
        <w:rPr>
          <w:w w:val="95"/>
        </w:rPr>
        <w:t>TEACHING AND LEARNING</w:t>
      </w:r>
    </w:p>
    <w:p>
      <w:pPr>
        <w:pStyle w:val="BodyText"/>
        <w:spacing w:line="249" w:lineRule="auto" w:before="58"/>
        <w:ind w:left="107" w:right="141"/>
      </w:pPr>
      <w:r>
        <w:rPr/>
        <w:t>The SSAP’s student load continues to be strong</w:t>
      </w:r>
      <w:r>
        <w:rPr>
          <w:spacing w:val="-17"/>
        </w:rPr>
        <w:t> </w:t>
      </w:r>
      <w:r>
        <w:rPr/>
        <w:t>across</w:t>
      </w:r>
      <w:r>
        <w:rPr>
          <w:spacing w:val="-17"/>
        </w:rPr>
        <w:t> </w:t>
      </w:r>
      <w:r>
        <w:rPr/>
        <w:t>the</w:t>
      </w:r>
      <w:r>
        <w:rPr>
          <w:spacing w:val="-17"/>
        </w:rPr>
        <w:t> </w:t>
      </w:r>
      <w:r>
        <w:rPr/>
        <w:t>majority</w:t>
      </w:r>
      <w:r>
        <w:rPr>
          <w:spacing w:val="-17"/>
        </w:rPr>
        <w:t> </w:t>
      </w:r>
      <w:r>
        <w:rPr/>
        <w:t>of</w:t>
      </w:r>
      <w:r>
        <w:rPr>
          <w:spacing w:val="-17"/>
        </w:rPr>
        <w:t> </w:t>
      </w:r>
      <w:r>
        <w:rPr/>
        <w:t>programs,</w:t>
      </w:r>
      <w:r>
        <w:rPr>
          <w:spacing w:val="-17"/>
        </w:rPr>
        <w:t> </w:t>
      </w:r>
      <w:r>
        <w:rPr/>
        <w:t>with robust numbers in undergraduate degrees in</w:t>
      </w:r>
      <w:r>
        <w:rPr>
          <w:spacing w:val="-17"/>
        </w:rPr>
        <w:t> </w:t>
      </w:r>
      <w:r>
        <w:rPr/>
        <w:t>psychology,</w:t>
      </w:r>
      <w:r>
        <w:rPr>
          <w:spacing w:val="-17"/>
        </w:rPr>
        <w:t> </w:t>
      </w:r>
      <w:r>
        <w:rPr/>
        <w:t>criminology</w:t>
      </w:r>
      <w:r>
        <w:rPr>
          <w:spacing w:val="-17"/>
        </w:rPr>
        <w:t> </w:t>
      </w:r>
      <w:r>
        <w:rPr/>
        <w:t>and</w:t>
      </w:r>
      <w:r>
        <w:rPr>
          <w:spacing w:val="-17"/>
        </w:rPr>
        <w:t> </w:t>
      </w:r>
      <w:r>
        <w:rPr/>
        <w:t>social</w:t>
      </w:r>
      <w:r>
        <w:rPr>
          <w:spacing w:val="-17"/>
        </w:rPr>
        <w:t> </w:t>
      </w:r>
      <w:r>
        <w:rPr/>
        <w:t>work,</w:t>
      </w:r>
    </w:p>
    <w:p>
      <w:pPr>
        <w:pStyle w:val="BodyText"/>
        <w:spacing w:line="249" w:lineRule="auto"/>
        <w:ind w:left="107" w:right="21"/>
      </w:pPr>
      <w:r>
        <w:rPr/>
        <w:t>among</w:t>
      </w:r>
      <w:r>
        <w:rPr>
          <w:spacing w:val="-19"/>
        </w:rPr>
        <w:t> </w:t>
      </w:r>
      <w:r>
        <w:rPr/>
        <w:t>others.</w:t>
      </w:r>
      <w:r>
        <w:rPr>
          <w:spacing w:val="-19"/>
        </w:rPr>
        <w:t> </w:t>
      </w:r>
      <w:r>
        <w:rPr/>
        <w:t>It</w:t>
      </w:r>
      <w:r>
        <w:rPr>
          <w:spacing w:val="-19"/>
        </w:rPr>
        <w:t> </w:t>
      </w:r>
      <w:r>
        <w:rPr/>
        <w:t>is</w:t>
      </w:r>
      <w:r>
        <w:rPr>
          <w:spacing w:val="-19"/>
        </w:rPr>
        <w:t> </w:t>
      </w:r>
      <w:r>
        <w:rPr/>
        <w:t>also</w:t>
      </w:r>
      <w:r>
        <w:rPr>
          <w:spacing w:val="-19"/>
        </w:rPr>
        <w:t> </w:t>
      </w:r>
      <w:r>
        <w:rPr/>
        <w:t>adapting</w:t>
      </w:r>
      <w:r>
        <w:rPr>
          <w:spacing w:val="-19"/>
        </w:rPr>
        <w:t> </w:t>
      </w:r>
      <w:r>
        <w:rPr/>
        <w:t>its</w:t>
      </w:r>
      <w:r>
        <w:rPr>
          <w:spacing w:val="-19"/>
        </w:rPr>
        <w:t> </w:t>
      </w:r>
      <w:r>
        <w:rPr/>
        <w:t>marketing and</w:t>
      </w:r>
      <w:r>
        <w:rPr>
          <w:spacing w:val="-16"/>
        </w:rPr>
        <w:t> </w:t>
      </w:r>
      <w:r>
        <w:rPr/>
        <w:t>curriculum</w:t>
      </w:r>
      <w:r>
        <w:rPr>
          <w:spacing w:val="-16"/>
        </w:rPr>
        <w:t> </w:t>
      </w:r>
      <w:r>
        <w:rPr/>
        <w:t>to</w:t>
      </w:r>
      <w:r>
        <w:rPr>
          <w:spacing w:val="-16"/>
        </w:rPr>
        <w:t> </w:t>
      </w:r>
      <w:r>
        <w:rPr/>
        <w:t>increase</w:t>
      </w:r>
      <w:r>
        <w:rPr>
          <w:spacing w:val="-16"/>
        </w:rPr>
        <w:t> </w:t>
      </w:r>
      <w:r>
        <w:rPr/>
        <w:t>both</w:t>
      </w:r>
      <w:r>
        <w:rPr>
          <w:spacing w:val="-16"/>
        </w:rPr>
        <w:t> </w:t>
      </w:r>
      <w:r>
        <w:rPr/>
        <w:t>postgraduate and</w:t>
      </w:r>
      <w:r>
        <w:rPr>
          <w:spacing w:val="-17"/>
        </w:rPr>
        <w:t> </w:t>
      </w:r>
      <w:r>
        <w:rPr/>
        <w:t>international</w:t>
      </w:r>
      <w:r>
        <w:rPr>
          <w:spacing w:val="-17"/>
        </w:rPr>
        <w:t> </w:t>
      </w:r>
      <w:r>
        <w:rPr/>
        <w:t>student</w:t>
      </w:r>
      <w:r>
        <w:rPr>
          <w:spacing w:val="-17"/>
        </w:rPr>
        <w:t> </w:t>
      </w:r>
      <w:r>
        <w:rPr/>
        <w:t>numbers.</w:t>
      </w:r>
      <w:r>
        <w:rPr>
          <w:spacing w:val="-17"/>
        </w:rPr>
        <w:t> </w:t>
      </w:r>
      <w:r>
        <w:rPr/>
        <w:t>The</w:t>
      </w:r>
      <w:r>
        <w:rPr>
          <w:spacing w:val="-17"/>
        </w:rPr>
        <w:t> </w:t>
      </w:r>
      <w:r>
        <w:rPr/>
        <w:t>SSAP continues to focus on regional engagement and strengthening its relationship with alternative-entry students, particularly those who previously studied at Western Sydney University,</w:t>
      </w:r>
      <w:r>
        <w:rPr>
          <w:spacing w:val="-22"/>
        </w:rPr>
        <w:t> </w:t>
      </w:r>
      <w:r>
        <w:rPr/>
        <w:t>The</w:t>
      </w:r>
      <w:r>
        <w:rPr>
          <w:spacing w:val="-22"/>
        </w:rPr>
        <w:t> </w:t>
      </w:r>
      <w:r>
        <w:rPr/>
        <w:t>College</w:t>
      </w:r>
      <w:r>
        <w:rPr>
          <w:spacing w:val="-22"/>
        </w:rPr>
        <w:t> </w:t>
      </w:r>
      <w:r>
        <w:rPr/>
        <w:t>and</w:t>
      </w:r>
      <w:r>
        <w:rPr>
          <w:spacing w:val="-22"/>
        </w:rPr>
        <w:t> </w:t>
      </w:r>
      <w:r>
        <w:rPr/>
        <w:t>TAFE.</w:t>
      </w:r>
    </w:p>
    <w:p>
      <w:pPr>
        <w:pStyle w:val="BodyText"/>
        <w:rPr>
          <w:sz w:val="14"/>
        </w:rPr>
      </w:pPr>
    </w:p>
    <w:p>
      <w:pPr>
        <w:pStyle w:val="BodyText"/>
        <w:spacing w:line="249" w:lineRule="auto"/>
        <w:ind w:left="107" w:right="43"/>
      </w:pPr>
      <w:r>
        <w:rPr>
          <w:spacing w:val="1"/>
          <w:w w:val="80"/>
        </w:rPr>
        <w:t>In</w:t>
      </w:r>
      <w:r>
        <w:rPr>
          <w:w w:val="80"/>
        </w:rPr>
        <w:t> </w:t>
      </w:r>
      <w:r>
        <w:rPr>
          <w:spacing w:val="2"/>
          <w:w w:val="85"/>
        </w:rPr>
        <w:t>2016,</w:t>
      </w:r>
      <w:r>
        <w:rPr>
          <w:w w:val="85"/>
        </w:rPr>
        <w:t> </w:t>
      </w:r>
      <w:r>
        <w:rPr>
          <w:w w:val="97"/>
        </w:rPr>
        <w:t>the </w:t>
      </w:r>
      <w:r>
        <w:rPr>
          <w:spacing w:val="1"/>
          <w:w w:val="103"/>
        </w:rPr>
        <w:t>SSAP</w:t>
      </w:r>
      <w:r>
        <w:rPr>
          <w:w w:val="103"/>
        </w:rPr>
        <w:t> </w:t>
      </w:r>
      <w:r>
        <w:rPr>
          <w:w w:val="97"/>
        </w:rPr>
        <w:t>delivered </w:t>
      </w:r>
      <w:r>
        <w:rPr>
          <w:w w:val="94"/>
        </w:rPr>
        <w:t>a </w:t>
      </w:r>
      <w:r>
        <w:rPr>
          <w:w w:val="97"/>
        </w:rPr>
        <w:t>new </w:t>
      </w:r>
      <w:r>
        <w:rPr>
          <w:w w:val="97"/>
        </w:rPr>
        <w:t>set </w:t>
      </w:r>
      <w:r>
        <w:rPr>
          <w:w w:val="99"/>
        </w:rPr>
        <w:t>of </w:t>
      </w:r>
      <w:r>
        <w:rPr/>
        <w:t>undergraduate programs, including the Bachelor of Anthropology and the Bachelor of</w:t>
      </w:r>
      <w:r>
        <w:rPr>
          <w:spacing w:val="-20"/>
        </w:rPr>
        <w:t> </w:t>
      </w:r>
      <w:r>
        <w:rPr/>
        <w:t>Humanitarian</w:t>
      </w:r>
      <w:r>
        <w:rPr>
          <w:spacing w:val="-20"/>
        </w:rPr>
        <w:t> </w:t>
      </w:r>
      <w:r>
        <w:rPr/>
        <w:t>and</w:t>
      </w:r>
      <w:r>
        <w:rPr>
          <w:spacing w:val="-20"/>
        </w:rPr>
        <w:t> </w:t>
      </w:r>
      <w:r>
        <w:rPr/>
        <w:t>Development</w:t>
      </w:r>
      <w:r>
        <w:rPr>
          <w:spacing w:val="-20"/>
        </w:rPr>
        <w:t> </w:t>
      </w:r>
      <w:r>
        <w:rPr/>
        <w:t>Studies.</w:t>
      </w:r>
      <w:r>
        <w:rPr>
          <w:spacing w:val="-20"/>
        </w:rPr>
        <w:t> </w:t>
      </w:r>
      <w:r>
        <w:rPr/>
        <w:t>It also added three new postgraduate courses: the</w:t>
      </w:r>
      <w:r>
        <w:rPr>
          <w:spacing w:val="-19"/>
        </w:rPr>
        <w:t> </w:t>
      </w:r>
      <w:r>
        <w:rPr/>
        <w:t>Master</w:t>
      </w:r>
      <w:r>
        <w:rPr>
          <w:spacing w:val="-19"/>
        </w:rPr>
        <w:t> </w:t>
      </w:r>
      <w:r>
        <w:rPr/>
        <w:t>of</w:t>
      </w:r>
      <w:r>
        <w:rPr>
          <w:spacing w:val="-19"/>
        </w:rPr>
        <w:t> </w:t>
      </w:r>
      <w:r>
        <w:rPr/>
        <w:t>Professional</w:t>
      </w:r>
      <w:r>
        <w:rPr>
          <w:spacing w:val="-19"/>
        </w:rPr>
        <w:t> </w:t>
      </w:r>
      <w:r>
        <w:rPr/>
        <w:t>Psychology,</w:t>
      </w:r>
      <w:r>
        <w:rPr>
          <w:spacing w:val="-19"/>
        </w:rPr>
        <w:t> </w:t>
      </w:r>
      <w:r>
        <w:rPr/>
        <w:t>Master</w:t>
      </w:r>
    </w:p>
    <w:p>
      <w:pPr>
        <w:pStyle w:val="BodyText"/>
        <w:spacing w:line="249" w:lineRule="auto"/>
        <w:ind w:left="107" w:right="-14"/>
      </w:pPr>
      <w:r>
        <w:rPr/>
        <w:t>of</w:t>
      </w:r>
      <w:r>
        <w:rPr>
          <w:spacing w:val="-17"/>
        </w:rPr>
        <w:t> </w:t>
      </w:r>
      <w:r>
        <w:rPr/>
        <w:t>Psychotherapy</w:t>
      </w:r>
      <w:r>
        <w:rPr>
          <w:spacing w:val="-17"/>
        </w:rPr>
        <w:t> </w:t>
      </w:r>
      <w:r>
        <w:rPr/>
        <w:t>and</w:t>
      </w:r>
      <w:r>
        <w:rPr>
          <w:spacing w:val="-17"/>
        </w:rPr>
        <w:t> </w:t>
      </w:r>
      <w:r>
        <w:rPr/>
        <w:t>Counselling,</w:t>
      </w:r>
      <w:r>
        <w:rPr>
          <w:spacing w:val="-17"/>
        </w:rPr>
        <w:t> </w:t>
      </w:r>
      <w:r>
        <w:rPr/>
        <w:t>and</w:t>
      </w:r>
      <w:r>
        <w:rPr>
          <w:spacing w:val="-17"/>
        </w:rPr>
        <w:t> </w:t>
      </w:r>
      <w:r>
        <w:rPr/>
        <w:t>Master of</w:t>
      </w:r>
      <w:r>
        <w:rPr>
          <w:spacing w:val="-18"/>
        </w:rPr>
        <w:t> </w:t>
      </w:r>
      <w:r>
        <w:rPr/>
        <w:t>Social</w:t>
      </w:r>
      <w:r>
        <w:rPr>
          <w:spacing w:val="-18"/>
        </w:rPr>
        <w:t> </w:t>
      </w:r>
      <w:r>
        <w:rPr/>
        <w:t>Work</w:t>
      </w:r>
      <w:r>
        <w:rPr>
          <w:spacing w:val="-18"/>
        </w:rPr>
        <w:t> </w:t>
      </w:r>
      <w:r>
        <w:rPr/>
        <w:t>(Qualifying).</w:t>
      </w:r>
    </w:p>
    <w:p>
      <w:pPr>
        <w:pStyle w:val="BodyText"/>
        <w:spacing w:before="1"/>
        <w:rPr>
          <w:sz w:val="20"/>
        </w:rPr>
      </w:pPr>
      <w:r>
        <w:rPr/>
        <w:br w:type="column"/>
      </w:r>
      <w:r>
        <w:rPr>
          <w:sz w:val="20"/>
        </w:rPr>
      </w:r>
    </w:p>
    <w:p>
      <w:pPr>
        <w:pStyle w:val="BodyText"/>
        <w:spacing w:line="249" w:lineRule="auto"/>
        <w:ind w:left="107" w:right="43"/>
      </w:pPr>
      <w:r>
        <w:rPr/>
        <w:t>These undergraduate and postgraduate programs reaffirm the School’s position as a sustainable provider of diverse specialisations, and ensure it continues to provide students with the opportunity to engage with real- world problems by drawing on scholarship in social science and psychology.</w:t>
      </w:r>
    </w:p>
    <w:p>
      <w:pPr>
        <w:pStyle w:val="BodyText"/>
        <w:rPr>
          <w:sz w:val="14"/>
        </w:rPr>
      </w:pPr>
    </w:p>
    <w:p>
      <w:pPr>
        <w:pStyle w:val="BodyText"/>
        <w:spacing w:line="249" w:lineRule="auto"/>
        <w:ind w:left="107" w:right="320"/>
      </w:pPr>
      <w:r>
        <w:rPr>
          <w:spacing w:val="1"/>
          <w:w w:val="80"/>
        </w:rPr>
        <w:t>In</w:t>
      </w:r>
      <w:r>
        <w:rPr>
          <w:w w:val="80"/>
        </w:rPr>
        <w:t> </w:t>
      </w:r>
      <w:r>
        <w:rPr>
          <w:spacing w:val="2"/>
          <w:w w:val="85"/>
        </w:rPr>
        <w:t>2016,</w:t>
      </w:r>
      <w:r>
        <w:rPr>
          <w:w w:val="85"/>
        </w:rPr>
        <w:t> </w:t>
      </w:r>
      <w:r>
        <w:rPr>
          <w:w w:val="97"/>
        </w:rPr>
        <w:t>the </w:t>
      </w:r>
      <w:r>
        <w:rPr>
          <w:spacing w:val="1"/>
          <w:w w:val="103"/>
        </w:rPr>
        <w:t>SSAP</w:t>
      </w:r>
      <w:r>
        <w:rPr>
          <w:w w:val="103"/>
        </w:rPr>
        <w:t> </w:t>
      </w:r>
      <w:r>
        <w:rPr>
          <w:spacing w:val="1"/>
          <w:w w:val="97"/>
        </w:rPr>
        <w:t>established</w:t>
      </w:r>
      <w:r>
        <w:rPr>
          <w:w w:val="97"/>
        </w:rPr>
        <w:t> </w:t>
      </w:r>
      <w:r>
        <w:rPr>
          <w:w w:val="94"/>
        </w:rPr>
        <w:t>a </w:t>
      </w:r>
      <w:r>
        <w:rPr>
          <w:w w:val="98"/>
        </w:rPr>
        <w:t>coherent </w:t>
      </w:r>
      <w:r>
        <w:rPr/>
        <w:t>and cooperative curriculum team through divisional</w:t>
      </w:r>
      <w:r>
        <w:rPr>
          <w:spacing w:val="-21"/>
        </w:rPr>
        <w:t> </w:t>
      </w:r>
      <w:r>
        <w:rPr/>
        <w:t>resources</w:t>
      </w:r>
      <w:r>
        <w:rPr>
          <w:spacing w:val="-21"/>
        </w:rPr>
        <w:t> </w:t>
      </w:r>
      <w:r>
        <w:rPr/>
        <w:t>and</w:t>
      </w:r>
      <w:r>
        <w:rPr>
          <w:spacing w:val="-21"/>
        </w:rPr>
        <w:t> </w:t>
      </w:r>
      <w:r>
        <w:rPr/>
        <w:t>LTEG</w:t>
      </w:r>
      <w:r>
        <w:rPr>
          <w:spacing w:val="-21"/>
        </w:rPr>
        <w:t> </w:t>
      </w:r>
      <w:r>
        <w:rPr/>
        <w:t>funding.</w:t>
      </w:r>
      <w:r>
        <w:rPr>
          <w:spacing w:val="-21"/>
        </w:rPr>
        <w:t> </w:t>
      </w:r>
      <w:r>
        <w:rPr/>
        <w:t>The </w:t>
      </w:r>
      <w:r>
        <w:rPr>
          <w:spacing w:val="-1"/>
          <w:w w:val="97"/>
        </w:rPr>
        <w:t>team’s</w:t>
      </w:r>
      <w:r>
        <w:rPr>
          <w:w w:val="97"/>
        </w:rPr>
        <w:t> </w:t>
      </w:r>
      <w:r>
        <w:rPr>
          <w:spacing w:val="1"/>
          <w:w w:val="98"/>
        </w:rPr>
        <w:t>outcomes</w:t>
      </w:r>
      <w:r>
        <w:rPr>
          <w:w w:val="98"/>
        </w:rPr>
        <w:t> </w:t>
      </w:r>
      <w:r>
        <w:rPr>
          <w:w w:val="95"/>
        </w:rPr>
        <w:t>in </w:t>
      </w:r>
      <w:r>
        <w:rPr>
          <w:spacing w:val="1"/>
          <w:w w:val="90"/>
        </w:rPr>
        <w:t>2016</w:t>
      </w:r>
      <w:r>
        <w:rPr>
          <w:w w:val="90"/>
        </w:rPr>
        <w:t> </w:t>
      </w:r>
      <w:r>
        <w:rPr>
          <w:spacing w:val="1"/>
          <w:w w:val="98"/>
        </w:rPr>
        <w:t>included</w:t>
      </w:r>
      <w:r>
        <w:rPr>
          <w:spacing w:val="-33"/>
          <w:w w:val="98"/>
        </w:rPr>
        <w:t> </w:t>
      </w:r>
      <w:r>
        <w:rPr>
          <w:w w:val="97"/>
        </w:rPr>
        <w:t>initiating </w:t>
      </w:r>
      <w:r>
        <w:rPr/>
        <w:t>a</w:t>
      </w:r>
      <w:r>
        <w:rPr>
          <w:spacing w:val="-20"/>
        </w:rPr>
        <w:t> </w:t>
      </w:r>
      <w:r>
        <w:rPr/>
        <w:t>Scholarship</w:t>
      </w:r>
      <w:r>
        <w:rPr>
          <w:spacing w:val="-20"/>
        </w:rPr>
        <w:t> </w:t>
      </w:r>
      <w:r>
        <w:rPr/>
        <w:t>of</w:t>
      </w:r>
      <w:r>
        <w:rPr>
          <w:spacing w:val="-20"/>
        </w:rPr>
        <w:t> </w:t>
      </w:r>
      <w:r>
        <w:rPr/>
        <w:t>Teaching</w:t>
      </w:r>
      <w:r>
        <w:rPr>
          <w:spacing w:val="-20"/>
        </w:rPr>
        <w:t> </w:t>
      </w:r>
      <w:r>
        <w:rPr/>
        <w:t>and</w:t>
      </w:r>
      <w:r>
        <w:rPr>
          <w:spacing w:val="-20"/>
        </w:rPr>
        <w:t> </w:t>
      </w:r>
      <w:r>
        <w:rPr/>
        <w:t>Learning</w:t>
      </w:r>
    </w:p>
    <w:p>
      <w:pPr>
        <w:pStyle w:val="BodyText"/>
        <w:spacing w:line="249" w:lineRule="auto"/>
        <w:ind w:left="107" w:right="154"/>
      </w:pPr>
      <w:r>
        <w:rPr/>
        <w:t>(SoTL)</w:t>
      </w:r>
      <w:r>
        <w:rPr>
          <w:spacing w:val="-21"/>
        </w:rPr>
        <w:t> </w:t>
      </w:r>
      <w:r>
        <w:rPr/>
        <w:t>Grants</w:t>
      </w:r>
      <w:r>
        <w:rPr>
          <w:spacing w:val="-21"/>
        </w:rPr>
        <w:t> </w:t>
      </w:r>
      <w:r>
        <w:rPr/>
        <w:t>Scheme,</w:t>
      </w:r>
      <w:r>
        <w:rPr>
          <w:spacing w:val="-21"/>
        </w:rPr>
        <w:t> </w:t>
      </w:r>
      <w:r>
        <w:rPr/>
        <w:t>providing</w:t>
      </w:r>
      <w:r>
        <w:rPr>
          <w:spacing w:val="-21"/>
        </w:rPr>
        <w:t> </w:t>
      </w:r>
      <w:r>
        <w:rPr/>
        <w:t>professional development for tutors (which led to a further nine tutors completing the sessional Foundations of University Learning and Teaching program), and establishing a first- year Unit Coordinator project to implement ‘transition pedagogies’. Retention continued to</w:t>
      </w:r>
      <w:r>
        <w:rPr>
          <w:spacing w:val="-16"/>
        </w:rPr>
        <w:t> </w:t>
      </w:r>
      <w:r>
        <w:rPr/>
        <w:t>be</w:t>
      </w:r>
      <w:r>
        <w:rPr>
          <w:spacing w:val="-16"/>
        </w:rPr>
        <w:t> </w:t>
      </w:r>
      <w:r>
        <w:rPr/>
        <w:t>a</w:t>
      </w:r>
      <w:r>
        <w:rPr>
          <w:spacing w:val="-16"/>
        </w:rPr>
        <w:t> </w:t>
      </w:r>
      <w:r>
        <w:rPr/>
        <w:t>key</w:t>
      </w:r>
      <w:r>
        <w:rPr>
          <w:spacing w:val="-16"/>
        </w:rPr>
        <w:t> </w:t>
      </w:r>
      <w:r>
        <w:rPr/>
        <w:t>focus</w:t>
      </w:r>
      <w:r>
        <w:rPr>
          <w:spacing w:val="-16"/>
        </w:rPr>
        <w:t> </w:t>
      </w:r>
      <w:r>
        <w:rPr/>
        <w:t>for</w:t>
      </w:r>
      <w:r>
        <w:rPr>
          <w:spacing w:val="-16"/>
        </w:rPr>
        <w:t> </w:t>
      </w:r>
      <w:r>
        <w:rPr/>
        <w:t>the</w:t>
      </w:r>
      <w:r>
        <w:rPr>
          <w:spacing w:val="-16"/>
        </w:rPr>
        <w:t> </w:t>
      </w:r>
      <w:r>
        <w:rPr/>
        <w:t>SSAP,</w:t>
      </w:r>
      <w:r>
        <w:rPr>
          <w:spacing w:val="-16"/>
        </w:rPr>
        <w:t> </w:t>
      </w:r>
      <w:r>
        <w:rPr/>
        <w:t>which</w:t>
      </w:r>
    </w:p>
    <w:p>
      <w:pPr>
        <w:pStyle w:val="BodyText"/>
        <w:spacing w:line="249" w:lineRule="auto"/>
        <w:ind w:left="107" w:right="122"/>
      </w:pPr>
      <w:r>
        <w:rPr/>
        <w:t>initiated a pre-census attrition project and intervention campaign in collaboration with the</w:t>
      </w:r>
      <w:r>
        <w:rPr>
          <w:spacing w:val="-25"/>
        </w:rPr>
        <w:t> </w:t>
      </w:r>
      <w:r>
        <w:rPr/>
        <w:t>Transition</w:t>
      </w:r>
      <w:r>
        <w:rPr>
          <w:spacing w:val="-25"/>
        </w:rPr>
        <w:t> </w:t>
      </w:r>
      <w:r>
        <w:rPr/>
        <w:t>Success</w:t>
      </w:r>
      <w:r>
        <w:rPr>
          <w:spacing w:val="-25"/>
        </w:rPr>
        <w:t> </w:t>
      </w:r>
      <w:r>
        <w:rPr/>
        <w:t>team.</w:t>
      </w:r>
      <w:r>
        <w:rPr>
          <w:spacing w:val="-25"/>
        </w:rPr>
        <w:t> </w:t>
      </w:r>
      <w:r>
        <w:rPr/>
        <w:t>Overall</w:t>
      </w:r>
      <w:r>
        <w:rPr>
          <w:spacing w:val="-25"/>
        </w:rPr>
        <w:t> </w:t>
      </w:r>
      <w:r>
        <w:rPr/>
        <w:t>retention of commencing students remained relatively steady</w:t>
      </w:r>
      <w:r>
        <w:rPr>
          <w:spacing w:val="-32"/>
        </w:rPr>
        <w:t> </w:t>
      </w:r>
      <w:r>
        <w:rPr/>
        <w:t>at</w:t>
      </w:r>
      <w:r>
        <w:rPr>
          <w:spacing w:val="-32"/>
        </w:rPr>
        <w:t> </w:t>
      </w:r>
      <w:r>
        <w:rPr/>
        <w:t>79.1</w:t>
      </w:r>
      <w:r>
        <w:rPr>
          <w:spacing w:val="-32"/>
        </w:rPr>
        <w:t> </w:t>
      </w:r>
      <w:r>
        <w:rPr/>
        <w:t>per</w:t>
      </w:r>
      <w:r>
        <w:rPr>
          <w:spacing w:val="-32"/>
        </w:rPr>
        <w:t> </w:t>
      </w:r>
      <w:r>
        <w:rPr/>
        <w:t>cent.</w:t>
      </w:r>
    </w:p>
    <w:p>
      <w:pPr>
        <w:pStyle w:val="BodyText"/>
        <w:rPr>
          <w:sz w:val="14"/>
        </w:rPr>
      </w:pPr>
    </w:p>
    <w:p>
      <w:pPr>
        <w:pStyle w:val="BodyText"/>
        <w:spacing w:line="249" w:lineRule="auto"/>
        <w:ind w:left="107" w:right="90"/>
      </w:pPr>
      <w:r>
        <w:rPr/>
        <w:t>The</w:t>
      </w:r>
      <w:r>
        <w:rPr>
          <w:spacing w:val="-14"/>
        </w:rPr>
        <w:t> </w:t>
      </w:r>
      <w:r>
        <w:rPr/>
        <w:t>SSAP</w:t>
      </w:r>
      <w:r>
        <w:rPr>
          <w:spacing w:val="-14"/>
        </w:rPr>
        <w:t> </w:t>
      </w:r>
      <w:r>
        <w:rPr/>
        <w:t>continued</w:t>
      </w:r>
      <w:r>
        <w:rPr>
          <w:spacing w:val="-14"/>
        </w:rPr>
        <w:t> </w:t>
      </w:r>
      <w:r>
        <w:rPr/>
        <w:t>to</w:t>
      </w:r>
      <w:r>
        <w:rPr>
          <w:spacing w:val="-14"/>
        </w:rPr>
        <w:t> </w:t>
      </w:r>
      <w:r>
        <w:rPr/>
        <w:t>innovate</w:t>
      </w:r>
      <w:r>
        <w:rPr>
          <w:spacing w:val="-14"/>
        </w:rPr>
        <w:t> </w:t>
      </w:r>
      <w:r>
        <w:rPr/>
        <w:t>its</w:t>
      </w:r>
      <w:r>
        <w:rPr>
          <w:spacing w:val="-14"/>
        </w:rPr>
        <w:t> </w:t>
      </w:r>
      <w:r>
        <w:rPr/>
        <w:t>curriculum design,</w:t>
      </w:r>
      <w:r>
        <w:rPr>
          <w:spacing w:val="-15"/>
        </w:rPr>
        <w:t> </w:t>
      </w:r>
      <w:r>
        <w:rPr/>
        <w:t>providing</w:t>
      </w:r>
      <w:r>
        <w:rPr>
          <w:spacing w:val="-15"/>
        </w:rPr>
        <w:t> </w:t>
      </w:r>
      <w:r>
        <w:rPr/>
        <w:t>students</w:t>
      </w:r>
      <w:r>
        <w:rPr>
          <w:spacing w:val="-15"/>
        </w:rPr>
        <w:t> </w:t>
      </w:r>
      <w:r>
        <w:rPr/>
        <w:t>with</w:t>
      </w:r>
      <w:r>
        <w:rPr>
          <w:spacing w:val="-15"/>
        </w:rPr>
        <w:t> </w:t>
      </w:r>
      <w:r>
        <w:rPr/>
        <w:t>choices</w:t>
      </w:r>
      <w:r>
        <w:rPr>
          <w:spacing w:val="-15"/>
        </w:rPr>
        <w:t> </w:t>
      </w:r>
      <w:r>
        <w:rPr/>
        <w:t>in</w:t>
      </w:r>
      <w:r>
        <w:rPr>
          <w:spacing w:val="-6"/>
        </w:rPr>
        <w:t> </w:t>
      </w:r>
      <w:r>
        <w:rPr/>
        <w:t>how they study by using blended and online strategies for teaching and learning. It is working with the offices of the Pro Vice- Chancellor (Learning Transformations) and Pro</w:t>
      </w:r>
      <w:r>
        <w:rPr>
          <w:spacing w:val="-17"/>
        </w:rPr>
        <w:t> </w:t>
      </w:r>
      <w:r>
        <w:rPr/>
        <w:t>Vice-Chancellor</w:t>
      </w:r>
      <w:r>
        <w:rPr>
          <w:spacing w:val="-17"/>
        </w:rPr>
        <w:t> </w:t>
      </w:r>
      <w:r>
        <w:rPr/>
        <w:t>(Digital</w:t>
      </w:r>
      <w:r>
        <w:rPr>
          <w:spacing w:val="-17"/>
        </w:rPr>
        <w:t> </w:t>
      </w:r>
      <w:r>
        <w:rPr/>
        <w:t>Futures)</w:t>
      </w:r>
      <w:r>
        <w:rPr>
          <w:spacing w:val="-17"/>
        </w:rPr>
        <w:t> </w:t>
      </w:r>
      <w:r>
        <w:rPr/>
        <w:t>to</w:t>
      </w:r>
      <w:r>
        <w:rPr>
          <w:spacing w:val="-17"/>
        </w:rPr>
        <w:t> </w:t>
      </w:r>
      <w:r>
        <w:rPr/>
        <w:t>ensure it</w:t>
      </w:r>
      <w:r>
        <w:rPr>
          <w:spacing w:val="-9"/>
        </w:rPr>
        <w:t> </w:t>
      </w:r>
      <w:r>
        <w:rPr/>
        <w:t>adopts</w:t>
      </w:r>
      <w:r>
        <w:rPr>
          <w:spacing w:val="-9"/>
        </w:rPr>
        <w:t> </w:t>
      </w:r>
      <w:r>
        <w:rPr/>
        <w:t>best-practice</w:t>
      </w:r>
      <w:r>
        <w:rPr>
          <w:spacing w:val="-9"/>
        </w:rPr>
        <w:t> </w:t>
      </w:r>
      <w:r>
        <w:rPr/>
        <w:t>approaches</w:t>
      </w:r>
      <w:r>
        <w:rPr>
          <w:spacing w:val="-9"/>
        </w:rPr>
        <w:t> </w:t>
      </w:r>
      <w:r>
        <w:rPr/>
        <w:t>to</w:t>
      </w:r>
      <w:r>
        <w:rPr>
          <w:spacing w:val="-9"/>
        </w:rPr>
        <w:t> </w:t>
      </w:r>
      <w:r>
        <w:rPr/>
        <w:t>blended learning. The new Science and Psychology </w:t>
      </w:r>
      <w:r>
        <w:rPr>
          <w:spacing w:val="1"/>
          <w:w w:val="98"/>
        </w:rPr>
        <w:t>building</w:t>
      </w:r>
      <w:r>
        <w:rPr>
          <w:w w:val="98"/>
        </w:rPr>
        <w:t> </w:t>
      </w:r>
      <w:r>
        <w:rPr>
          <w:spacing w:val="1"/>
          <w:w w:val="98"/>
        </w:rPr>
        <w:t>opened</w:t>
      </w:r>
      <w:r>
        <w:rPr>
          <w:w w:val="98"/>
        </w:rPr>
        <w:t> </w:t>
      </w:r>
      <w:r>
        <w:rPr>
          <w:w w:val="95"/>
        </w:rPr>
        <w:t>in </w:t>
      </w:r>
      <w:r>
        <w:rPr>
          <w:spacing w:val="1"/>
          <w:w w:val="90"/>
        </w:rPr>
        <w:t>2016</w:t>
      </w:r>
      <w:r>
        <w:rPr>
          <w:w w:val="90"/>
        </w:rPr>
        <w:t> </w:t>
      </w:r>
      <w:r>
        <w:rPr>
          <w:w w:val="98"/>
        </w:rPr>
        <w:t>at </w:t>
      </w:r>
      <w:r>
        <w:rPr>
          <w:w w:val="97"/>
        </w:rPr>
        <w:t>the </w:t>
      </w:r>
      <w:r>
        <w:rPr>
          <w:spacing w:val="1"/>
          <w:w w:val="97"/>
        </w:rPr>
        <w:t>Parramatta</w:t>
      </w:r>
      <w:r>
        <w:rPr>
          <w:w w:val="97"/>
        </w:rPr>
        <w:t> </w:t>
      </w:r>
      <w:r>
        <w:rPr>
          <w:spacing w:val="2"/>
        </w:rPr>
        <w:t>campus, </w:t>
      </w:r>
      <w:r>
        <w:rPr/>
        <w:t>housing state-of-the-art social work skills</w:t>
      </w:r>
      <w:r>
        <w:rPr>
          <w:spacing w:val="-19"/>
        </w:rPr>
        <w:t> </w:t>
      </w:r>
      <w:r>
        <w:rPr/>
        <w:t>labs,</w:t>
      </w:r>
      <w:r>
        <w:rPr>
          <w:spacing w:val="-19"/>
        </w:rPr>
        <w:t> </w:t>
      </w:r>
      <w:r>
        <w:rPr/>
        <w:t>the</w:t>
      </w:r>
      <w:r>
        <w:rPr>
          <w:spacing w:val="-19"/>
        </w:rPr>
        <w:t> </w:t>
      </w:r>
      <w:r>
        <w:rPr/>
        <w:t>largest</w:t>
      </w:r>
      <w:r>
        <w:rPr>
          <w:spacing w:val="-19"/>
        </w:rPr>
        <w:t> </w:t>
      </w:r>
      <w:r>
        <w:rPr>
          <w:spacing w:val="2"/>
        </w:rPr>
        <w:t>art</w:t>
      </w:r>
      <w:r>
        <w:rPr>
          <w:spacing w:val="-19"/>
        </w:rPr>
        <w:t> </w:t>
      </w:r>
      <w:r>
        <w:rPr/>
        <w:t>therapy</w:t>
      </w:r>
      <w:r>
        <w:rPr>
          <w:spacing w:val="-19"/>
        </w:rPr>
        <w:t> </w:t>
      </w:r>
      <w:r>
        <w:rPr/>
        <w:t>space</w:t>
      </w:r>
      <w:r>
        <w:rPr>
          <w:spacing w:val="-19"/>
        </w:rPr>
        <w:t> </w:t>
      </w:r>
      <w:r>
        <w:rPr/>
        <w:t>in</w:t>
      </w:r>
    </w:p>
    <w:p>
      <w:pPr>
        <w:pStyle w:val="BodyText"/>
        <w:spacing w:line="249" w:lineRule="auto"/>
        <w:ind w:left="107" w:right="167"/>
      </w:pPr>
      <w:r>
        <w:rPr/>
        <w:t>the Southern Hemisphere and six interactive psychology testing labs.</w:t>
      </w:r>
    </w:p>
    <w:p>
      <w:pPr>
        <w:pStyle w:val="BodyText"/>
        <w:rPr>
          <w:sz w:val="14"/>
        </w:rPr>
      </w:pPr>
    </w:p>
    <w:p>
      <w:pPr>
        <w:pStyle w:val="BodyText"/>
        <w:spacing w:line="249" w:lineRule="auto"/>
        <w:ind w:left="107" w:right="122"/>
      </w:pPr>
      <w:r>
        <w:rPr/>
        <w:t>The SSAP again received resoundingly positive student feedback through the University’s Student Feedback on Unit (SFU) </w:t>
      </w:r>
      <w:r>
        <w:rPr>
          <w:w w:val="98"/>
        </w:rPr>
        <w:t>process </w:t>
      </w:r>
      <w:r>
        <w:rPr>
          <w:w w:val="98"/>
        </w:rPr>
        <w:t>for </w:t>
      </w:r>
      <w:r>
        <w:rPr>
          <w:w w:val="97"/>
        </w:rPr>
        <w:t>the </w:t>
      </w:r>
      <w:r>
        <w:rPr>
          <w:w w:val="99"/>
        </w:rPr>
        <w:t>Autumn </w:t>
      </w:r>
      <w:r>
        <w:rPr>
          <w:w w:val="90"/>
        </w:rPr>
        <w:t>2016 </w:t>
      </w:r>
      <w:r>
        <w:rPr>
          <w:w w:val="92"/>
        </w:rPr>
        <w:t>session, </w:t>
      </w:r>
      <w:r>
        <w:rPr>
          <w:w w:val="98"/>
        </w:rPr>
        <w:t>with</w:t>
      </w:r>
    </w:p>
    <w:p>
      <w:pPr>
        <w:pStyle w:val="BodyText"/>
        <w:spacing w:line="249" w:lineRule="auto"/>
        <w:ind w:left="107" w:right="112"/>
      </w:pPr>
      <w:r>
        <w:rPr/>
        <w:t>a 35 per cent student response rate and an average</w:t>
      </w:r>
      <w:r>
        <w:rPr>
          <w:spacing w:val="-24"/>
        </w:rPr>
        <w:t> </w:t>
      </w:r>
      <w:r>
        <w:rPr/>
        <w:t>rating</w:t>
      </w:r>
      <w:r>
        <w:rPr>
          <w:spacing w:val="-24"/>
        </w:rPr>
        <w:t> </w:t>
      </w:r>
      <w:r>
        <w:rPr/>
        <w:t>of</w:t>
      </w:r>
      <w:r>
        <w:rPr>
          <w:spacing w:val="-24"/>
        </w:rPr>
        <w:t> </w:t>
      </w:r>
      <w:r>
        <w:rPr/>
        <w:t>‘overall</w:t>
      </w:r>
      <w:r>
        <w:rPr>
          <w:spacing w:val="-24"/>
        </w:rPr>
        <w:t> </w:t>
      </w:r>
      <w:r>
        <w:rPr/>
        <w:t>satisfaction’</w:t>
      </w:r>
      <w:r>
        <w:rPr>
          <w:spacing w:val="-24"/>
        </w:rPr>
        <w:t> </w:t>
      </w:r>
      <w:r>
        <w:rPr/>
        <w:t>(4.16</w:t>
      </w:r>
      <w:r>
        <w:rPr>
          <w:spacing w:val="-24"/>
        </w:rPr>
        <w:t> </w:t>
      </w:r>
      <w:r>
        <w:rPr/>
        <w:t>out of 5, compared to the University average of 4.08). In the vast majority of units, the SSAP has consistently achieved high SFU scores year</w:t>
      </w:r>
      <w:r>
        <w:rPr>
          <w:spacing w:val="-20"/>
        </w:rPr>
        <w:t> </w:t>
      </w:r>
      <w:r>
        <w:rPr/>
        <w:t>after</w:t>
      </w:r>
      <w:r>
        <w:rPr>
          <w:spacing w:val="-20"/>
        </w:rPr>
        <w:t> </w:t>
      </w:r>
      <w:r>
        <w:rPr/>
        <w:t>year,</w:t>
      </w:r>
      <w:r>
        <w:rPr>
          <w:spacing w:val="-20"/>
        </w:rPr>
        <w:t> </w:t>
      </w:r>
      <w:r>
        <w:rPr/>
        <w:t>demonstrating</w:t>
      </w:r>
      <w:r>
        <w:rPr>
          <w:spacing w:val="-20"/>
        </w:rPr>
        <w:t> </w:t>
      </w:r>
      <w:r>
        <w:rPr/>
        <w:t>the</w:t>
      </w:r>
      <w:r>
        <w:rPr>
          <w:spacing w:val="-20"/>
        </w:rPr>
        <w:t> </w:t>
      </w:r>
      <w:r>
        <w:rPr/>
        <w:t>quality</w:t>
      </w:r>
    </w:p>
    <w:p>
      <w:pPr>
        <w:pStyle w:val="BodyText"/>
        <w:spacing w:line="249" w:lineRule="auto"/>
        <w:ind w:left="107" w:right="449"/>
      </w:pPr>
      <w:r>
        <w:rPr/>
        <w:t>of teaching and the commitment of staff members.</w:t>
      </w:r>
    </w:p>
    <w:p>
      <w:pPr>
        <w:spacing w:after="0" w:line="249" w:lineRule="auto"/>
        <w:sectPr>
          <w:type w:val="continuous"/>
          <w:pgSz w:w="11910" w:h="16840"/>
          <w:pgMar w:top="1580" w:bottom="280" w:left="800" w:right="800"/>
          <w:cols w:num="3" w:equalWidth="0">
            <w:col w:w="3317" w:space="122"/>
            <w:col w:w="3317" w:space="123"/>
            <w:col w:w="3431"/>
          </w:cols>
        </w:sectPr>
      </w:pPr>
    </w:p>
    <w:p>
      <w:pPr>
        <w:pStyle w:val="BodyText"/>
        <w:spacing w:before="9"/>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52"/>
          <w:pgSz w:w="11910" w:h="16840"/>
          <w:pgMar w:footer="472" w:header="496" w:top="680" w:bottom="660" w:left="800" w:right="800"/>
          <w:pgNumType w:start="42"/>
        </w:sectPr>
      </w:pPr>
    </w:p>
    <w:p>
      <w:pPr>
        <w:pStyle w:val="BodyText"/>
        <w:spacing w:before="11"/>
        <w:rPr>
          <w:rFonts w:ascii="Chronicle Text G1"/>
          <w:b w:val="0"/>
        </w:rPr>
      </w:pPr>
    </w:p>
    <w:p>
      <w:pPr>
        <w:pStyle w:val="BodyText"/>
        <w:spacing w:line="249" w:lineRule="auto"/>
        <w:ind w:left="107" w:right="-14"/>
      </w:pPr>
      <w:r>
        <w:rPr/>
        <w:t>The SSAP again delivered HSC Enrichment Days for students studying Geography, and Society and Culture, which attracted more </w:t>
      </w:r>
      <w:r>
        <w:rPr>
          <w:w w:val="97"/>
        </w:rPr>
        <w:t>than </w:t>
      </w:r>
      <w:r>
        <w:rPr>
          <w:w w:val="86"/>
        </w:rPr>
        <w:t>120 </w:t>
      </w:r>
      <w:r>
        <w:rPr>
          <w:w w:val="97"/>
        </w:rPr>
        <w:t>students </w:t>
      </w:r>
      <w:r>
        <w:rPr>
          <w:w w:val="98"/>
        </w:rPr>
        <w:t>from </w:t>
      </w:r>
      <w:r>
        <w:rPr>
          <w:w w:val="77"/>
        </w:rPr>
        <w:t>19 </w:t>
      </w:r>
      <w:r>
        <w:rPr>
          <w:w w:val="97"/>
        </w:rPr>
        <w:t>high </w:t>
      </w:r>
      <w:r>
        <w:rPr>
          <w:w w:val="97"/>
        </w:rPr>
        <w:t>schools </w:t>
      </w:r>
      <w:r>
        <w:rPr>
          <w:w w:val="97"/>
        </w:rPr>
        <w:t>across </w:t>
      </w:r>
      <w:r>
        <w:rPr/>
        <w:t>NSW. The School made 63 unconditional </w:t>
      </w:r>
      <w:r>
        <w:rPr>
          <w:w w:val="97"/>
        </w:rPr>
        <w:t>offers </w:t>
      </w:r>
      <w:r>
        <w:rPr>
          <w:w w:val="98"/>
        </w:rPr>
        <w:t>for </w:t>
      </w:r>
      <w:r>
        <w:rPr>
          <w:w w:val="87"/>
        </w:rPr>
        <w:t>2017 </w:t>
      </w:r>
      <w:r>
        <w:rPr>
          <w:w w:val="97"/>
        </w:rPr>
        <w:t>admission </w:t>
      </w:r>
      <w:r>
        <w:rPr>
          <w:w w:val="98"/>
        </w:rPr>
        <w:t>into </w:t>
      </w:r>
      <w:r>
        <w:rPr>
          <w:w w:val="98"/>
        </w:rPr>
        <w:t>selected </w:t>
      </w:r>
      <w:r>
        <w:rPr>
          <w:w w:val="97"/>
        </w:rPr>
        <w:t>courses </w:t>
      </w:r>
      <w:r>
        <w:rPr/>
        <w:t>after applicants sat an invigilated exam.</w:t>
      </w:r>
    </w:p>
    <w:p>
      <w:pPr>
        <w:pStyle w:val="BodyText"/>
        <w:rPr>
          <w:sz w:val="14"/>
        </w:rPr>
      </w:pPr>
    </w:p>
    <w:p>
      <w:pPr>
        <w:pStyle w:val="BodyText"/>
        <w:spacing w:line="249" w:lineRule="auto"/>
        <w:ind w:left="107" w:right="47"/>
      </w:pPr>
      <w:r>
        <w:rPr/>
        <w:t>The SSAP’s psychology discipline received Australian Psychology Accreditation Council (APAC) accreditation, and the Master of Social Work (Qualifying) received provisional accreditation through the Australian Association of Social Workers (AASW).</w:t>
      </w:r>
    </w:p>
    <w:p>
      <w:pPr>
        <w:pStyle w:val="BodyText"/>
        <w:spacing w:line="249" w:lineRule="auto"/>
        <w:ind w:left="107" w:right="84"/>
      </w:pPr>
      <w:r>
        <w:rPr/>
        <w:t>The SSAP continued coordinating External </w:t>
      </w:r>
      <w:r>
        <w:rPr>
          <w:w w:val="100"/>
        </w:rPr>
        <w:t>Advisory </w:t>
      </w:r>
      <w:r>
        <w:rPr>
          <w:w w:val="98"/>
        </w:rPr>
        <w:t>Committees </w:t>
      </w:r>
      <w:r>
        <w:rPr>
          <w:w w:val="100"/>
        </w:rPr>
        <w:t>(EACs) </w:t>
      </w:r>
      <w:r>
        <w:rPr>
          <w:w w:val="95"/>
        </w:rPr>
        <w:t>in </w:t>
      </w:r>
      <w:r>
        <w:rPr>
          <w:w w:val="90"/>
        </w:rPr>
        <w:t>2016 </w:t>
      </w:r>
      <w:r>
        <w:rPr>
          <w:w w:val="101"/>
        </w:rPr>
        <w:t>to </w:t>
      </w:r>
      <w:r>
        <w:rPr>
          <w:w w:val="98"/>
        </w:rPr>
        <w:t>build </w:t>
      </w:r>
      <w:r>
        <w:rPr/>
        <w:t>closer links with the employer sector and inform course design. EAC meetings were held for undergraduate and postgraduate degrees in psychology, and social work and community welfare.</w:t>
      </w:r>
    </w:p>
    <w:p>
      <w:pPr>
        <w:pStyle w:val="BodyText"/>
        <w:rPr>
          <w:sz w:val="14"/>
        </w:rPr>
      </w:pPr>
    </w:p>
    <w:p>
      <w:pPr>
        <w:pStyle w:val="BodyText"/>
        <w:spacing w:line="249" w:lineRule="auto"/>
        <w:ind w:left="107" w:right="186"/>
      </w:pPr>
      <w:r>
        <w:rPr/>
        <w:t>The SSAP’s performance in learning and teaching was also recognised through the Australian Awards for University Teaching, with Professor Craig Gonsalvez receiving a 2016</w:t>
      </w:r>
      <w:r>
        <w:rPr>
          <w:spacing w:val="-17"/>
        </w:rPr>
        <w:t> </w:t>
      </w:r>
      <w:r>
        <w:rPr/>
        <w:t>Citation</w:t>
      </w:r>
      <w:r>
        <w:rPr>
          <w:spacing w:val="-17"/>
        </w:rPr>
        <w:t> </w:t>
      </w:r>
      <w:r>
        <w:rPr/>
        <w:t>for</w:t>
      </w:r>
      <w:r>
        <w:rPr>
          <w:spacing w:val="-17"/>
        </w:rPr>
        <w:t> </w:t>
      </w:r>
      <w:r>
        <w:rPr/>
        <w:t>Outstanding</w:t>
      </w:r>
      <w:r>
        <w:rPr>
          <w:spacing w:val="-17"/>
        </w:rPr>
        <w:t> </w:t>
      </w:r>
      <w:r>
        <w:rPr/>
        <w:t>Contributions to</w:t>
      </w:r>
      <w:r>
        <w:rPr>
          <w:spacing w:val="-18"/>
        </w:rPr>
        <w:t> </w:t>
      </w:r>
      <w:r>
        <w:rPr/>
        <w:t>Student</w:t>
      </w:r>
      <w:r>
        <w:rPr>
          <w:spacing w:val="-18"/>
        </w:rPr>
        <w:t> </w:t>
      </w:r>
      <w:r>
        <w:rPr/>
        <w:t>Learning.</w:t>
      </w:r>
      <w:r>
        <w:rPr>
          <w:spacing w:val="-18"/>
        </w:rPr>
        <w:t> </w:t>
      </w:r>
      <w:r>
        <w:rPr/>
        <w:t>Dr</w:t>
      </w:r>
      <w:r>
        <w:rPr>
          <w:spacing w:val="-18"/>
        </w:rPr>
        <w:t> </w:t>
      </w:r>
      <w:r>
        <w:rPr/>
        <w:t>Tim</w:t>
      </w:r>
      <w:r>
        <w:rPr>
          <w:spacing w:val="-18"/>
        </w:rPr>
        <w:t> </w:t>
      </w:r>
      <w:r>
        <w:rPr/>
        <w:t>Griffin</w:t>
      </w:r>
      <w:r>
        <w:rPr>
          <w:spacing w:val="-18"/>
        </w:rPr>
        <w:t> </w:t>
      </w:r>
      <w:r>
        <w:rPr/>
        <w:t>received a Citation for Outstanding Contributions to Student Learning in the Western Sydney University</w:t>
      </w:r>
      <w:r>
        <w:rPr>
          <w:spacing w:val="-22"/>
        </w:rPr>
        <w:t> </w:t>
      </w:r>
      <w:r>
        <w:rPr/>
        <w:t>Learning</w:t>
      </w:r>
      <w:r>
        <w:rPr>
          <w:spacing w:val="-22"/>
        </w:rPr>
        <w:t> </w:t>
      </w:r>
      <w:r>
        <w:rPr/>
        <w:t>and</w:t>
      </w:r>
      <w:r>
        <w:rPr>
          <w:spacing w:val="-22"/>
        </w:rPr>
        <w:t> </w:t>
      </w:r>
      <w:r>
        <w:rPr/>
        <w:t>Teaching</w:t>
      </w:r>
      <w:r>
        <w:rPr>
          <w:spacing w:val="-22"/>
        </w:rPr>
        <w:t> </w:t>
      </w:r>
      <w:r>
        <w:rPr/>
        <w:t>Awards.</w:t>
      </w:r>
    </w:p>
    <w:p>
      <w:pPr>
        <w:pStyle w:val="BodyText"/>
        <w:spacing w:before="3"/>
        <w:rPr>
          <w:sz w:val="19"/>
        </w:rPr>
      </w:pPr>
    </w:p>
    <w:p>
      <w:pPr>
        <w:pStyle w:val="Heading7"/>
        <w:ind w:right="0"/>
      </w:pPr>
      <w:r>
        <w:rPr>
          <w:w w:val="95"/>
        </w:rPr>
        <w:t>INTERNATIONAL  AND ENGAGEMENT</w:t>
      </w:r>
    </w:p>
    <w:p>
      <w:pPr>
        <w:pStyle w:val="BodyText"/>
        <w:spacing w:line="249" w:lineRule="auto" w:before="58"/>
        <w:ind w:left="107" w:right="196"/>
      </w:pPr>
      <w:r>
        <w:rPr/>
        <w:t>Existing SSAP programs continue to make a unique contribution to the skill set of Western</w:t>
      </w:r>
      <w:r>
        <w:rPr>
          <w:spacing w:val="-18"/>
        </w:rPr>
        <w:t> </w:t>
      </w:r>
      <w:r>
        <w:rPr/>
        <w:t>Sydney</w:t>
      </w:r>
      <w:r>
        <w:rPr>
          <w:spacing w:val="-18"/>
        </w:rPr>
        <w:t> </w:t>
      </w:r>
      <w:r>
        <w:rPr/>
        <w:t>and</w:t>
      </w:r>
      <w:r>
        <w:rPr>
          <w:spacing w:val="-18"/>
        </w:rPr>
        <w:t> </w:t>
      </w:r>
      <w:r>
        <w:rPr/>
        <w:t>NSW,</w:t>
      </w:r>
      <w:r>
        <w:rPr>
          <w:spacing w:val="-18"/>
        </w:rPr>
        <w:t> </w:t>
      </w:r>
      <w:r>
        <w:rPr/>
        <w:t>especially</w:t>
      </w:r>
      <w:r>
        <w:rPr>
          <w:spacing w:val="-18"/>
        </w:rPr>
        <w:t> </w:t>
      </w:r>
      <w:r>
        <w:rPr/>
        <w:t>in</w:t>
      </w:r>
      <w:r>
        <w:rPr>
          <w:spacing w:val="-18"/>
        </w:rPr>
        <w:t> </w:t>
      </w:r>
      <w:r>
        <w:rPr/>
        <w:t>the</w:t>
      </w:r>
    </w:p>
    <w:p>
      <w:pPr>
        <w:pStyle w:val="BodyText"/>
        <w:spacing w:line="249" w:lineRule="auto"/>
        <w:ind w:left="107" w:right="54"/>
      </w:pPr>
      <w:r>
        <w:rPr/>
        <w:t>‘helping’</w:t>
      </w:r>
      <w:r>
        <w:rPr>
          <w:spacing w:val="-19"/>
        </w:rPr>
        <w:t> </w:t>
      </w:r>
      <w:r>
        <w:rPr/>
        <w:t>professions.</w:t>
      </w:r>
      <w:r>
        <w:rPr>
          <w:spacing w:val="-19"/>
        </w:rPr>
        <w:t> </w:t>
      </w:r>
      <w:r>
        <w:rPr/>
        <w:t>These</w:t>
      </w:r>
      <w:r>
        <w:rPr>
          <w:spacing w:val="-19"/>
        </w:rPr>
        <w:t> </w:t>
      </w:r>
      <w:r>
        <w:rPr/>
        <w:t>programs</w:t>
      </w:r>
      <w:r>
        <w:rPr>
          <w:spacing w:val="-19"/>
        </w:rPr>
        <w:t> </w:t>
      </w:r>
      <w:r>
        <w:rPr/>
        <w:t>include the Master of </w:t>
      </w:r>
      <w:r>
        <w:rPr>
          <w:spacing w:val="2"/>
        </w:rPr>
        <w:t>Art </w:t>
      </w:r>
      <w:r>
        <w:rPr/>
        <w:t>Therapy, the Graduate Diploma</w:t>
      </w:r>
      <w:r>
        <w:rPr>
          <w:spacing w:val="-19"/>
        </w:rPr>
        <w:t> </w:t>
      </w:r>
      <w:r>
        <w:rPr/>
        <w:t>in</w:t>
      </w:r>
      <w:r>
        <w:rPr>
          <w:spacing w:val="-19"/>
        </w:rPr>
        <w:t> </w:t>
      </w:r>
      <w:r>
        <w:rPr/>
        <w:t>Counselling,</w:t>
      </w:r>
      <w:r>
        <w:rPr>
          <w:spacing w:val="-19"/>
        </w:rPr>
        <w:t> </w:t>
      </w:r>
      <w:r>
        <w:rPr/>
        <w:t>the</w:t>
      </w:r>
      <w:r>
        <w:rPr>
          <w:spacing w:val="-19"/>
        </w:rPr>
        <w:t> </w:t>
      </w:r>
      <w:r>
        <w:rPr/>
        <w:t>Master</w:t>
      </w:r>
      <w:r>
        <w:rPr>
          <w:spacing w:val="-19"/>
        </w:rPr>
        <w:t> </w:t>
      </w:r>
      <w:r>
        <w:rPr/>
        <w:t>of</w:t>
      </w:r>
    </w:p>
    <w:p>
      <w:pPr>
        <w:pStyle w:val="BodyText"/>
        <w:spacing w:line="249" w:lineRule="auto"/>
        <w:ind w:left="107" w:right="-13"/>
      </w:pPr>
      <w:r>
        <w:rPr/>
        <w:t>Clinical Psychology, and the Master of Urban Management and Planning. These programs contribute to the public good and incorporate strong regional engagement through student placements.</w:t>
      </w:r>
    </w:p>
    <w:p>
      <w:pPr>
        <w:pStyle w:val="BodyText"/>
        <w:spacing w:before="3"/>
        <w:rPr>
          <w:sz w:val="19"/>
        </w:rPr>
      </w:pPr>
    </w:p>
    <w:p>
      <w:pPr>
        <w:pStyle w:val="Heading7"/>
        <w:ind w:right="0"/>
      </w:pPr>
      <w:r>
        <w:rPr>
          <w:w w:val="95"/>
        </w:rPr>
        <w:t>PSYCHOLOGY CLINIC</w:t>
      </w:r>
    </w:p>
    <w:p>
      <w:pPr>
        <w:pStyle w:val="BodyText"/>
        <w:spacing w:line="249" w:lineRule="auto" w:before="58"/>
        <w:ind w:left="107" w:right="25"/>
        <w:jc w:val="both"/>
      </w:pPr>
      <w:r>
        <w:rPr/>
        <w:t>The</w:t>
      </w:r>
      <w:r>
        <w:rPr>
          <w:spacing w:val="-15"/>
        </w:rPr>
        <w:t> </w:t>
      </w:r>
      <w:r>
        <w:rPr/>
        <w:t>Psychology</w:t>
      </w:r>
      <w:r>
        <w:rPr>
          <w:spacing w:val="-15"/>
        </w:rPr>
        <w:t> </w:t>
      </w:r>
      <w:r>
        <w:rPr/>
        <w:t>Clinic</w:t>
      </w:r>
      <w:r>
        <w:rPr>
          <w:spacing w:val="-15"/>
        </w:rPr>
        <w:t> </w:t>
      </w:r>
      <w:r>
        <w:rPr/>
        <w:t>that</w:t>
      </w:r>
      <w:r>
        <w:rPr>
          <w:spacing w:val="-15"/>
        </w:rPr>
        <w:t> </w:t>
      </w:r>
      <w:r>
        <w:rPr/>
        <w:t>serves</w:t>
      </w:r>
      <w:r>
        <w:rPr>
          <w:spacing w:val="-15"/>
        </w:rPr>
        <w:t> </w:t>
      </w:r>
      <w:r>
        <w:rPr/>
        <w:t>as</w:t>
      </w:r>
      <w:r>
        <w:rPr>
          <w:spacing w:val="-15"/>
        </w:rPr>
        <w:t> </w:t>
      </w:r>
      <w:r>
        <w:rPr/>
        <w:t>a</w:t>
      </w:r>
      <w:r>
        <w:rPr>
          <w:spacing w:val="-15"/>
        </w:rPr>
        <w:t> </w:t>
      </w:r>
      <w:r>
        <w:rPr/>
        <w:t>training facility for postgraduate psychology students relocated</w:t>
      </w:r>
      <w:r>
        <w:rPr>
          <w:spacing w:val="-18"/>
        </w:rPr>
        <w:t> </w:t>
      </w:r>
      <w:r>
        <w:rPr/>
        <w:t>from</w:t>
      </w:r>
      <w:r>
        <w:rPr>
          <w:spacing w:val="-18"/>
        </w:rPr>
        <w:t> </w:t>
      </w:r>
      <w:r>
        <w:rPr/>
        <w:t>Narellan</w:t>
      </w:r>
      <w:r>
        <w:rPr>
          <w:spacing w:val="-18"/>
        </w:rPr>
        <w:t> </w:t>
      </w:r>
      <w:r>
        <w:rPr/>
        <w:t>to</w:t>
      </w:r>
      <w:r>
        <w:rPr>
          <w:spacing w:val="-18"/>
        </w:rPr>
        <w:t> </w:t>
      </w:r>
      <w:r>
        <w:rPr/>
        <w:t>Werrington</w:t>
      </w:r>
      <w:r>
        <w:rPr>
          <w:spacing w:val="-18"/>
        </w:rPr>
        <w:t> </w:t>
      </w:r>
      <w:r>
        <w:rPr/>
        <w:t>South.</w:t>
      </w:r>
    </w:p>
    <w:p>
      <w:pPr>
        <w:pStyle w:val="BodyText"/>
        <w:spacing w:line="249" w:lineRule="auto"/>
        <w:ind w:left="107" w:right="69"/>
      </w:pPr>
      <w:r>
        <w:rPr/>
        <w:t>The</w:t>
      </w:r>
      <w:r>
        <w:rPr>
          <w:spacing w:val="-12"/>
        </w:rPr>
        <w:t> </w:t>
      </w:r>
      <w:r>
        <w:rPr/>
        <w:t>move</w:t>
      </w:r>
      <w:r>
        <w:rPr>
          <w:spacing w:val="-12"/>
        </w:rPr>
        <w:t> </w:t>
      </w:r>
      <w:r>
        <w:rPr/>
        <w:t>has</w:t>
      </w:r>
      <w:r>
        <w:rPr>
          <w:spacing w:val="-12"/>
        </w:rPr>
        <w:t> </w:t>
      </w:r>
      <w:r>
        <w:rPr/>
        <w:t>enabled</w:t>
      </w:r>
      <w:r>
        <w:rPr>
          <w:spacing w:val="-12"/>
        </w:rPr>
        <w:t> </w:t>
      </w:r>
      <w:r>
        <w:rPr/>
        <w:t>the</w:t>
      </w:r>
      <w:r>
        <w:rPr>
          <w:spacing w:val="-12"/>
        </w:rPr>
        <w:t> </w:t>
      </w:r>
      <w:r>
        <w:rPr/>
        <w:t>facility</w:t>
      </w:r>
      <w:r>
        <w:rPr>
          <w:spacing w:val="-12"/>
        </w:rPr>
        <w:t> </w:t>
      </w:r>
      <w:r>
        <w:rPr/>
        <w:t>to</w:t>
      </w:r>
      <w:r>
        <w:rPr>
          <w:spacing w:val="-12"/>
        </w:rPr>
        <w:t> </w:t>
      </w:r>
      <w:r>
        <w:rPr/>
        <w:t>provide a wider range of affordable psychological services to the community, transition from a training</w:t>
      </w:r>
      <w:r>
        <w:rPr>
          <w:spacing w:val="-19"/>
        </w:rPr>
        <w:t> </w:t>
      </w:r>
      <w:r>
        <w:rPr/>
        <w:t>clinic</w:t>
      </w:r>
      <w:r>
        <w:rPr>
          <w:spacing w:val="-19"/>
        </w:rPr>
        <w:t> </w:t>
      </w:r>
      <w:r>
        <w:rPr/>
        <w:t>to</w:t>
      </w:r>
      <w:r>
        <w:rPr>
          <w:spacing w:val="-19"/>
        </w:rPr>
        <w:t> </w:t>
      </w:r>
      <w:r>
        <w:rPr/>
        <w:t>a</w:t>
      </w:r>
      <w:r>
        <w:rPr>
          <w:spacing w:val="-19"/>
        </w:rPr>
        <w:t> </w:t>
      </w:r>
      <w:r>
        <w:rPr/>
        <w:t>training</w:t>
      </w:r>
      <w:r>
        <w:rPr>
          <w:spacing w:val="-19"/>
        </w:rPr>
        <w:t> </w:t>
      </w:r>
      <w:r>
        <w:rPr/>
        <w:t>and</w:t>
      </w:r>
      <w:r>
        <w:rPr>
          <w:spacing w:val="-19"/>
        </w:rPr>
        <w:t> </w:t>
      </w:r>
      <w:r>
        <w:rPr/>
        <w:t>research</w:t>
      </w:r>
      <w:r>
        <w:rPr>
          <w:spacing w:val="-19"/>
        </w:rPr>
        <w:t> </w:t>
      </w:r>
      <w:r>
        <w:rPr/>
        <w:t>clinic, and</w:t>
      </w:r>
      <w:r>
        <w:rPr>
          <w:spacing w:val="-15"/>
        </w:rPr>
        <w:t> </w:t>
      </w:r>
      <w:r>
        <w:rPr/>
        <w:t>establish</w:t>
      </w:r>
      <w:r>
        <w:rPr>
          <w:spacing w:val="-15"/>
        </w:rPr>
        <w:t> </w:t>
      </w:r>
      <w:r>
        <w:rPr/>
        <w:t>additional</w:t>
      </w:r>
      <w:r>
        <w:rPr>
          <w:spacing w:val="-15"/>
        </w:rPr>
        <w:t> </w:t>
      </w:r>
      <w:r>
        <w:rPr/>
        <w:t>specialist</w:t>
      </w:r>
      <w:r>
        <w:rPr>
          <w:spacing w:val="-15"/>
        </w:rPr>
        <w:t> </w:t>
      </w:r>
      <w:r>
        <w:rPr/>
        <w:t>clinics</w:t>
      </w:r>
      <w:r>
        <w:rPr>
          <w:spacing w:val="-15"/>
        </w:rPr>
        <w:t> </w:t>
      </w:r>
      <w:r>
        <w:rPr/>
        <w:t>that</w:t>
      </w:r>
    </w:p>
    <w:p>
      <w:pPr>
        <w:pStyle w:val="BodyText"/>
        <w:spacing w:before="9"/>
      </w:pPr>
      <w:r>
        <w:rPr/>
        <w:br w:type="column"/>
      </w:r>
      <w:r>
        <w:rPr/>
      </w:r>
    </w:p>
    <w:p>
      <w:pPr>
        <w:pStyle w:val="BodyText"/>
        <w:spacing w:line="249" w:lineRule="auto" w:before="1"/>
        <w:ind w:left="107" w:right="160"/>
      </w:pPr>
      <w:r>
        <w:rPr/>
        <w:t>blend high-quality psychological services with</w:t>
      </w:r>
      <w:r>
        <w:rPr>
          <w:spacing w:val="-22"/>
        </w:rPr>
        <w:t> </w:t>
      </w:r>
      <w:r>
        <w:rPr/>
        <w:t>excellence</w:t>
      </w:r>
      <w:r>
        <w:rPr>
          <w:spacing w:val="-22"/>
        </w:rPr>
        <w:t> </w:t>
      </w:r>
      <w:r>
        <w:rPr/>
        <w:t>in</w:t>
      </w:r>
      <w:r>
        <w:rPr>
          <w:spacing w:val="-22"/>
        </w:rPr>
        <w:t> </w:t>
      </w:r>
      <w:r>
        <w:rPr/>
        <w:t>training</w:t>
      </w:r>
      <w:r>
        <w:rPr>
          <w:spacing w:val="-22"/>
        </w:rPr>
        <w:t> </w:t>
      </w:r>
      <w:r>
        <w:rPr/>
        <w:t>and</w:t>
      </w:r>
      <w:r>
        <w:rPr>
          <w:spacing w:val="-22"/>
        </w:rPr>
        <w:t> </w:t>
      </w:r>
      <w:r>
        <w:rPr/>
        <w:t>research.</w:t>
      </w:r>
      <w:r>
        <w:rPr>
          <w:spacing w:val="-22"/>
        </w:rPr>
        <w:t> </w:t>
      </w:r>
      <w:r>
        <w:rPr/>
        <w:t>The first specialised clinic, the Eating Disorders and</w:t>
      </w:r>
      <w:r>
        <w:rPr>
          <w:spacing w:val="-14"/>
        </w:rPr>
        <w:t> </w:t>
      </w:r>
      <w:r>
        <w:rPr/>
        <w:t>Obesity</w:t>
      </w:r>
      <w:r>
        <w:rPr>
          <w:spacing w:val="-14"/>
        </w:rPr>
        <w:t> </w:t>
      </w:r>
      <w:r>
        <w:rPr/>
        <w:t>Clinic,</w:t>
      </w:r>
      <w:r>
        <w:rPr>
          <w:spacing w:val="-14"/>
        </w:rPr>
        <w:t> </w:t>
      </w:r>
      <w:r>
        <w:rPr/>
        <w:t>started</w:t>
      </w:r>
      <w:r>
        <w:rPr>
          <w:spacing w:val="-14"/>
        </w:rPr>
        <w:t> </w:t>
      </w:r>
      <w:r>
        <w:rPr/>
        <w:t>seeing</w:t>
      </w:r>
      <w:r>
        <w:rPr>
          <w:spacing w:val="-14"/>
        </w:rPr>
        <w:t> </w:t>
      </w:r>
      <w:r>
        <w:rPr/>
        <w:t>clients</w:t>
      </w:r>
    </w:p>
    <w:p>
      <w:pPr>
        <w:pStyle w:val="BodyText"/>
        <w:spacing w:line="249" w:lineRule="auto"/>
        <w:ind w:left="107" w:right="-2"/>
      </w:pPr>
      <w:r>
        <w:rPr>
          <w:w w:val="95"/>
        </w:rPr>
        <w:t>in </w:t>
      </w:r>
      <w:r>
        <w:rPr>
          <w:spacing w:val="1"/>
          <w:w w:val="98"/>
        </w:rPr>
        <w:t>September</w:t>
      </w:r>
      <w:r>
        <w:rPr>
          <w:w w:val="98"/>
        </w:rPr>
        <w:t> </w:t>
      </w:r>
      <w:r>
        <w:rPr>
          <w:spacing w:val="2"/>
          <w:w w:val="85"/>
        </w:rPr>
        <w:t>2016.</w:t>
      </w:r>
      <w:r>
        <w:rPr>
          <w:w w:val="85"/>
        </w:rPr>
        <w:t> </w:t>
      </w:r>
      <w:r>
        <w:rPr>
          <w:spacing w:val="1"/>
          <w:w w:val="94"/>
        </w:rPr>
        <w:t>The</w:t>
      </w:r>
      <w:r>
        <w:rPr>
          <w:w w:val="94"/>
        </w:rPr>
        <w:t> </w:t>
      </w:r>
      <w:r>
        <w:rPr>
          <w:spacing w:val="1"/>
          <w:w w:val="100"/>
        </w:rPr>
        <w:t>Psychology</w:t>
      </w:r>
      <w:r>
        <w:rPr>
          <w:w w:val="100"/>
        </w:rPr>
        <w:t> </w:t>
      </w:r>
      <w:r>
        <w:rPr>
          <w:w w:val="97"/>
        </w:rPr>
        <w:t>Clinic </w:t>
      </w:r>
      <w:r>
        <w:rPr>
          <w:spacing w:val="2"/>
        </w:rPr>
        <w:t>engages, </w:t>
      </w:r>
      <w:r>
        <w:rPr/>
        <w:t>educates and collaborates with practitioners</w:t>
      </w:r>
      <w:r>
        <w:rPr>
          <w:spacing w:val="-20"/>
        </w:rPr>
        <w:t> </w:t>
      </w:r>
      <w:r>
        <w:rPr/>
        <w:t>and</w:t>
      </w:r>
      <w:r>
        <w:rPr>
          <w:spacing w:val="-20"/>
        </w:rPr>
        <w:t> </w:t>
      </w:r>
      <w:r>
        <w:rPr/>
        <w:t>researchers</w:t>
      </w:r>
      <w:r>
        <w:rPr>
          <w:spacing w:val="-20"/>
        </w:rPr>
        <w:t> </w:t>
      </w:r>
      <w:r>
        <w:rPr/>
        <w:t>in</w:t>
      </w:r>
      <w:r>
        <w:rPr>
          <w:spacing w:val="-20"/>
        </w:rPr>
        <w:t> </w:t>
      </w:r>
      <w:r>
        <w:rPr/>
        <w:t>the</w:t>
      </w:r>
      <w:r>
        <w:rPr>
          <w:spacing w:val="-20"/>
        </w:rPr>
        <w:t> </w:t>
      </w:r>
      <w:r>
        <w:rPr/>
        <w:t>local</w:t>
      </w:r>
      <w:r>
        <w:rPr>
          <w:spacing w:val="-20"/>
        </w:rPr>
        <w:t> </w:t>
      </w:r>
      <w:r>
        <w:rPr/>
        <w:t>area.</w:t>
      </w:r>
    </w:p>
    <w:p>
      <w:pPr>
        <w:pStyle w:val="BodyText"/>
        <w:spacing w:before="3"/>
        <w:rPr>
          <w:sz w:val="19"/>
        </w:rPr>
      </w:pPr>
    </w:p>
    <w:p>
      <w:pPr>
        <w:pStyle w:val="Heading7"/>
      </w:pPr>
      <w:r>
        <w:rPr>
          <w:w w:val="95"/>
        </w:rPr>
        <w:t>PROFESSIONAL PLACEMENTS</w:t>
      </w:r>
    </w:p>
    <w:p>
      <w:pPr>
        <w:pStyle w:val="BodyText"/>
        <w:spacing w:line="249" w:lineRule="auto" w:before="58"/>
        <w:ind w:left="107" w:right="161"/>
      </w:pPr>
      <w:r>
        <w:rPr>
          <w:spacing w:val="1"/>
          <w:w w:val="80"/>
        </w:rPr>
        <w:t>In</w:t>
      </w:r>
      <w:r>
        <w:rPr>
          <w:w w:val="80"/>
        </w:rPr>
        <w:t> </w:t>
      </w:r>
      <w:r>
        <w:rPr>
          <w:spacing w:val="2"/>
          <w:w w:val="85"/>
        </w:rPr>
        <w:t>2016,</w:t>
      </w:r>
      <w:r>
        <w:rPr>
          <w:w w:val="85"/>
        </w:rPr>
        <w:t> </w:t>
      </w:r>
      <w:r>
        <w:rPr>
          <w:spacing w:val="1"/>
          <w:w w:val="103"/>
        </w:rPr>
        <w:t>SSAP</w:t>
      </w:r>
      <w:r>
        <w:rPr>
          <w:w w:val="103"/>
        </w:rPr>
        <w:t> </w:t>
      </w:r>
      <w:r>
        <w:rPr>
          <w:spacing w:val="1"/>
          <w:w w:val="97"/>
        </w:rPr>
        <w:t>students</w:t>
      </w:r>
      <w:r>
        <w:rPr>
          <w:w w:val="97"/>
        </w:rPr>
        <w:t> </w:t>
      </w:r>
      <w:r>
        <w:rPr>
          <w:spacing w:val="1"/>
          <w:w w:val="98"/>
        </w:rPr>
        <w:t>undertook</w:t>
      </w:r>
      <w:r>
        <w:rPr>
          <w:w w:val="98"/>
        </w:rPr>
        <w:t> </w:t>
      </w:r>
      <w:r>
        <w:rPr>
          <w:w w:val="97"/>
        </w:rPr>
        <w:t>more </w:t>
      </w:r>
      <w:r>
        <w:rPr/>
        <w:t>than </w:t>
      </w:r>
      <w:r>
        <w:rPr>
          <w:spacing w:val="2"/>
        </w:rPr>
        <w:t>380 </w:t>
      </w:r>
      <w:r>
        <w:rPr/>
        <w:t>professional placements across eight disciplines, totalling more than </w:t>
      </w:r>
      <w:r>
        <w:rPr>
          <w:spacing w:val="2"/>
        </w:rPr>
        <w:t>200,000 </w:t>
      </w:r>
      <w:r>
        <w:rPr/>
        <w:t>hours. Five social work students received scholarships for placements with the Department of Family and Community Services in rural NSW. The SSAP has made progress in developing partnerships to support</w:t>
      </w:r>
      <w:r>
        <w:rPr>
          <w:spacing w:val="-11"/>
        </w:rPr>
        <w:t> </w:t>
      </w:r>
      <w:r>
        <w:rPr/>
        <w:t>the</w:t>
      </w:r>
      <w:r>
        <w:rPr>
          <w:spacing w:val="-11"/>
        </w:rPr>
        <w:t> </w:t>
      </w:r>
      <w:r>
        <w:rPr/>
        <w:t>first</w:t>
      </w:r>
      <w:r>
        <w:rPr>
          <w:spacing w:val="-11"/>
        </w:rPr>
        <w:t> </w:t>
      </w:r>
      <w:r>
        <w:rPr/>
        <w:t>cohort</w:t>
      </w:r>
      <w:r>
        <w:rPr>
          <w:spacing w:val="-11"/>
        </w:rPr>
        <w:t> </w:t>
      </w:r>
      <w:r>
        <w:rPr/>
        <w:t>of</w:t>
      </w:r>
      <w:r>
        <w:rPr>
          <w:spacing w:val="-11"/>
        </w:rPr>
        <w:t> </w:t>
      </w:r>
      <w:r>
        <w:rPr/>
        <w:t>students</w:t>
      </w:r>
      <w:r>
        <w:rPr>
          <w:spacing w:val="-11"/>
        </w:rPr>
        <w:t> </w:t>
      </w:r>
      <w:r>
        <w:rPr/>
        <w:t>who</w:t>
      </w:r>
      <w:r>
        <w:rPr>
          <w:spacing w:val="-11"/>
        </w:rPr>
        <w:t> </w:t>
      </w:r>
      <w:r>
        <w:rPr/>
        <w:t>will</w:t>
      </w:r>
    </w:p>
    <w:p>
      <w:pPr>
        <w:pStyle w:val="BodyText"/>
        <w:spacing w:line="249" w:lineRule="auto"/>
        <w:ind w:left="107" w:right="-5"/>
      </w:pPr>
      <w:r>
        <w:rPr/>
        <w:t>complete</w:t>
      </w:r>
      <w:r>
        <w:rPr>
          <w:spacing w:val="-23"/>
        </w:rPr>
        <w:t> </w:t>
      </w:r>
      <w:r>
        <w:rPr/>
        <w:t>the</w:t>
      </w:r>
      <w:r>
        <w:rPr>
          <w:spacing w:val="-23"/>
        </w:rPr>
        <w:t> </w:t>
      </w:r>
      <w:r>
        <w:rPr/>
        <w:t>new</w:t>
      </w:r>
      <w:r>
        <w:rPr>
          <w:spacing w:val="-23"/>
        </w:rPr>
        <w:t> </w:t>
      </w:r>
      <w:r>
        <w:rPr/>
        <w:t>International</w:t>
      </w:r>
      <w:r>
        <w:rPr>
          <w:spacing w:val="-23"/>
        </w:rPr>
        <w:t> </w:t>
      </w:r>
      <w:r>
        <w:rPr/>
        <w:t>Placement</w:t>
      </w:r>
      <w:r>
        <w:rPr>
          <w:spacing w:val="-23"/>
        </w:rPr>
        <w:t> </w:t>
      </w:r>
      <w:r>
        <w:rPr/>
        <w:t>unit </w:t>
      </w:r>
      <w:r>
        <w:rPr>
          <w:w w:val="95"/>
        </w:rPr>
        <w:t>in </w:t>
      </w:r>
      <w:r>
        <w:rPr>
          <w:spacing w:val="-2"/>
          <w:w w:val="83"/>
        </w:rPr>
        <w:t>2017.</w:t>
      </w:r>
      <w:r>
        <w:rPr>
          <w:w w:val="83"/>
        </w:rPr>
        <w:t> </w:t>
      </w:r>
      <w:r>
        <w:rPr>
          <w:spacing w:val="1"/>
          <w:w w:val="94"/>
        </w:rPr>
        <w:t>The</w:t>
      </w:r>
      <w:r>
        <w:rPr>
          <w:w w:val="94"/>
        </w:rPr>
        <w:t> </w:t>
      </w:r>
      <w:r>
        <w:rPr>
          <w:spacing w:val="1"/>
          <w:w w:val="97"/>
        </w:rPr>
        <w:t>number</w:t>
      </w:r>
      <w:r>
        <w:rPr>
          <w:w w:val="97"/>
        </w:rPr>
        <w:t> </w:t>
      </w:r>
      <w:r>
        <w:rPr>
          <w:w w:val="99"/>
        </w:rPr>
        <w:t>of </w:t>
      </w:r>
      <w:r>
        <w:rPr>
          <w:spacing w:val="1"/>
          <w:w w:val="97"/>
        </w:rPr>
        <w:t>students</w:t>
      </w:r>
      <w:r>
        <w:rPr>
          <w:w w:val="97"/>
        </w:rPr>
        <w:t> </w:t>
      </w:r>
      <w:r>
        <w:rPr>
          <w:spacing w:val="1"/>
          <w:w w:val="99"/>
        </w:rPr>
        <w:t>completing</w:t>
      </w:r>
      <w:r>
        <w:rPr>
          <w:w w:val="99"/>
        </w:rPr>
        <w:t> </w:t>
      </w:r>
      <w:r>
        <w:rPr/>
        <w:t>placements</w:t>
      </w:r>
      <w:r>
        <w:rPr>
          <w:spacing w:val="-16"/>
        </w:rPr>
        <w:t> </w:t>
      </w:r>
      <w:r>
        <w:rPr/>
        <w:t>is</w:t>
      </w:r>
      <w:r>
        <w:rPr>
          <w:spacing w:val="-16"/>
        </w:rPr>
        <w:t> </w:t>
      </w:r>
      <w:r>
        <w:rPr/>
        <w:t>expected</w:t>
      </w:r>
      <w:r>
        <w:rPr>
          <w:spacing w:val="-16"/>
        </w:rPr>
        <w:t> </w:t>
      </w:r>
      <w:r>
        <w:rPr/>
        <w:t>to</w:t>
      </w:r>
      <w:r>
        <w:rPr>
          <w:spacing w:val="-16"/>
        </w:rPr>
        <w:t> </w:t>
      </w:r>
      <w:r>
        <w:rPr/>
        <w:t>increase</w:t>
      </w:r>
      <w:r>
        <w:rPr>
          <w:spacing w:val="-16"/>
        </w:rPr>
        <w:t> </w:t>
      </w:r>
      <w:r>
        <w:rPr/>
        <w:t>across</w:t>
      </w:r>
    </w:p>
    <w:p>
      <w:pPr>
        <w:pStyle w:val="BodyText"/>
        <w:spacing w:line="249" w:lineRule="auto"/>
        <w:ind w:left="107" w:right="104"/>
      </w:pPr>
      <w:r>
        <w:rPr>
          <w:w w:val="95"/>
        </w:rPr>
        <w:t>all </w:t>
      </w:r>
      <w:r>
        <w:rPr>
          <w:w w:val="97"/>
        </w:rPr>
        <w:t>disciplines </w:t>
      </w:r>
      <w:r>
        <w:rPr>
          <w:w w:val="95"/>
        </w:rPr>
        <w:t>in </w:t>
      </w:r>
      <w:r>
        <w:rPr>
          <w:w w:val="83"/>
        </w:rPr>
        <w:t>2017, </w:t>
      </w:r>
      <w:r>
        <w:rPr>
          <w:w w:val="97"/>
        </w:rPr>
        <w:t>and </w:t>
      </w:r>
      <w:r>
        <w:rPr>
          <w:w w:val="97"/>
        </w:rPr>
        <w:t>the </w:t>
      </w:r>
      <w:r>
        <w:rPr>
          <w:w w:val="98"/>
        </w:rPr>
        <w:t>School’s </w:t>
      </w:r>
      <w:r>
        <w:rPr>
          <w:w w:val="98"/>
        </w:rPr>
        <w:t>work </w:t>
      </w:r>
      <w:r>
        <w:rPr/>
        <w:t>in building key relationships across Western</w:t>
      </w:r>
    </w:p>
    <w:p>
      <w:pPr>
        <w:pStyle w:val="BodyText"/>
        <w:spacing w:line="249" w:lineRule="auto"/>
        <w:ind w:left="107" w:right="2"/>
        <w:jc w:val="both"/>
      </w:pPr>
      <w:r>
        <w:rPr/>
        <w:t>Sydney</w:t>
      </w:r>
      <w:r>
        <w:rPr>
          <w:spacing w:val="-14"/>
        </w:rPr>
        <w:t> </w:t>
      </w:r>
      <w:r>
        <w:rPr/>
        <w:t>will</w:t>
      </w:r>
      <w:r>
        <w:rPr>
          <w:spacing w:val="-14"/>
        </w:rPr>
        <w:t> </w:t>
      </w:r>
      <w:r>
        <w:rPr/>
        <w:t>be</w:t>
      </w:r>
      <w:r>
        <w:rPr>
          <w:spacing w:val="-14"/>
        </w:rPr>
        <w:t> </w:t>
      </w:r>
      <w:r>
        <w:rPr/>
        <w:t>an</w:t>
      </w:r>
      <w:r>
        <w:rPr>
          <w:spacing w:val="-14"/>
        </w:rPr>
        <w:t> </w:t>
      </w:r>
      <w:r>
        <w:rPr/>
        <w:t>important</w:t>
      </w:r>
      <w:r>
        <w:rPr>
          <w:spacing w:val="-14"/>
        </w:rPr>
        <w:t> </w:t>
      </w:r>
      <w:r>
        <w:rPr/>
        <w:t>factor</w:t>
      </w:r>
      <w:r>
        <w:rPr>
          <w:spacing w:val="-14"/>
        </w:rPr>
        <w:t> </w:t>
      </w:r>
      <w:r>
        <w:rPr/>
        <w:t>in</w:t>
      </w:r>
      <w:r>
        <w:rPr>
          <w:spacing w:val="-14"/>
        </w:rPr>
        <w:t> </w:t>
      </w:r>
      <w:r>
        <w:rPr/>
        <w:t>securing those</w:t>
      </w:r>
      <w:r>
        <w:rPr>
          <w:spacing w:val="-14"/>
        </w:rPr>
        <w:t> </w:t>
      </w:r>
      <w:r>
        <w:rPr/>
        <w:t>placements</w:t>
      </w:r>
      <w:r>
        <w:rPr>
          <w:spacing w:val="-14"/>
        </w:rPr>
        <w:t> </w:t>
      </w:r>
      <w:r>
        <w:rPr/>
        <w:t>and</w:t>
      </w:r>
      <w:r>
        <w:rPr>
          <w:spacing w:val="-14"/>
        </w:rPr>
        <w:t> </w:t>
      </w:r>
      <w:r>
        <w:rPr/>
        <w:t>career</w:t>
      </w:r>
      <w:r>
        <w:rPr>
          <w:spacing w:val="-14"/>
        </w:rPr>
        <w:t> </w:t>
      </w:r>
      <w:r>
        <w:rPr/>
        <w:t>opportunities</w:t>
      </w:r>
      <w:r>
        <w:rPr>
          <w:spacing w:val="-14"/>
        </w:rPr>
        <w:t> </w:t>
      </w:r>
      <w:r>
        <w:rPr/>
        <w:t>for our</w:t>
      </w:r>
      <w:r>
        <w:rPr>
          <w:spacing w:val="-33"/>
        </w:rPr>
        <w:t> </w:t>
      </w:r>
      <w:r>
        <w:rPr/>
        <w:t>graduates.</w:t>
      </w:r>
    </w:p>
    <w:p>
      <w:pPr>
        <w:pStyle w:val="BodyText"/>
        <w:spacing w:before="3"/>
        <w:rPr>
          <w:sz w:val="19"/>
        </w:rPr>
      </w:pPr>
    </w:p>
    <w:p>
      <w:pPr>
        <w:pStyle w:val="Heading7"/>
      </w:pPr>
      <w:r>
        <w:rPr>
          <w:w w:val="95"/>
        </w:rPr>
        <w:t>STUDENT ASSOCIATIONS</w:t>
      </w:r>
    </w:p>
    <w:p>
      <w:pPr>
        <w:pStyle w:val="BodyText"/>
        <w:spacing w:line="249" w:lineRule="auto" w:before="58"/>
        <w:ind w:left="107" w:right="19"/>
      </w:pPr>
      <w:r>
        <w:rPr/>
        <w:t>The SSAP’s increased support for and engagement with the student cohort </w:t>
      </w:r>
      <w:r>
        <w:rPr>
          <w:spacing w:val="2"/>
        </w:rPr>
        <w:t>has </w:t>
      </w:r>
      <w:r>
        <w:rPr/>
        <w:t>enabled the expansion of seven student associations: Policing, Criminal and Community Justice; Geography, Urban Studies/Heritage and Tourism; Psychology; Social Sciences (Bankstown); Social Work (Parramatta); Social Work and Community Welfare (Bankstown); and Humanitarian and Development</w:t>
      </w:r>
      <w:r>
        <w:rPr>
          <w:spacing w:val="-17"/>
        </w:rPr>
        <w:t> </w:t>
      </w:r>
      <w:r>
        <w:rPr/>
        <w:t>Studies.</w:t>
      </w:r>
      <w:r>
        <w:rPr>
          <w:spacing w:val="-17"/>
        </w:rPr>
        <w:t> </w:t>
      </w:r>
      <w:r>
        <w:rPr/>
        <w:t>The</w:t>
      </w:r>
      <w:r>
        <w:rPr>
          <w:spacing w:val="-17"/>
        </w:rPr>
        <w:t> </w:t>
      </w:r>
      <w:r>
        <w:rPr/>
        <w:t>Deputy</w:t>
      </w:r>
      <w:r>
        <w:rPr>
          <w:spacing w:val="-17"/>
        </w:rPr>
        <w:t> </w:t>
      </w:r>
      <w:r>
        <w:rPr/>
        <w:t>Dean</w:t>
      </w:r>
      <w:r>
        <w:rPr>
          <w:spacing w:val="-17"/>
        </w:rPr>
        <w:t> </w:t>
      </w:r>
      <w:r>
        <w:rPr/>
        <w:t>hosts regular meetings between representatives of the School Executive and association office- bearers.</w:t>
      </w:r>
      <w:r>
        <w:rPr>
          <w:spacing w:val="-17"/>
        </w:rPr>
        <w:t> </w:t>
      </w:r>
      <w:r>
        <w:rPr/>
        <w:t>Students</w:t>
      </w:r>
      <w:r>
        <w:rPr>
          <w:spacing w:val="-17"/>
        </w:rPr>
        <w:t> </w:t>
      </w:r>
      <w:r>
        <w:rPr/>
        <w:t>were</w:t>
      </w:r>
      <w:r>
        <w:rPr>
          <w:spacing w:val="-17"/>
        </w:rPr>
        <w:t> </w:t>
      </w:r>
      <w:r>
        <w:rPr/>
        <w:t>given</w:t>
      </w:r>
      <w:r>
        <w:rPr>
          <w:spacing w:val="-17"/>
        </w:rPr>
        <w:t> </w:t>
      </w:r>
      <w:r>
        <w:rPr/>
        <w:t>opportunities</w:t>
      </w:r>
      <w:r>
        <w:rPr>
          <w:spacing w:val="-17"/>
        </w:rPr>
        <w:t> </w:t>
      </w:r>
      <w:r>
        <w:rPr/>
        <w:t>to contribute</w:t>
      </w:r>
      <w:r>
        <w:rPr>
          <w:spacing w:val="-14"/>
        </w:rPr>
        <w:t> </w:t>
      </w:r>
      <w:r>
        <w:rPr/>
        <w:t>as</w:t>
      </w:r>
      <w:r>
        <w:rPr>
          <w:spacing w:val="-14"/>
        </w:rPr>
        <w:t> </w:t>
      </w:r>
      <w:r>
        <w:rPr/>
        <w:t>School</w:t>
      </w:r>
      <w:r>
        <w:rPr>
          <w:spacing w:val="-14"/>
        </w:rPr>
        <w:t> </w:t>
      </w:r>
      <w:r>
        <w:rPr/>
        <w:t>committee</w:t>
      </w:r>
      <w:r>
        <w:rPr>
          <w:spacing w:val="-14"/>
        </w:rPr>
        <w:t> </w:t>
      </w:r>
      <w:r>
        <w:rPr/>
        <w:t>members</w:t>
      </w:r>
      <w:r>
        <w:rPr>
          <w:spacing w:val="-14"/>
        </w:rPr>
        <w:t> </w:t>
      </w:r>
      <w:r>
        <w:rPr/>
        <w:t>and in</w:t>
      </w:r>
      <w:r>
        <w:rPr>
          <w:spacing w:val="-14"/>
        </w:rPr>
        <w:t> </w:t>
      </w:r>
      <w:r>
        <w:rPr/>
        <w:t>program</w:t>
      </w:r>
      <w:r>
        <w:rPr>
          <w:spacing w:val="-14"/>
        </w:rPr>
        <w:t> </w:t>
      </w:r>
      <w:r>
        <w:rPr/>
        <w:t>accreditation</w:t>
      </w:r>
      <w:r>
        <w:rPr>
          <w:spacing w:val="-14"/>
        </w:rPr>
        <w:t> </w:t>
      </w:r>
      <w:r>
        <w:rPr/>
        <w:t>processes.</w:t>
      </w:r>
      <w:r>
        <w:rPr>
          <w:spacing w:val="-14"/>
        </w:rPr>
        <w:t> </w:t>
      </w:r>
      <w:r>
        <w:rPr/>
        <w:t>The</w:t>
      </w:r>
      <w:r>
        <w:rPr>
          <w:spacing w:val="-14"/>
        </w:rPr>
        <w:t> </w:t>
      </w:r>
      <w:r>
        <w:rPr/>
        <w:t>SSAP sponsored an innovative, student-led pilot project with the Social Work and Community Welfare</w:t>
      </w:r>
      <w:r>
        <w:rPr>
          <w:spacing w:val="-16"/>
        </w:rPr>
        <w:t> </w:t>
      </w:r>
      <w:r>
        <w:rPr/>
        <w:t>student</w:t>
      </w:r>
      <w:r>
        <w:rPr>
          <w:spacing w:val="-16"/>
        </w:rPr>
        <w:t> </w:t>
      </w:r>
      <w:r>
        <w:rPr/>
        <w:t>association</w:t>
      </w:r>
      <w:r>
        <w:rPr>
          <w:spacing w:val="-16"/>
        </w:rPr>
        <w:t> </w:t>
      </w:r>
      <w:r>
        <w:rPr/>
        <w:t>at</w:t>
      </w:r>
      <w:r>
        <w:rPr>
          <w:spacing w:val="-16"/>
        </w:rPr>
        <w:t> </w:t>
      </w:r>
      <w:r>
        <w:rPr/>
        <w:t>the</w:t>
      </w:r>
      <w:r>
        <w:rPr>
          <w:spacing w:val="-16"/>
        </w:rPr>
        <w:t> </w:t>
      </w:r>
      <w:r>
        <w:rPr/>
        <w:t>Parramatta </w:t>
      </w:r>
      <w:r>
        <w:rPr>
          <w:spacing w:val="2"/>
        </w:rPr>
        <w:t>campus. </w:t>
      </w:r>
      <w:r>
        <w:rPr/>
        <w:t>One of the aims was to foster a professional identity among first-year and second-year</w:t>
      </w:r>
      <w:r>
        <w:rPr>
          <w:spacing w:val="-24"/>
        </w:rPr>
        <w:t> </w:t>
      </w:r>
      <w:r>
        <w:rPr/>
        <w:t>students.</w:t>
      </w:r>
    </w:p>
    <w:p>
      <w:pPr>
        <w:pStyle w:val="BodyText"/>
        <w:spacing w:before="3"/>
        <w:rPr>
          <w:sz w:val="19"/>
        </w:rPr>
      </w:pPr>
    </w:p>
    <w:p>
      <w:pPr>
        <w:pStyle w:val="Heading7"/>
      </w:pPr>
      <w:r>
        <w:rPr>
          <w:w w:val="95"/>
        </w:rPr>
        <w:t>CAREER EXPOS</w:t>
      </w:r>
    </w:p>
    <w:p>
      <w:pPr>
        <w:pStyle w:val="BodyText"/>
        <w:spacing w:line="249" w:lineRule="auto" w:before="58"/>
        <w:ind w:left="107" w:right="270"/>
      </w:pPr>
      <w:r>
        <w:rPr>
          <w:w w:val="80"/>
        </w:rPr>
        <w:t>In </w:t>
      </w:r>
      <w:r>
        <w:rPr>
          <w:w w:val="85"/>
        </w:rPr>
        <w:t>2016, </w:t>
      </w:r>
      <w:r>
        <w:rPr>
          <w:w w:val="97"/>
        </w:rPr>
        <w:t>the </w:t>
      </w:r>
      <w:r>
        <w:rPr>
          <w:w w:val="103"/>
        </w:rPr>
        <w:t>SSAP </w:t>
      </w:r>
      <w:r>
        <w:rPr>
          <w:w w:val="97"/>
        </w:rPr>
        <w:t>delivered </w:t>
      </w:r>
      <w:r>
        <w:rPr>
          <w:w w:val="101"/>
        </w:rPr>
        <w:t>two </w:t>
      </w:r>
      <w:r>
        <w:rPr>
          <w:w w:val="97"/>
        </w:rPr>
        <w:t>successful </w:t>
      </w:r>
      <w:r>
        <w:rPr/>
        <w:t>student-led career expos: one for</w:t>
      </w:r>
    </w:p>
    <w:p>
      <w:pPr>
        <w:pStyle w:val="BodyText"/>
        <w:spacing w:before="9"/>
      </w:pPr>
      <w:r>
        <w:rPr/>
        <w:br w:type="column"/>
      </w:r>
      <w:r>
        <w:rPr/>
      </w:r>
    </w:p>
    <w:p>
      <w:pPr>
        <w:pStyle w:val="BodyText"/>
        <w:spacing w:line="249" w:lineRule="auto"/>
        <w:ind w:left="107" w:right="285"/>
      </w:pPr>
      <w:r>
        <w:rPr/>
        <w:t>psychology students and one for social work and community welfare students. Held in partnership with Western Sydney University</w:t>
      </w:r>
      <w:r>
        <w:rPr>
          <w:spacing w:val="-21"/>
        </w:rPr>
        <w:t> </w:t>
      </w:r>
      <w:r>
        <w:rPr/>
        <w:t>Careers,</w:t>
      </w:r>
      <w:r>
        <w:rPr>
          <w:spacing w:val="-21"/>
        </w:rPr>
        <w:t> </w:t>
      </w:r>
      <w:r>
        <w:rPr/>
        <w:t>these</w:t>
      </w:r>
      <w:r>
        <w:rPr>
          <w:spacing w:val="-21"/>
        </w:rPr>
        <w:t> </w:t>
      </w:r>
      <w:r>
        <w:rPr/>
        <w:t>events</w:t>
      </w:r>
      <w:r>
        <w:rPr>
          <w:spacing w:val="-21"/>
        </w:rPr>
        <w:t> </w:t>
      </w:r>
      <w:r>
        <w:rPr/>
        <w:t>link</w:t>
      </w:r>
      <w:r>
        <w:rPr>
          <w:spacing w:val="-21"/>
        </w:rPr>
        <w:t> </w:t>
      </w:r>
      <w:r>
        <w:rPr/>
        <w:t>current students</w:t>
      </w:r>
      <w:r>
        <w:rPr>
          <w:spacing w:val="-20"/>
        </w:rPr>
        <w:t> </w:t>
      </w:r>
      <w:r>
        <w:rPr/>
        <w:t>with</w:t>
      </w:r>
      <w:r>
        <w:rPr>
          <w:spacing w:val="-20"/>
        </w:rPr>
        <w:t> </w:t>
      </w:r>
      <w:r>
        <w:rPr/>
        <w:t>alumni,</w:t>
      </w:r>
      <w:r>
        <w:rPr>
          <w:spacing w:val="-20"/>
        </w:rPr>
        <w:t> </w:t>
      </w:r>
      <w:r>
        <w:rPr/>
        <w:t>experts</w:t>
      </w:r>
      <w:r>
        <w:rPr>
          <w:spacing w:val="-20"/>
        </w:rPr>
        <w:t> </w:t>
      </w:r>
      <w:r>
        <w:rPr/>
        <w:t>in</w:t>
      </w:r>
      <w:r>
        <w:rPr>
          <w:spacing w:val="-20"/>
        </w:rPr>
        <w:t> </w:t>
      </w:r>
      <w:r>
        <w:rPr/>
        <w:t>the</w:t>
      </w:r>
      <w:r>
        <w:rPr>
          <w:spacing w:val="-20"/>
        </w:rPr>
        <w:t> </w:t>
      </w:r>
      <w:r>
        <w:rPr/>
        <w:t>field,</w:t>
      </w:r>
    </w:p>
    <w:p>
      <w:pPr>
        <w:pStyle w:val="BodyText"/>
        <w:spacing w:line="249" w:lineRule="auto"/>
        <w:ind w:left="107" w:right="138"/>
      </w:pPr>
      <w:r>
        <w:rPr/>
        <w:t>governing bodies, potential future employers and organisations that offer volunteering opportunities.</w:t>
      </w:r>
    </w:p>
    <w:p>
      <w:pPr>
        <w:pStyle w:val="BodyText"/>
        <w:spacing w:before="3"/>
        <w:rPr>
          <w:sz w:val="19"/>
        </w:rPr>
      </w:pPr>
    </w:p>
    <w:p>
      <w:pPr>
        <w:pStyle w:val="Heading7"/>
        <w:spacing w:line="249" w:lineRule="auto"/>
        <w:ind w:right="945"/>
      </w:pPr>
      <w:r>
        <w:rPr/>
        <w:t>PENRITH PERFORMING &amp; </w:t>
      </w:r>
      <w:r>
        <w:rPr>
          <w:w w:val="95"/>
        </w:rPr>
        <w:t>VISUAL ARTS PARTNERSHIP</w:t>
      </w:r>
    </w:p>
    <w:p>
      <w:pPr>
        <w:pStyle w:val="BodyText"/>
        <w:spacing w:line="249" w:lineRule="auto" w:before="50"/>
        <w:ind w:left="107" w:right="179"/>
      </w:pPr>
      <w:r>
        <w:rPr/>
        <w:t>The SSAP developed a new partnership with Penrith Performing &amp; Visual Arts (PP&amp;VA) to help produce cultural events and research projects. Under the new arrangement, the University and the PP&amp;VA will develop innovative artistic programs and community events for the local region and beyond.</w:t>
      </w:r>
    </w:p>
    <w:p>
      <w:pPr>
        <w:pStyle w:val="BodyText"/>
        <w:spacing w:line="249" w:lineRule="auto"/>
        <w:ind w:left="107" w:right="363"/>
      </w:pPr>
      <w:r>
        <w:rPr/>
        <w:t>Students will also have the opportunity to work at PP&amp;VA organisations.</w:t>
      </w:r>
    </w:p>
    <w:p>
      <w:pPr>
        <w:pStyle w:val="BodyText"/>
        <w:spacing w:before="3"/>
        <w:rPr>
          <w:sz w:val="19"/>
        </w:rPr>
      </w:pPr>
    </w:p>
    <w:p>
      <w:pPr>
        <w:pStyle w:val="Heading7"/>
        <w:ind w:right="460"/>
      </w:pPr>
      <w:r>
        <w:rPr>
          <w:w w:val="95"/>
        </w:rPr>
        <w:t>INTERNATIONAL  ENGAGEMENT</w:t>
      </w:r>
    </w:p>
    <w:p>
      <w:pPr>
        <w:pStyle w:val="BodyText"/>
        <w:spacing w:line="249" w:lineRule="auto" w:before="58"/>
        <w:ind w:left="107" w:right="25"/>
      </w:pPr>
      <w:r>
        <w:rPr>
          <w:w w:val="80"/>
        </w:rPr>
        <w:t>In </w:t>
      </w:r>
      <w:r>
        <w:rPr>
          <w:w w:val="85"/>
        </w:rPr>
        <w:t>2016, </w:t>
      </w:r>
      <w:r>
        <w:rPr>
          <w:w w:val="97"/>
        </w:rPr>
        <w:t>the </w:t>
      </w:r>
      <w:r>
        <w:rPr>
          <w:w w:val="103"/>
        </w:rPr>
        <w:t>SSAP </w:t>
      </w:r>
      <w:r>
        <w:rPr>
          <w:w w:val="97"/>
        </w:rPr>
        <w:t>delivered </w:t>
      </w:r>
      <w:r>
        <w:rPr>
          <w:w w:val="97"/>
        </w:rPr>
        <w:t>five </w:t>
      </w:r>
      <w:r>
        <w:rPr>
          <w:w w:val="97"/>
        </w:rPr>
        <w:t>professional </w:t>
      </w:r>
      <w:r>
        <w:rPr/>
        <w:t>development short courses in the areas of psychology, humanitarian and development studies, and research methods. It also developed two short-stay programs for Indonesian scholars, commissioned by the Indonesian Ministry of Religious Affairs, and designed and delivered two programs for IAIN Bengkulu and IAIN Mataram. In collaboration with the International office, the SSAP developed a scalable delivery and pricing model to allow it to competitively respond to requests for tailor-made programs within a short time frame.</w:t>
      </w:r>
    </w:p>
    <w:p>
      <w:pPr>
        <w:pStyle w:val="BodyText"/>
        <w:rPr>
          <w:sz w:val="14"/>
        </w:rPr>
      </w:pPr>
    </w:p>
    <w:p>
      <w:pPr>
        <w:pStyle w:val="BodyText"/>
        <w:spacing w:line="249" w:lineRule="auto"/>
        <w:ind w:left="107" w:right="105"/>
      </w:pPr>
      <w:r>
        <w:rPr>
          <w:spacing w:val="1"/>
          <w:w w:val="80"/>
        </w:rPr>
        <w:t>In</w:t>
      </w:r>
      <w:r>
        <w:rPr>
          <w:w w:val="80"/>
        </w:rPr>
        <w:t> </w:t>
      </w:r>
      <w:r>
        <w:rPr>
          <w:spacing w:val="2"/>
          <w:w w:val="85"/>
        </w:rPr>
        <w:t>2016,</w:t>
      </w:r>
      <w:r>
        <w:rPr>
          <w:w w:val="85"/>
        </w:rPr>
        <w:t> </w:t>
      </w:r>
      <w:r>
        <w:rPr>
          <w:w w:val="97"/>
        </w:rPr>
        <w:t>the </w:t>
      </w:r>
      <w:r>
        <w:rPr>
          <w:spacing w:val="1"/>
          <w:w w:val="103"/>
        </w:rPr>
        <w:t>SSAP</w:t>
      </w:r>
      <w:r>
        <w:rPr>
          <w:w w:val="103"/>
        </w:rPr>
        <w:t> </w:t>
      </w:r>
      <w:r>
        <w:rPr>
          <w:spacing w:val="1"/>
          <w:w w:val="99"/>
        </w:rPr>
        <w:t>completed</w:t>
      </w:r>
      <w:r>
        <w:rPr>
          <w:w w:val="99"/>
        </w:rPr>
        <w:t> </w:t>
      </w:r>
      <w:r>
        <w:rPr>
          <w:w w:val="97"/>
        </w:rPr>
        <w:t>three </w:t>
      </w:r>
      <w:r>
        <w:rPr>
          <w:spacing w:val="1"/>
          <w:w w:val="97"/>
        </w:rPr>
        <w:t>successful</w:t>
      </w:r>
      <w:r>
        <w:rPr>
          <w:w w:val="97"/>
        </w:rPr>
        <w:t> </w:t>
      </w:r>
      <w:r>
        <w:rPr/>
        <w:t>international missions (to India and Nepal) that involved training international agents, advising prospective students and deepening institutional relationships. In November, it presented</w:t>
      </w:r>
      <w:r>
        <w:rPr>
          <w:spacing w:val="-15"/>
        </w:rPr>
        <w:t> </w:t>
      </w:r>
      <w:r>
        <w:rPr/>
        <w:t>two</w:t>
      </w:r>
      <w:r>
        <w:rPr>
          <w:spacing w:val="-15"/>
        </w:rPr>
        <w:t> </w:t>
      </w:r>
      <w:r>
        <w:rPr/>
        <w:t>research</w:t>
      </w:r>
      <w:r>
        <w:rPr>
          <w:spacing w:val="-15"/>
        </w:rPr>
        <w:t> </w:t>
      </w:r>
      <w:r>
        <w:rPr/>
        <w:t>projects</w:t>
      </w:r>
      <w:r>
        <w:rPr>
          <w:spacing w:val="-15"/>
        </w:rPr>
        <w:t> </w:t>
      </w:r>
      <w:r>
        <w:rPr/>
        <w:t>in</w:t>
      </w:r>
      <w:r>
        <w:rPr>
          <w:spacing w:val="-15"/>
        </w:rPr>
        <w:t> </w:t>
      </w:r>
      <w:r>
        <w:rPr/>
        <w:t>Nepal</w:t>
      </w:r>
      <w:r>
        <w:rPr>
          <w:spacing w:val="-15"/>
        </w:rPr>
        <w:t> </w:t>
      </w:r>
      <w:r>
        <w:rPr/>
        <w:t>that it</w:t>
      </w:r>
      <w:r>
        <w:rPr>
          <w:spacing w:val="-14"/>
        </w:rPr>
        <w:t> </w:t>
      </w:r>
      <w:r>
        <w:rPr/>
        <w:t>developed</w:t>
      </w:r>
      <w:r>
        <w:rPr>
          <w:spacing w:val="-14"/>
        </w:rPr>
        <w:t> </w:t>
      </w:r>
      <w:r>
        <w:rPr/>
        <w:t>with</w:t>
      </w:r>
      <w:r>
        <w:rPr>
          <w:spacing w:val="-14"/>
        </w:rPr>
        <w:t> </w:t>
      </w:r>
      <w:r>
        <w:rPr/>
        <w:t>Kathmandu</w:t>
      </w:r>
      <w:r>
        <w:rPr>
          <w:spacing w:val="-14"/>
        </w:rPr>
        <w:t> </w:t>
      </w:r>
      <w:r>
        <w:rPr/>
        <w:t>University</w:t>
      </w:r>
      <w:r>
        <w:rPr>
          <w:spacing w:val="-14"/>
        </w:rPr>
        <w:t> </w:t>
      </w:r>
      <w:r>
        <w:rPr/>
        <w:t>(KU). It</w:t>
      </w:r>
      <w:r>
        <w:rPr>
          <w:spacing w:val="-23"/>
        </w:rPr>
        <w:t> </w:t>
      </w:r>
      <w:r>
        <w:rPr/>
        <w:t>also</w:t>
      </w:r>
      <w:r>
        <w:rPr>
          <w:spacing w:val="-23"/>
        </w:rPr>
        <w:t> </w:t>
      </w:r>
      <w:r>
        <w:rPr/>
        <w:t>announced</w:t>
      </w:r>
      <w:r>
        <w:rPr>
          <w:spacing w:val="-23"/>
        </w:rPr>
        <w:t> </w:t>
      </w:r>
      <w:r>
        <w:rPr/>
        <w:t>Western</w:t>
      </w:r>
      <w:r>
        <w:rPr>
          <w:spacing w:val="-23"/>
        </w:rPr>
        <w:t> </w:t>
      </w:r>
      <w:r>
        <w:rPr/>
        <w:t>Sydney</w:t>
      </w:r>
      <w:r>
        <w:rPr>
          <w:spacing w:val="-23"/>
        </w:rPr>
        <w:t> </w:t>
      </w:r>
      <w:r>
        <w:rPr/>
        <w:t>University’s support for a tourism management scholarship</w:t>
      </w:r>
      <w:r>
        <w:rPr>
          <w:spacing w:val="-16"/>
        </w:rPr>
        <w:t> </w:t>
      </w:r>
      <w:r>
        <w:rPr/>
        <w:t>to</w:t>
      </w:r>
      <w:r>
        <w:rPr>
          <w:spacing w:val="-16"/>
        </w:rPr>
        <w:t> </w:t>
      </w:r>
      <w:r>
        <w:rPr/>
        <w:t>build</w:t>
      </w:r>
      <w:r>
        <w:rPr>
          <w:spacing w:val="-16"/>
        </w:rPr>
        <w:t> </w:t>
      </w:r>
      <w:r>
        <w:rPr/>
        <w:t>local</w:t>
      </w:r>
      <w:r>
        <w:rPr>
          <w:spacing w:val="-16"/>
        </w:rPr>
        <w:t> </w:t>
      </w:r>
      <w:r>
        <w:rPr/>
        <w:t>capacity,</w:t>
      </w:r>
      <w:r>
        <w:rPr>
          <w:spacing w:val="-16"/>
        </w:rPr>
        <w:t> </w:t>
      </w:r>
      <w:r>
        <w:rPr/>
        <w:t>as</w:t>
      </w:r>
      <w:r>
        <w:rPr>
          <w:spacing w:val="-16"/>
        </w:rPr>
        <w:t> </w:t>
      </w:r>
      <w:r>
        <w:rPr/>
        <w:t>well</w:t>
      </w:r>
    </w:p>
    <w:p>
      <w:pPr>
        <w:pStyle w:val="BodyText"/>
        <w:spacing w:line="249" w:lineRule="auto"/>
        <w:ind w:left="107" w:right="105"/>
      </w:pPr>
      <w:r>
        <w:rPr/>
        <w:t>as two PhD scholarships with KU to support volunteer tourism and music heritage in the region.</w:t>
      </w:r>
      <w:r>
        <w:rPr>
          <w:spacing w:val="-16"/>
        </w:rPr>
        <w:t> </w:t>
      </w:r>
      <w:r>
        <w:rPr/>
        <w:t>During</w:t>
      </w:r>
      <w:r>
        <w:rPr>
          <w:spacing w:val="-16"/>
        </w:rPr>
        <w:t> </w:t>
      </w:r>
      <w:r>
        <w:rPr/>
        <w:t>the</w:t>
      </w:r>
      <w:r>
        <w:rPr>
          <w:spacing w:val="-16"/>
        </w:rPr>
        <w:t> </w:t>
      </w:r>
      <w:r>
        <w:rPr/>
        <w:t>visit,</w:t>
      </w:r>
      <w:r>
        <w:rPr>
          <w:spacing w:val="-16"/>
        </w:rPr>
        <w:t> </w:t>
      </w:r>
      <w:r>
        <w:rPr/>
        <w:t>the</w:t>
      </w:r>
      <w:r>
        <w:rPr>
          <w:spacing w:val="-16"/>
        </w:rPr>
        <w:t> </w:t>
      </w:r>
      <w:r>
        <w:rPr/>
        <w:t>SSAP</w:t>
      </w:r>
      <w:r>
        <w:rPr>
          <w:spacing w:val="-16"/>
        </w:rPr>
        <w:t> </w:t>
      </w:r>
      <w:r>
        <w:rPr/>
        <w:t>worked</w:t>
      </w:r>
      <w:r>
        <w:rPr>
          <w:spacing w:val="-16"/>
        </w:rPr>
        <w:t> </w:t>
      </w:r>
      <w:r>
        <w:rPr/>
        <w:t>with non-government organisations and KU on a pilot</w:t>
      </w:r>
      <w:r>
        <w:rPr>
          <w:spacing w:val="-21"/>
        </w:rPr>
        <w:t> </w:t>
      </w:r>
      <w:r>
        <w:rPr/>
        <w:t>of</w:t>
      </w:r>
      <w:r>
        <w:rPr>
          <w:spacing w:val="-21"/>
        </w:rPr>
        <w:t> </w:t>
      </w:r>
      <w:r>
        <w:rPr/>
        <w:t>the</w:t>
      </w:r>
      <w:r>
        <w:rPr>
          <w:spacing w:val="-21"/>
        </w:rPr>
        <w:t> </w:t>
      </w:r>
      <w:r>
        <w:rPr/>
        <w:t>International</w:t>
      </w:r>
      <w:r>
        <w:rPr>
          <w:spacing w:val="-21"/>
        </w:rPr>
        <w:t> </w:t>
      </w:r>
      <w:r>
        <w:rPr/>
        <w:t>Placement</w:t>
      </w:r>
      <w:r>
        <w:rPr>
          <w:spacing w:val="-21"/>
        </w:rPr>
        <w:t> </w:t>
      </w:r>
      <w:r>
        <w:rPr/>
        <w:t>unit,</w:t>
      </w:r>
      <w:r>
        <w:rPr>
          <w:spacing w:val="-21"/>
        </w:rPr>
        <w:t> </w:t>
      </w:r>
      <w:r>
        <w:rPr/>
        <w:t>which </w:t>
      </w:r>
      <w:r>
        <w:rPr>
          <w:w w:val="97"/>
        </w:rPr>
        <w:t>will </w:t>
      </w:r>
      <w:r>
        <w:rPr>
          <w:spacing w:val="2"/>
          <w:w w:val="97"/>
        </w:rPr>
        <w:t>start</w:t>
      </w:r>
      <w:r>
        <w:rPr>
          <w:w w:val="97"/>
        </w:rPr>
        <w:t> </w:t>
      </w:r>
      <w:r>
        <w:rPr>
          <w:w w:val="95"/>
        </w:rPr>
        <w:t>in </w:t>
      </w:r>
      <w:r>
        <w:rPr>
          <w:spacing w:val="1"/>
          <w:w w:val="97"/>
        </w:rPr>
        <w:t>Semester</w:t>
      </w:r>
      <w:r>
        <w:rPr>
          <w:w w:val="97"/>
        </w:rPr>
        <w:t> </w:t>
      </w:r>
      <w:r>
        <w:rPr>
          <w:spacing w:val="1"/>
          <w:w w:val="80"/>
        </w:rPr>
        <w:t>2,</w:t>
      </w:r>
      <w:r>
        <w:rPr>
          <w:spacing w:val="-22"/>
          <w:w w:val="80"/>
        </w:rPr>
        <w:t> </w:t>
      </w:r>
      <w:r>
        <w:rPr>
          <w:spacing w:val="-2"/>
          <w:w w:val="83"/>
        </w:rPr>
        <w:t>2017.</w:t>
      </w:r>
    </w:p>
    <w:p>
      <w:pPr>
        <w:spacing w:after="0" w:line="249" w:lineRule="auto"/>
        <w:sectPr>
          <w:type w:val="continuous"/>
          <w:pgSz w:w="11910" w:h="16840"/>
          <w:pgMar w:top="1580" w:bottom="280" w:left="800" w:right="800"/>
          <w:cols w:num="3" w:equalWidth="0">
            <w:col w:w="3319" w:space="120"/>
            <w:col w:w="3320" w:space="120"/>
            <w:col w:w="3431"/>
          </w:cols>
        </w:sectPr>
      </w:pPr>
    </w:p>
    <w:p>
      <w:pPr>
        <w:pStyle w:val="BodyText"/>
        <w:rPr>
          <w:sz w:val="20"/>
        </w:rPr>
      </w:pPr>
      <w:r>
        <w:rPr/>
        <w:pict>
          <v:shape style="position:absolute;margin-left:0pt;margin-top:.000015pt;width:595.3pt;height:841.9pt;mso-position-horizontal-relative:page;mso-position-vertical-relative:page;z-index:-336040" type="#_x0000_t202" filled="false" stroked="false">
            <v:textbox inset="0,0,0,0">
              <w:txbxContent>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spacing w:before="6"/>
                    <w:rPr>
                      <w:rFonts w:ascii="Gotham Narrow Book"/>
                      <w:b w:val="0"/>
                      <w:sz w:val="9"/>
                    </w:rPr>
                  </w:pPr>
                </w:p>
                <w:p>
                  <w:pPr>
                    <w:spacing w:before="0"/>
                    <w:ind w:left="0" w:right="905" w:firstLine="0"/>
                    <w:jc w:val="right"/>
                    <w:rPr>
                      <w:rFonts w:ascii="Gotham Narrow Book"/>
                      <w:b w:val="0"/>
                      <w:sz w:val="13"/>
                    </w:rPr>
                  </w:pPr>
                  <w:r>
                    <w:rPr>
                      <w:rFonts w:ascii="Gotham Narrow Book"/>
                      <w:b w:val="0"/>
                      <w:sz w:val="13"/>
                    </w:rPr>
                    <w:t>ANNUAL REPORT 2016</w:t>
                  </w: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spacing w:before="12"/>
                    <w:rPr>
                      <w:rFonts w:ascii="Gotham Narrow Book"/>
                      <w:b w:val="0"/>
                      <w:sz w:val="14"/>
                    </w:rPr>
                  </w:pPr>
                </w:p>
                <w:p>
                  <w:pPr>
                    <w:tabs>
                      <w:tab w:pos="11000" w:val="right" w:leader="none"/>
                    </w:tabs>
                    <w:spacing w:before="0"/>
                    <w:ind w:left="907" w:right="0" w:firstLine="0"/>
                    <w:jc w:val="left"/>
                    <w:rPr>
                      <w:rFonts w:ascii="Gotham Narrow Book"/>
                      <w:b w:val="0"/>
                      <w:sz w:val="13"/>
                    </w:rPr>
                  </w:pPr>
                  <w:r>
                    <w:rPr>
                      <w:rFonts w:ascii="Gotham Narrow Book"/>
                      <w:b w:val="0"/>
                      <w:sz w:val="13"/>
                    </w:rPr>
                    <w:t>westernsydney.edu.au</w:t>
                    <w:tab/>
                    <w:t>43</w:t>
                  </w:r>
                </w:p>
              </w:txbxContent>
            </v:textbox>
            <w10:wrap type="none"/>
          </v:shape>
        </w:pict>
      </w:r>
      <w:r>
        <w:rPr/>
        <w:drawing>
          <wp:anchor distT="0" distB="0" distL="0" distR="0" allowOverlap="1" layoutInCell="1" locked="0" behindDoc="1" simplePos="0" relativeHeight="268099439">
            <wp:simplePos x="0" y="0"/>
            <wp:positionH relativeFrom="page">
              <wp:posOffset>0</wp:posOffset>
            </wp:positionH>
            <wp:positionV relativeFrom="page">
              <wp:posOffset>0</wp:posOffset>
            </wp:positionV>
            <wp:extent cx="7559992" cy="10692003"/>
            <wp:effectExtent l="0" t="0" r="0" b="0"/>
            <wp:wrapNone/>
            <wp:docPr id="7" name="image27.png" descr=""/>
            <wp:cNvGraphicFramePr>
              <a:graphicFrameLocks noChangeAspect="1"/>
            </wp:cNvGraphicFramePr>
            <a:graphic>
              <a:graphicData uri="http://schemas.openxmlformats.org/drawingml/2006/picture">
                <pic:pic>
                  <pic:nvPicPr>
                    <pic:cNvPr id="8" name="image27.png"/>
                    <pic:cNvPicPr/>
                  </pic:nvPicPr>
                  <pic:blipFill>
                    <a:blip r:embed="rId55" cstate="print"/>
                    <a:stretch>
                      <a:fillRect/>
                    </a:stretch>
                  </pic:blipFill>
                  <pic:spPr>
                    <a:xfrm>
                      <a:off x="0" y="0"/>
                      <a:ext cx="7559992" cy="1069200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49" w:lineRule="auto" w:before="76"/>
        <w:ind w:left="107" w:right="5400"/>
        <w:rPr>
          <w:rFonts w:ascii="Gotham Narrow Book" w:hAnsi="Gotham Narrow Book"/>
          <w:b w:val="0"/>
        </w:rPr>
      </w:pPr>
      <w:r>
        <w:rPr>
          <w:rFonts w:ascii="Gotham Narrow Book" w:hAnsi="Gotham Narrow Book"/>
          <w:b w:val="0"/>
          <w:color w:val="FFFFFF"/>
        </w:rPr>
        <w:t>Western Sydney University’s new Science and Psychology facility at the Parramatta South   campus</w:t>
      </w:r>
    </w:p>
    <w:p>
      <w:pPr>
        <w:spacing w:after="0" w:line="249" w:lineRule="auto"/>
        <w:rPr>
          <w:rFonts w:ascii="Gotham Narrow Book" w:hAnsi="Gotham Narrow Book"/>
        </w:rPr>
        <w:sectPr>
          <w:headerReference w:type="default" r:id="rId53"/>
          <w:footerReference w:type="default" r:id="rId54"/>
          <w:pgSz w:w="11910" w:h="16840"/>
          <w:pgMar w:header="0" w:footer="0" w:top="1580" w:bottom="280" w:left="800" w:right="1680"/>
        </w:sectPr>
      </w:pPr>
    </w:p>
    <w:p>
      <w:pPr>
        <w:pStyle w:val="BodyText"/>
        <w:spacing w:before="11"/>
        <w:rPr>
          <w:rFonts w:ascii="Gotham Narrow Book"/>
          <w:b w:val="0"/>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headerReference w:type="even" r:id="rId56"/>
          <w:headerReference w:type="default" r:id="rId57"/>
          <w:footerReference w:type="even" r:id="rId58"/>
          <w:footerReference w:type="default" r:id="rId59"/>
          <w:pgSz w:w="11910" w:h="16840"/>
          <w:pgMar w:header="496" w:footer="472" w:top="680" w:bottom="660" w:left="800" w:right="800"/>
          <w:pgNumType w:start="44"/>
        </w:sectPr>
      </w:pPr>
    </w:p>
    <w:p>
      <w:pPr>
        <w:pStyle w:val="BodyText"/>
        <w:spacing w:before="11"/>
        <w:rPr>
          <w:rFonts w:ascii="Chronicle Text G1"/>
          <w:b w:val="0"/>
        </w:rPr>
      </w:pPr>
    </w:p>
    <w:p>
      <w:pPr>
        <w:pStyle w:val="BodyText"/>
        <w:spacing w:line="249" w:lineRule="auto"/>
        <w:ind w:left="107"/>
      </w:pPr>
      <w:r>
        <w:rPr>
          <w:w w:val="80"/>
        </w:rPr>
        <w:t>In </w:t>
      </w:r>
      <w:r>
        <w:rPr>
          <w:w w:val="83"/>
        </w:rPr>
        <w:t>2017, </w:t>
      </w:r>
      <w:r>
        <w:rPr>
          <w:w w:val="101"/>
        </w:rPr>
        <w:t>two </w:t>
      </w:r>
      <w:r>
        <w:rPr>
          <w:w w:val="103"/>
        </w:rPr>
        <w:t>SSAP </w:t>
      </w:r>
      <w:r>
        <w:rPr>
          <w:w w:val="98"/>
        </w:rPr>
        <w:t>academics </w:t>
      </w:r>
      <w:r>
        <w:rPr>
          <w:w w:val="98"/>
        </w:rPr>
        <w:t>received </w:t>
      </w:r>
      <w:r>
        <w:rPr>
          <w:w w:val="97"/>
        </w:rPr>
        <w:t>funding </w:t>
      </w:r>
      <w:r>
        <w:rPr/>
        <w:t>through the New Colombo Plan, totalling</w:t>
      </w:r>
    </w:p>
    <w:p>
      <w:pPr>
        <w:pStyle w:val="BodyText"/>
        <w:spacing w:line="249" w:lineRule="auto"/>
        <w:ind w:left="107" w:right="1"/>
      </w:pPr>
      <w:r>
        <w:rPr>
          <w:spacing w:val="2"/>
        </w:rPr>
        <w:t>$66,000. </w:t>
      </w:r>
      <w:r>
        <w:rPr/>
        <w:t>In addition, eight social work students undertook placements across Fiji, Samoa</w:t>
      </w:r>
      <w:r>
        <w:rPr>
          <w:spacing w:val="-19"/>
        </w:rPr>
        <w:t> </w:t>
      </w:r>
      <w:r>
        <w:rPr/>
        <w:t>and</w:t>
      </w:r>
      <w:r>
        <w:rPr>
          <w:spacing w:val="-19"/>
        </w:rPr>
        <w:t> </w:t>
      </w:r>
      <w:r>
        <w:rPr/>
        <w:t>Tonga</w:t>
      </w:r>
      <w:r>
        <w:rPr>
          <w:spacing w:val="-19"/>
        </w:rPr>
        <w:t> </w:t>
      </w:r>
      <w:r>
        <w:rPr/>
        <w:t>as</w:t>
      </w:r>
      <w:r>
        <w:rPr>
          <w:spacing w:val="-19"/>
        </w:rPr>
        <w:t> </w:t>
      </w:r>
      <w:r>
        <w:rPr>
          <w:spacing w:val="2"/>
        </w:rPr>
        <w:t>part</w:t>
      </w:r>
      <w:r>
        <w:rPr>
          <w:spacing w:val="-19"/>
        </w:rPr>
        <w:t> </w:t>
      </w:r>
      <w:r>
        <w:rPr/>
        <w:t>of</w:t>
      </w:r>
      <w:r>
        <w:rPr>
          <w:spacing w:val="-19"/>
        </w:rPr>
        <w:t> </w:t>
      </w:r>
      <w:r>
        <w:rPr/>
        <w:t>the</w:t>
      </w:r>
      <w:r>
        <w:rPr>
          <w:spacing w:val="-19"/>
        </w:rPr>
        <w:t> </w:t>
      </w:r>
      <w:r>
        <w:rPr/>
        <w:t>Pacific</w:t>
      </w:r>
      <w:r>
        <w:rPr>
          <w:spacing w:val="-19"/>
        </w:rPr>
        <w:t> </w:t>
      </w:r>
      <w:r>
        <w:rPr/>
        <w:t>Islands Field</w:t>
      </w:r>
      <w:r>
        <w:rPr>
          <w:spacing w:val="-18"/>
        </w:rPr>
        <w:t> </w:t>
      </w:r>
      <w:r>
        <w:rPr/>
        <w:t>Education</w:t>
      </w:r>
      <w:r>
        <w:rPr>
          <w:spacing w:val="-18"/>
        </w:rPr>
        <w:t> </w:t>
      </w:r>
      <w:r>
        <w:rPr>
          <w:spacing w:val="2"/>
        </w:rPr>
        <w:t>(PIFE)</w:t>
      </w:r>
      <w:r>
        <w:rPr>
          <w:spacing w:val="-18"/>
        </w:rPr>
        <w:t> </w:t>
      </w:r>
      <w:r>
        <w:rPr/>
        <w:t>program.</w:t>
      </w:r>
    </w:p>
    <w:p>
      <w:pPr>
        <w:pStyle w:val="BodyText"/>
        <w:rPr>
          <w:sz w:val="14"/>
        </w:rPr>
      </w:pPr>
    </w:p>
    <w:p>
      <w:pPr>
        <w:pStyle w:val="BodyText"/>
        <w:spacing w:line="249" w:lineRule="auto"/>
        <w:ind w:left="107" w:right="48"/>
      </w:pPr>
      <w:r>
        <w:rPr>
          <w:spacing w:val="1"/>
          <w:w w:val="80"/>
        </w:rPr>
        <w:t>In</w:t>
      </w:r>
      <w:r>
        <w:rPr>
          <w:w w:val="80"/>
        </w:rPr>
        <w:t> </w:t>
      </w:r>
      <w:r>
        <w:rPr>
          <w:spacing w:val="2"/>
          <w:w w:val="85"/>
        </w:rPr>
        <w:t>2016,</w:t>
      </w:r>
      <w:r>
        <w:rPr>
          <w:w w:val="85"/>
        </w:rPr>
        <w:t> </w:t>
      </w:r>
      <w:r>
        <w:rPr>
          <w:w w:val="97"/>
        </w:rPr>
        <w:t>the </w:t>
      </w:r>
      <w:r>
        <w:rPr>
          <w:spacing w:val="1"/>
          <w:w w:val="97"/>
        </w:rPr>
        <w:t>University</w:t>
      </w:r>
      <w:r>
        <w:rPr>
          <w:w w:val="97"/>
        </w:rPr>
        <w:t> </w:t>
      </w:r>
      <w:r>
        <w:rPr>
          <w:spacing w:val="1"/>
          <w:w w:val="96"/>
        </w:rPr>
        <w:t>remained</w:t>
      </w:r>
      <w:r>
        <w:rPr>
          <w:w w:val="96"/>
        </w:rPr>
        <w:t> </w:t>
      </w:r>
      <w:r>
        <w:rPr>
          <w:w w:val="95"/>
        </w:rPr>
        <w:t>in </w:t>
      </w:r>
      <w:r>
        <w:rPr>
          <w:w w:val="97"/>
        </w:rPr>
        <w:t>the </w:t>
      </w:r>
      <w:r>
        <w:rPr>
          <w:w w:val="101"/>
        </w:rPr>
        <w:t>top </w:t>
      </w:r>
      <w:r>
        <w:rPr>
          <w:spacing w:val="2"/>
          <w:w w:val="92"/>
        </w:rPr>
        <w:t>100</w:t>
      </w:r>
      <w:r>
        <w:rPr>
          <w:w w:val="92"/>
        </w:rPr>
        <w:t> </w:t>
      </w:r>
      <w:r>
        <w:rPr>
          <w:w w:val="96"/>
        </w:rPr>
        <w:t>universities </w:t>
      </w:r>
      <w:r>
        <w:rPr>
          <w:w w:val="98"/>
        </w:rPr>
        <w:t>for </w:t>
      </w:r>
      <w:r>
        <w:rPr>
          <w:spacing w:val="1"/>
          <w:w w:val="99"/>
        </w:rPr>
        <w:t>geography</w:t>
      </w:r>
      <w:r>
        <w:rPr>
          <w:w w:val="99"/>
        </w:rPr>
        <w:t> </w:t>
      </w:r>
      <w:r>
        <w:rPr>
          <w:spacing w:val="1"/>
          <w:w w:val="97"/>
        </w:rPr>
        <w:t>and</w:t>
      </w:r>
      <w:r>
        <w:rPr>
          <w:w w:val="97"/>
        </w:rPr>
        <w:t> </w:t>
      </w:r>
      <w:r>
        <w:rPr>
          <w:w w:val="101"/>
        </w:rPr>
        <w:t>top </w:t>
      </w:r>
      <w:r>
        <w:rPr>
          <w:spacing w:val="2"/>
          <w:w w:val="105"/>
        </w:rPr>
        <w:t>200</w:t>
      </w:r>
      <w:r>
        <w:rPr>
          <w:w w:val="105"/>
        </w:rPr>
        <w:t> </w:t>
      </w:r>
      <w:r>
        <w:rPr/>
        <w:t>for</w:t>
      </w:r>
      <w:r>
        <w:rPr>
          <w:spacing w:val="-10"/>
        </w:rPr>
        <w:t> </w:t>
      </w:r>
      <w:r>
        <w:rPr/>
        <w:t>psychology</w:t>
      </w:r>
      <w:r>
        <w:rPr>
          <w:spacing w:val="-10"/>
        </w:rPr>
        <w:t> </w:t>
      </w:r>
      <w:r>
        <w:rPr/>
        <w:t>and</w:t>
      </w:r>
      <w:r>
        <w:rPr>
          <w:spacing w:val="-10"/>
        </w:rPr>
        <w:t> </w:t>
      </w:r>
      <w:r>
        <w:rPr/>
        <w:t>sociology</w:t>
      </w:r>
      <w:r>
        <w:rPr>
          <w:spacing w:val="-10"/>
        </w:rPr>
        <w:t> </w:t>
      </w:r>
      <w:r>
        <w:rPr/>
        <w:t>in</w:t>
      </w:r>
      <w:r>
        <w:rPr>
          <w:spacing w:val="-10"/>
        </w:rPr>
        <w:t> </w:t>
      </w:r>
      <w:r>
        <w:rPr/>
        <w:t>the</w:t>
      </w:r>
      <w:r>
        <w:rPr>
          <w:spacing w:val="-10"/>
        </w:rPr>
        <w:t> </w:t>
      </w:r>
      <w:r>
        <w:rPr/>
        <w:t>QS</w:t>
      </w:r>
      <w:r>
        <w:rPr>
          <w:spacing w:val="-10"/>
        </w:rPr>
        <w:t> </w:t>
      </w:r>
      <w:r>
        <w:rPr/>
        <w:t>World University</w:t>
      </w:r>
      <w:r>
        <w:rPr>
          <w:spacing w:val="-21"/>
        </w:rPr>
        <w:t> </w:t>
      </w:r>
      <w:r>
        <w:rPr/>
        <w:t>Rankings</w:t>
      </w:r>
      <w:r>
        <w:rPr>
          <w:spacing w:val="-21"/>
        </w:rPr>
        <w:t> </w:t>
      </w:r>
      <w:r>
        <w:rPr/>
        <w:t>by</w:t>
      </w:r>
      <w:r>
        <w:rPr>
          <w:spacing w:val="-21"/>
        </w:rPr>
        <w:t> </w:t>
      </w:r>
      <w:r>
        <w:rPr/>
        <w:t>Subject.</w:t>
      </w:r>
    </w:p>
    <w:p>
      <w:pPr>
        <w:pStyle w:val="BodyText"/>
        <w:spacing w:before="3"/>
        <w:rPr>
          <w:sz w:val="19"/>
        </w:rPr>
      </w:pPr>
    </w:p>
    <w:p>
      <w:pPr>
        <w:pStyle w:val="Heading7"/>
        <w:ind w:right="0"/>
      </w:pPr>
      <w:r>
        <w:rPr>
          <w:w w:val="95"/>
        </w:rPr>
        <w:t>MEDIA ENGAGEMENT</w:t>
      </w:r>
    </w:p>
    <w:p>
      <w:pPr>
        <w:pStyle w:val="BodyText"/>
        <w:spacing w:line="249" w:lineRule="auto" w:before="58"/>
        <w:ind w:left="107" w:right="-1"/>
      </w:pPr>
      <w:r>
        <w:rPr/>
        <w:t>The SSAP’s staff members continue to make regular appearances in print, radio and television</w:t>
      </w:r>
      <w:r>
        <w:rPr>
          <w:spacing w:val="-19"/>
        </w:rPr>
        <w:t> </w:t>
      </w:r>
      <w:r>
        <w:rPr/>
        <w:t>media.</w:t>
      </w:r>
      <w:r>
        <w:rPr>
          <w:spacing w:val="-19"/>
        </w:rPr>
        <w:t> </w:t>
      </w:r>
      <w:r>
        <w:rPr/>
        <w:t>The</w:t>
      </w:r>
      <w:r>
        <w:rPr>
          <w:spacing w:val="-19"/>
        </w:rPr>
        <w:t> </w:t>
      </w:r>
      <w:r>
        <w:rPr/>
        <w:t>School</w:t>
      </w:r>
      <w:r>
        <w:rPr>
          <w:spacing w:val="-19"/>
        </w:rPr>
        <w:t> </w:t>
      </w:r>
      <w:r>
        <w:rPr/>
        <w:t>also</w:t>
      </w:r>
      <w:r>
        <w:rPr>
          <w:spacing w:val="-19"/>
        </w:rPr>
        <w:t> </w:t>
      </w:r>
      <w:r>
        <w:rPr/>
        <w:t>has</w:t>
      </w:r>
      <w:r>
        <w:rPr>
          <w:spacing w:val="-19"/>
        </w:rPr>
        <w:t> </w:t>
      </w:r>
      <w:r>
        <w:rPr/>
        <w:t>an</w:t>
      </w:r>
      <w:r>
        <w:rPr>
          <w:spacing w:val="-19"/>
        </w:rPr>
        <w:t> </w:t>
      </w:r>
      <w:r>
        <w:rPr/>
        <w:t>active social media presence, with </w:t>
      </w:r>
      <w:r>
        <w:rPr>
          <w:spacing w:val="3"/>
        </w:rPr>
        <w:t>6,640 </w:t>
      </w:r>
      <w:r>
        <w:rPr/>
        <w:t>page likes on</w:t>
      </w:r>
      <w:r>
        <w:rPr>
          <w:spacing w:val="-19"/>
        </w:rPr>
        <w:t> </w:t>
      </w:r>
      <w:r>
        <w:rPr/>
        <w:t>Facebook</w:t>
      </w:r>
      <w:r>
        <w:rPr>
          <w:spacing w:val="-19"/>
        </w:rPr>
        <w:t> </w:t>
      </w:r>
      <w:r>
        <w:rPr/>
        <w:t>and</w:t>
      </w:r>
      <w:r>
        <w:rPr>
          <w:spacing w:val="-19"/>
        </w:rPr>
        <w:t> </w:t>
      </w:r>
      <w:r>
        <w:rPr/>
        <w:t>a</w:t>
      </w:r>
      <w:r>
        <w:rPr>
          <w:spacing w:val="-19"/>
        </w:rPr>
        <w:t> </w:t>
      </w:r>
      <w:r>
        <w:rPr/>
        <w:t>reach</w:t>
      </w:r>
      <w:r>
        <w:rPr>
          <w:spacing w:val="-19"/>
        </w:rPr>
        <w:t> </w:t>
      </w:r>
      <w:r>
        <w:rPr/>
        <w:t>of</w:t>
      </w:r>
      <w:r>
        <w:rPr>
          <w:spacing w:val="-19"/>
        </w:rPr>
        <w:t> </w:t>
      </w:r>
      <w:r>
        <w:rPr/>
        <w:t>67,718</w:t>
      </w:r>
      <w:r>
        <w:rPr>
          <w:spacing w:val="-19"/>
        </w:rPr>
        <w:t> </w:t>
      </w:r>
      <w:r>
        <w:rPr/>
        <w:t>people</w:t>
      </w:r>
      <w:r>
        <w:rPr>
          <w:spacing w:val="-19"/>
        </w:rPr>
        <w:t> </w:t>
      </w:r>
      <w:r>
        <w:rPr/>
        <w:t>as </w:t>
      </w:r>
      <w:r>
        <w:rPr>
          <w:w w:val="98"/>
        </w:rPr>
        <w:t>at </w:t>
      </w:r>
      <w:r>
        <w:rPr>
          <w:spacing w:val="1"/>
          <w:w w:val="74"/>
        </w:rPr>
        <w:t>13</w:t>
      </w:r>
      <w:r>
        <w:rPr>
          <w:w w:val="74"/>
        </w:rPr>
        <w:t> </w:t>
      </w:r>
      <w:r>
        <w:rPr>
          <w:spacing w:val="1"/>
          <w:w w:val="100"/>
        </w:rPr>
        <w:t>October</w:t>
      </w:r>
      <w:r>
        <w:rPr>
          <w:w w:val="100"/>
        </w:rPr>
        <w:t> </w:t>
      </w:r>
      <w:r>
        <w:rPr>
          <w:spacing w:val="2"/>
          <w:w w:val="85"/>
        </w:rPr>
        <w:t>2016.</w:t>
      </w:r>
      <w:r>
        <w:rPr>
          <w:w w:val="85"/>
        </w:rPr>
        <w:t> </w:t>
      </w:r>
      <w:r>
        <w:rPr>
          <w:spacing w:val="1"/>
          <w:w w:val="98"/>
        </w:rPr>
        <w:t>On</w:t>
      </w:r>
      <w:r>
        <w:rPr>
          <w:w w:val="98"/>
        </w:rPr>
        <w:t> </w:t>
      </w:r>
      <w:r>
        <w:rPr>
          <w:spacing w:val="-2"/>
          <w:w w:val="94"/>
        </w:rPr>
        <w:t>Twitter,</w:t>
      </w:r>
      <w:r>
        <w:rPr>
          <w:w w:val="94"/>
        </w:rPr>
        <w:t> </w:t>
      </w:r>
      <w:r>
        <w:rPr>
          <w:spacing w:val="1"/>
          <w:w w:val="100"/>
        </w:rPr>
        <w:t>@SSAPChat</w:t>
      </w:r>
      <w:r>
        <w:rPr>
          <w:w w:val="100"/>
        </w:rPr>
        <w:t> </w:t>
      </w:r>
      <w:r>
        <w:rPr/>
        <w:t>had a reach of 469 followers, </w:t>
      </w:r>
      <w:r>
        <w:rPr>
          <w:spacing w:val="2"/>
        </w:rPr>
        <w:t>182 </w:t>
      </w:r>
      <w:r>
        <w:rPr/>
        <w:t>tweets, </w:t>
      </w:r>
      <w:r>
        <w:rPr>
          <w:spacing w:val="3"/>
        </w:rPr>
        <w:t>64,532 </w:t>
      </w:r>
      <w:r>
        <w:rPr/>
        <w:t>impressions, 527 mentions and 9,824 profile</w:t>
      </w:r>
      <w:r>
        <w:rPr>
          <w:spacing w:val="-27"/>
        </w:rPr>
        <w:t> </w:t>
      </w:r>
      <w:r>
        <w:rPr/>
        <w:t>visits.</w:t>
      </w:r>
    </w:p>
    <w:p>
      <w:pPr>
        <w:pStyle w:val="BodyText"/>
        <w:spacing w:before="3"/>
        <w:rPr>
          <w:sz w:val="19"/>
        </w:rPr>
      </w:pPr>
    </w:p>
    <w:p>
      <w:pPr>
        <w:pStyle w:val="Heading7"/>
        <w:ind w:right="0"/>
      </w:pPr>
      <w:r>
        <w:rPr/>
        <w:t>RESEARCH</w:t>
      </w:r>
    </w:p>
    <w:p>
      <w:pPr>
        <w:pStyle w:val="BodyText"/>
        <w:spacing w:line="249" w:lineRule="auto" w:before="58"/>
        <w:ind w:left="107" w:right="204"/>
      </w:pPr>
      <w:r>
        <w:rPr/>
        <w:t>The SSAP continues to build its reputation by conducting cutting-edge research that contributes to the international body of knowledge. It uses this research to inform teaching and undertake research that addresses many of the challenges facing</w:t>
      </w:r>
    </w:p>
    <w:p>
      <w:pPr>
        <w:pStyle w:val="BodyText"/>
        <w:spacing w:line="249" w:lineRule="auto"/>
        <w:ind w:left="107" w:right="-12"/>
      </w:pPr>
      <w:r>
        <w:rPr/>
        <w:t>contemporary</w:t>
      </w:r>
      <w:r>
        <w:rPr>
          <w:spacing w:val="-18"/>
        </w:rPr>
        <w:t> </w:t>
      </w:r>
      <w:r>
        <w:rPr/>
        <w:t>society.</w:t>
      </w:r>
      <w:r>
        <w:rPr>
          <w:spacing w:val="-18"/>
        </w:rPr>
        <w:t> </w:t>
      </w:r>
      <w:r>
        <w:rPr/>
        <w:t>Higher</w:t>
      </w:r>
      <w:r>
        <w:rPr>
          <w:spacing w:val="-18"/>
        </w:rPr>
        <w:t> </w:t>
      </w:r>
      <w:r>
        <w:rPr/>
        <w:t>degree</w:t>
      </w:r>
      <w:r>
        <w:rPr>
          <w:spacing w:val="-18"/>
        </w:rPr>
        <w:t> </w:t>
      </w:r>
      <w:r>
        <w:rPr/>
        <w:t>research and</w:t>
      </w:r>
      <w:r>
        <w:rPr>
          <w:spacing w:val="-17"/>
        </w:rPr>
        <w:t> </w:t>
      </w:r>
      <w:r>
        <w:rPr/>
        <w:t>the</w:t>
      </w:r>
      <w:r>
        <w:rPr>
          <w:spacing w:val="-17"/>
        </w:rPr>
        <w:t> </w:t>
      </w:r>
      <w:r>
        <w:rPr/>
        <w:t>pathway</w:t>
      </w:r>
      <w:r>
        <w:rPr>
          <w:spacing w:val="-17"/>
        </w:rPr>
        <w:t> </w:t>
      </w:r>
      <w:r>
        <w:rPr/>
        <w:t>to</w:t>
      </w:r>
      <w:r>
        <w:rPr>
          <w:spacing w:val="-17"/>
        </w:rPr>
        <w:t> </w:t>
      </w:r>
      <w:r>
        <w:rPr/>
        <w:t>research</w:t>
      </w:r>
      <w:r>
        <w:rPr>
          <w:spacing w:val="-17"/>
        </w:rPr>
        <w:t> </w:t>
      </w:r>
      <w:r>
        <w:rPr/>
        <w:t>is</w:t>
      </w:r>
      <w:r>
        <w:rPr>
          <w:spacing w:val="-17"/>
        </w:rPr>
        <w:t> </w:t>
      </w:r>
      <w:r>
        <w:rPr/>
        <w:t>at</w:t>
      </w:r>
      <w:r>
        <w:rPr>
          <w:spacing w:val="-17"/>
        </w:rPr>
        <w:t> </w:t>
      </w:r>
      <w:r>
        <w:rPr/>
        <w:t>the</w:t>
      </w:r>
      <w:r>
        <w:rPr>
          <w:spacing w:val="-17"/>
        </w:rPr>
        <w:t> </w:t>
      </w:r>
      <w:r>
        <w:rPr/>
        <w:t>centre</w:t>
      </w:r>
      <w:r>
        <w:rPr>
          <w:spacing w:val="-17"/>
        </w:rPr>
        <w:t> </w:t>
      </w:r>
      <w:r>
        <w:rPr/>
        <w:t>of curriculum</w:t>
      </w:r>
      <w:r>
        <w:rPr>
          <w:spacing w:val="-18"/>
        </w:rPr>
        <w:t> </w:t>
      </w:r>
      <w:r>
        <w:rPr/>
        <w:t>design</w:t>
      </w:r>
      <w:r>
        <w:rPr>
          <w:spacing w:val="-18"/>
        </w:rPr>
        <w:t> </w:t>
      </w:r>
      <w:r>
        <w:rPr/>
        <w:t>and</w:t>
      </w:r>
      <w:r>
        <w:rPr>
          <w:spacing w:val="-18"/>
        </w:rPr>
        <w:t> </w:t>
      </w:r>
      <w:r>
        <w:rPr/>
        <w:t>the</w:t>
      </w:r>
      <w:r>
        <w:rPr>
          <w:spacing w:val="-18"/>
        </w:rPr>
        <w:t> </w:t>
      </w:r>
      <w:r>
        <w:rPr/>
        <w:t>student</w:t>
      </w:r>
      <w:r>
        <w:rPr>
          <w:spacing w:val="-18"/>
        </w:rPr>
        <w:t> </w:t>
      </w:r>
      <w:r>
        <w:rPr/>
        <w:t>experience. The School’s targeted postgraduate courses all emphasise research training and ensure candidates are well placed in the competitive global career market. The SSAP currently has 95 PhD students enrolled, and 50 students hold PhD scholarships across 12 different awards.</w:t>
      </w:r>
    </w:p>
    <w:p>
      <w:pPr>
        <w:pStyle w:val="BodyText"/>
        <w:rPr>
          <w:sz w:val="14"/>
        </w:rPr>
      </w:pPr>
    </w:p>
    <w:p>
      <w:pPr>
        <w:pStyle w:val="BodyText"/>
        <w:spacing w:line="249" w:lineRule="auto"/>
        <w:ind w:left="107" w:right="14"/>
      </w:pPr>
      <w:r>
        <w:rPr>
          <w:spacing w:val="1"/>
          <w:w w:val="80"/>
        </w:rPr>
        <w:t>In</w:t>
      </w:r>
      <w:r>
        <w:rPr>
          <w:w w:val="80"/>
        </w:rPr>
        <w:t> </w:t>
      </w:r>
      <w:r>
        <w:rPr>
          <w:spacing w:val="2"/>
          <w:w w:val="85"/>
        </w:rPr>
        <w:t>2016,</w:t>
      </w:r>
      <w:r>
        <w:rPr>
          <w:w w:val="85"/>
        </w:rPr>
        <w:t> </w:t>
      </w:r>
      <w:r>
        <w:rPr>
          <w:w w:val="97"/>
        </w:rPr>
        <w:t>the </w:t>
      </w:r>
      <w:r>
        <w:rPr>
          <w:spacing w:val="1"/>
          <w:w w:val="103"/>
        </w:rPr>
        <w:t>SSAP</w:t>
      </w:r>
      <w:r>
        <w:rPr>
          <w:w w:val="103"/>
        </w:rPr>
        <w:t> </w:t>
      </w:r>
      <w:r>
        <w:rPr>
          <w:spacing w:val="1"/>
          <w:w w:val="97"/>
        </w:rPr>
        <w:t>had</w:t>
      </w:r>
      <w:r>
        <w:rPr>
          <w:w w:val="97"/>
        </w:rPr>
        <w:t> </w:t>
      </w:r>
      <w:r>
        <w:rPr>
          <w:spacing w:val="1"/>
          <w:w w:val="54"/>
        </w:rPr>
        <w:t>11</w:t>
      </w:r>
      <w:r>
        <w:rPr>
          <w:w w:val="54"/>
        </w:rPr>
        <w:t> </w:t>
      </w:r>
      <w:r>
        <w:rPr>
          <w:spacing w:val="1"/>
          <w:w w:val="97"/>
        </w:rPr>
        <w:t>successful</w:t>
      </w:r>
      <w:r>
        <w:rPr>
          <w:w w:val="97"/>
        </w:rPr>
        <w:t> </w:t>
      </w:r>
      <w:r>
        <w:rPr>
          <w:spacing w:val="1"/>
          <w:w w:val="98"/>
        </w:rPr>
        <w:t>grant</w:t>
      </w:r>
      <w:r>
        <w:rPr>
          <w:w w:val="98"/>
        </w:rPr>
        <w:t> </w:t>
      </w:r>
      <w:r>
        <w:rPr/>
        <w:t>applications (with around </w:t>
      </w:r>
      <w:r>
        <w:rPr>
          <w:spacing w:val="2"/>
        </w:rPr>
        <w:t>$300,000 </w:t>
      </w:r>
      <w:r>
        <w:rPr/>
        <w:t>awarded). Six applications are about to be signed (with around $620,000 requested), and</w:t>
      </w:r>
      <w:r>
        <w:rPr>
          <w:spacing w:val="-21"/>
        </w:rPr>
        <w:t> </w:t>
      </w:r>
      <w:r>
        <w:rPr/>
        <w:t>seven</w:t>
      </w:r>
      <w:r>
        <w:rPr>
          <w:spacing w:val="-21"/>
        </w:rPr>
        <w:t> </w:t>
      </w:r>
      <w:r>
        <w:rPr/>
        <w:t>applications</w:t>
      </w:r>
      <w:r>
        <w:rPr>
          <w:spacing w:val="-21"/>
        </w:rPr>
        <w:t> </w:t>
      </w:r>
      <w:r>
        <w:rPr/>
        <w:t>are</w:t>
      </w:r>
      <w:r>
        <w:rPr>
          <w:spacing w:val="-21"/>
        </w:rPr>
        <w:t> </w:t>
      </w:r>
      <w:r>
        <w:rPr/>
        <w:t>awaiting</w:t>
      </w:r>
      <w:r>
        <w:rPr>
          <w:spacing w:val="-21"/>
        </w:rPr>
        <w:t> </w:t>
      </w:r>
      <w:r>
        <w:rPr/>
        <w:t>decisions.</w:t>
      </w:r>
    </w:p>
    <w:p>
      <w:pPr>
        <w:pStyle w:val="BodyText"/>
        <w:rPr>
          <w:sz w:val="14"/>
        </w:rPr>
      </w:pPr>
    </w:p>
    <w:p>
      <w:pPr>
        <w:pStyle w:val="BodyText"/>
        <w:spacing w:line="249" w:lineRule="auto"/>
        <w:ind w:left="107" w:right="172"/>
      </w:pPr>
      <w:r>
        <w:rPr/>
        <w:t>The Higher Education Research Data </w:t>
      </w:r>
      <w:r>
        <w:rPr>
          <w:spacing w:val="1"/>
          <w:w w:val="98"/>
        </w:rPr>
        <w:t>Collection</w:t>
      </w:r>
      <w:r>
        <w:rPr>
          <w:w w:val="98"/>
        </w:rPr>
        <w:t> </w:t>
      </w:r>
      <w:r>
        <w:rPr>
          <w:spacing w:val="2"/>
          <w:w w:val="98"/>
        </w:rPr>
        <w:t>(HERDC)</w:t>
      </w:r>
      <w:r>
        <w:rPr>
          <w:w w:val="98"/>
        </w:rPr>
        <w:t> </w:t>
      </w:r>
      <w:r>
        <w:rPr>
          <w:spacing w:val="1"/>
          <w:w w:val="90"/>
        </w:rPr>
        <w:t>2016</w:t>
      </w:r>
      <w:r>
        <w:rPr>
          <w:w w:val="90"/>
        </w:rPr>
        <w:t> </w:t>
      </w:r>
      <w:r>
        <w:rPr>
          <w:w w:val="96"/>
        </w:rPr>
        <w:t>return </w:t>
      </w:r>
      <w:r>
        <w:rPr>
          <w:spacing w:val="1"/>
          <w:w w:val="98"/>
        </w:rPr>
        <w:t>on</w:t>
      </w:r>
      <w:r>
        <w:rPr>
          <w:w w:val="98"/>
        </w:rPr>
        <w:t> </w:t>
      </w:r>
      <w:r>
        <w:rPr>
          <w:spacing w:val="1"/>
          <w:w w:val="88"/>
        </w:rPr>
        <w:t>2015</w:t>
      </w:r>
      <w:r>
        <w:rPr>
          <w:w w:val="88"/>
        </w:rPr>
        <w:t> </w:t>
      </w:r>
      <w:r>
        <w:rPr/>
        <w:t>performance</w:t>
      </w:r>
      <w:r>
        <w:rPr>
          <w:spacing w:val="-15"/>
        </w:rPr>
        <w:t> </w:t>
      </w:r>
      <w:r>
        <w:rPr/>
        <w:t>for</w:t>
      </w:r>
      <w:r>
        <w:rPr>
          <w:spacing w:val="-15"/>
        </w:rPr>
        <w:t> </w:t>
      </w:r>
      <w:r>
        <w:rPr/>
        <w:t>Western</w:t>
      </w:r>
      <w:r>
        <w:rPr>
          <w:spacing w:val="-15"/>
        </w:rPr>
        <w:t> </w:t>
      </w:r>
      <w:r>
        <w:rPr/>
        <w:t>Sydney</w:t>
      </w:r>
      <w:r>
        <w:rPr>
          <w:spacing w:val="-15"/>
        </w:rPr>
        <w:t> </w:t>
      </w:r>
      <w:r>
        <w:rPr/>
        <w:t>University shows that the academic staff in the SSAP produced </w:t>
      </w:r>
      <w:r>
        <w:rPr>
          <w:spacing w:val="2"/>
        </w:rPr>
        <w:t>16.6 </w:t>
      </w:r>
      <w:r>
        <w:rPr/>
        <w:t>per cent of the </w:t>
      </w:r>
      <w:r>
        <w:rPr>
          <w:spacing w:val="2"/>
        </w:rPr>
        <w:t>books, </w:t>
      </w:r>
      <w:r>
        <w:rPr/>
        <w:t>17.4 per</w:t>
      </w:r>
      <w:r>
        <w:rPr>
          <w:spacing w:val="-17"/>
        </w:rPr>
        <w:t> </w:t>
      </w:r>
      <w:r>
        <w:rPr/>
        <w:t>cent</w:t>
      </w:r>
      <w:r>
        <w:rPr>
          <w:spacing w:val="-17"/>
        </w:rPr>
        <w:t> </w:t>
      </w:r>
      <w:r>
        <w:rPr/>
        <w:t>of</w:t>
      </w:r>
      <w:r>
        <w:rPr>
          <w:spacing w:val="-17"/>
        </w:rPr>
        <w:t> </w:t>
      </w:r>
      <w:r>
        <w:rPr/>
        <w:t>the</w:t>
      </w:r>
      <w:r>
        <w:rPr>
          <w:spacing w:val="-17"/>
        </w:rPr>
        <w:t> </w:t>
      </w:r>
      <w:r>
        <w:rPr/>
        <w:t>chapters,</w:t>
      </w:r>
      <w:r>
        <w:rPr>
          <w:spacing w:val="-17"/>
        </w:rPr>
        <w:t> </w:t>
      </w:r>
      <w:r>
        <w:rPr>
          <w:spacing w:val="2"/>
        </w:rPr>
        <w:t>9.2</w:t>
      </w:r>
      <w:r>
        <w:rPr>
          <w:spacing w:val="-17"/>
        </w:rPr>
        <w:t> </w:t>
      </w:r>
      <w:r>
        <w:rPr/>
        <w:t>per</w:t>
      </w:r>
      <w:r>
        <w:rPr>
          <w:spacing w:val="-17"/>
        </w:rPr>
        <w:t> </w:t>
      </w:r>
      <w:r>
        <w:rPr/>
        <w:t>cent</w:t>
      </w:r>
      <w:r>
        <w:rPr>
          <w:spacing w:val="-17"/>
        </w:rPr>
        <w:t> </w:t>
      </w:r>
      <w:r>
        <w:rPr/>
        <w:t>of</w:t>
      </w:r>
      <w:r>
        <w:rPr>
          <w:spacing w:val="-17"/>
        </w:rPr>
        <w:t> </w:t>
      </w:r>
      <w:r>
        <w:rPr/>
        <w:t>the refereed</w:t>
      </w:r>
      <w:r>
        <w:rPr>
          <w:spacing w:val="-25"/>
        </w:rPr>
        <w:t> </w:t>
      </w:r>
      <w:r>
        <w:rPr/>
        <w:t>journal</w:t>
      </w:r>
      <w:r>
        <w:rPr>
          <w:spacing w:val="-25"/>
        </w:rPr>
        <w:t> </w:t>
      </w:r>
      <w:r>
        <w:rPr/>
        <w:t>articles</w:t>
      </w:r>
      <w:r>
        <w:rPr>
          <w:spacing w:val="-25"/>
        </w:rPr>
        <w:t> </w:t>
      </w:r>
      <w:r>
        <w:rPr/>
        <w:t>and</w:t>
      </w:r>
      <w:r>
        <w:rPr>
          <w:spacing w:val="-25"/>
        </w:rPr>
        <w:t> </w:t>
      </w:r>
      <w:r>
        <w:rPr>
          <w:spacing w:val="3"/>
        </w:rPr>
        <w:t>16.3</w:t>
      </w:r>
      <w:r>
        <w:rPr>
          <w:spacing w:val="-25"/>
        </w:rPr>
        <w:t> </w:t>
      </w:r>
      <w:r>
        <w:rPr/>
        <w:t>per</w:t>
      </w:r>
      <w:r>
        <w:rPr>
          <w:spacing w:val="-25"/>
        </w:rPr>
        <w:t> </w:t>
      </w:r>
      <w:r>
        <w:rPr/>
        <w:t>cent</w:t>
      </w:r>
      <w:r>
        <w:rPr>
          <w:spacing w:val="-25"/>
        </w:rPr>
        <w:t> </w:t>
      </w:r>
      <w:r>
        <w:rPr/>
        <w:t>of</w:t>
      </w:r>
    </w:p>
    <w:p>
      <w:pPr>
        <w:pStyle w:val="BodyText"/>
        <w:spacing w:before="9"/>
      </w:pPr>
      <w:r>
        <w:rPr/>
        <w:br w:type="column"/>
      </w:r>
      <w:r>
        <w:rPr/>
      </w:r>
    </w:p>
    <w:p>
      <w:pPr>
        <w:pStyle w:val="BodyText"/>
        <w:spacing w:line="249" w:lineRule="auto" w:before="1"/>
        <w:ind w:left="107" w:right="-2"/>
      </w:pPr>
      <w:r>
        <w:rPr/>
        <w:t>the</w:t>
      </w:r>
      <w:r>
        <w:rPr>
          <w:spacing w:val="-17"/>
        </w:rPr>
        <w:t> </w:t>
      </w:r>
      <w:r>
        <w:rPr/>
        <w:t>research</w:t>
      </w:r>
      <w:r>
        <w:rPr>
          <w:spacing w:val="-17"/>
        </w:rPr>
        <w:t> </w:t>
      </w:r>
      <w:r>
        <w:rPr/>
        <w:t>reports</w:t>
      </w:r>
      <w:r>
        <w:rPr>
          <w:spacing w:val="-17"/>
        </w:rPr>
        <w:t> </w:t>
      </w:r>
      <w:r>
        <w:rPr/>
        <w:t>and</w:t>
      </w:r>
      <w:r>
        <w:rPr>
          <w:spacing w:val="-17"/>
        </w:rPr>
        <w:t> </w:t>
      </w:r>
      <w:r>
        <w:rPr/>
        <w:t>creative</w:t>
      </w:r>
      <w:r>
        <w:rPr>
          <w:spacing w:val="-17"/>
        </w:rPr>
        <w:t> </w:t>
      </w:r>
      <w:r>
        <w:rPr/>
        <w:t>works</w:t>
      </w:r>
      <w:r>
        <w:rPr>
          <w:spacing w:val="-17"/>
        </w:rPr>
        <w:t> </w:t>
      </w:r>
      <w:r>
        <w:rPr/>
        <w:t>within the University. In all, SSAP staff members </w:t>
      </w:r>
      <w:r>
        <w:rPr>
          <w:w w:val="99"/>
        </w:rPr>
        <w:t>contributed </w:t>
      </w:r>
      <w:r>
        <w:rPr>
          <w:spacing w:val="3"/>
          <w:w w:val="81"/>
        </w:rPr>
        <w:t>10.2</w:t>
      </w:r>
      <w:r>
        <w:rPr>
          <w:w w:val="81"/>
        </w:rPr>
        <w:t> </w:t>
      </w:r>
      <w:r>
        <w:rPr>
          <w:spacing w:val="1"/>
          <w:w w:val="97"/>
        </w:rPr>
        <w:t>per</w:t>
      </w:r>
      <w:r>
        <w:rPr>
          <w:w w:val="97"/>
        </w:rPr>
        <w:t> </w:t>
      </w:r>
      <w:r>
        <w:rPr>
          <w:w w:val="99"/>
        </w:rPr>
        <w:t>cent </w:t>
      </w:r>
      <w:r>
        <w:rPr>
          <w:w w:val="99"/>
        </w:rPr>
        <w:t>of </w:t>
      </w:r>
      <w:r>
        <w:rPr>
          <w:w w:val="97"/>
        </w:rPr>
        <w:t>the </w:t>
      </w:r>
      <w:r>
        <w:rPr>
          <w:w w:val="98"/>
        </w:rPr>
        <w:t>weighted </w:t>
      </w:r>
      <w:r>
        <w:rPr/>
        <w:t>publications</w:t>
      </w:r>
      <w:r>
        <w:rPr>
          <w:spacing w:val="-21"/>
        </w:rPr>
        <w:t> </w:t>
      </w:r>
      <w:r>
        <w:rPr/>
        <w:t>of</w:t>
      </w:r>
      <w:r>
        <w:rPr>
          <w:spacing w:val="-21"/>
        </w:rPr>
        <w:t> </w:t>
      </w:r>
      <w:r>
        <w:rPr/>
        <w:t>the</w:t>
      </w:r>
      <w:r>
        <w:rPr>
          <w:spacing w:val="-21"/>
        </w:rPr>
        <w:t> </w:t>
      </w:r>
      <w:r>
        <w:rPr/>
        <w:t>University.</w:t>
      </w:r>
    </w:p>
    <w:p>
      <w:pPr>
        <w:pStyle w:val="BodyText"/>
        <w:rPr>
          <w:sz w:val="14"/>
        </w:rPr>
      </w:pPr>
    </w:p>
    <w:p>
      <w:pPr>
        <w:pStyle w:val="BodyText"/>
        <w:spacing w:line="249" w:lineRule="auto"/>
        <w:ind w:left="107" w:right="-2"/>
      </w:pPr>
      <w:r>
        <w:rPr/>
        <w:t>The</w:t>
      </w:r>
      <w:r>
        <w:rPr>
          <w:spacing w:val="-14"/>
        </w:rPr>
        <w:t> </w:t>
      </w:r>
      <w:r>
        <w:rPr/>
        <w:t>following</w:t>
      </w:r>
      <w:r>
        <w:rPr>
          <w:spacing w:val="-14"/>
        </w:rPr>
        <w:t> </w:t>
      </w:r>
      <w:r>
        <w:rPr/>
        <w:t>books</w:t>
      </w:r>
      <w:r>
        <w:rPr>
          <w:spacing w:val="-14"/>
        </w:rPr>
        <w:t> </w:t>
      </w:r>
      <w:r>
        <w:rPr/>
        <w:t>were</w:t>
      </w:r>
      <w:r>
        <w:rPr>
          <w:spacing w:val="-14"/>
        </w:rPr>
        <w:t> </w:t>
      </w:r>
      <w:r>
        <w:rPr/>
        <w:t>written</w:t>
      </w:r>
      <w:r>
        <w:rPr>
          <w:spacing w:val="-14"/>
        </w:rPr>
        <w:t> </w:t>
      </w:r>
      <w:r>
        <w:rPr/>
        <w:t>or</w:t>
      </w:r>
      <w:r>
        <w:rPr>
          <w:spacing w:val="-14"/>
        </w:rPr>
        <w:t> </w:t>
      </w:r>
      <w:r>
        <w:rPr/>
        <w:t>edited</w:t>
      </w:r>
      <w:r>
        <w:rPr>
          <w:spacing w:val="-14"/>
        </w:rPr>
        <w:t> </w:t>
      </w:r>
      <w:r>
        <w:rPr/>
        <w:t>by </w:t>
      </w:r>
      <w:r>
        <w:rPr>
          <w:spacing w:val="1"/>
          <w:w w:val="103"/>
        </w:rPr>
        <w:t>SSAP</w:t>
      </w:r>
      <w:r>
        <w:rPr>
          <w:w w:val="103"/>
        </w:rPr>
        <w:t> </w:t>
      </w:r>
      <w:r>
        <w:rPr>
          <w:spacing w:val="1"/>
          <w:w w:val="97"/>
        </w:rPr>
        <w:t>staff</w:t>
      </w:r>
      <w:r>
        <w:rPr>
          <w:w w:val="97"/>
        </w:rPr>
        <w:t> </w:t>
      </w:r>
      <w:r>
        <w:rPr>
          <w:spacing w:val="1"/>
          <w:w w:val="97"/>
        </w:rPr>
        <w:t>members</w:t>
      </w:r>
      <w:r>
        <w:rPr>
          <w:w w:val="97"/>
        </w:rPr>
        <w:t> </w:t>
      </w:r>
      <w:r>
        <w:rPr>
          <w:w w:val="95"/>
        </w:rPr>
        <w:t>in</w:t>
      </w:r>
      <w:r>
        <w:rPr>
          <w:spacing w:val="-25"/>
          <w:w w:val="95"/>
        </w:rPr>
        <w:t> </w:t>
      </w:r>
      <w:r>
        <w:rPr>
          <w:spacing w:val="1"/>
          <w:w w:val="84"/>
        </w:rPr>
        <w:t>2016:</w:t>
      </w:r>
    </w:p>
    <w:p>
      <w:pPr>
        <w:spacing w:line="244" w:lineRule="auto" w:before="55"/>
        <w:ind w:left="107" w:right="5" w:firstLine="0"/>
        <w:jc w:val="left"/>
        <w:rPr>
          <w:rFonts w:ascii="Century Gothic"/>
          <w:i/>
          <w:sz w:val="16"/>
        </w:rPr>
      </w:pPr>
      <w:r>
        <w:rPr>
          <w:rFonts w:ascii="Century Gothic"/>
          <w:i/>
          <w:sz w:val="16"/>
        </w:rPr>
        <w:t>Disappearing Object Phenomenon: An </w:t>
      </w:r>
      <w:r>
        <w:rPr>
          <w:rFonts w:ascii="Century Gothic"/>
          <w:i/>
          <w:sz w:val="16"/>
        </w:rPr>
        <w:t>Investigation </w:t>
      </w:r>
      <w:r>
        <w:rPr>
          <w:sz w:val="16"/>
        </w:rPr>
        <w:t>(McFarland); </w:t>
      </w:r>
      <w:r>
        <w:rPr>
          <w:rFonts w:ascii="Century Gothic"/>
          <w:i/>
          <w:sz w:val="16"/>
        </w:rPr>
        <w:t>Australian </w:t>
      </w:r>
      <w:r>
        <w:rPr>
          <w:rFonts w:ascii="Century Gothic"/>
          <w:i/>
          <w:w w:val="90"/>
          <w:sz w:val="16"/>
        </w:rPr>
        <w:t>Violence: Crime, Criminal Justice and Beyond </w:t>
      </w:r>
      <w:r>
        <w:rPr>
          <w:sz w:val="16"/>
        </w:rPr>
        <w:t>(Federation Press); </w:t>
      </w:r>
      <w:r>
        <w:rPr>
          <w:rFonts w:ascii="Century Gothic"/>
          <w:i/>
          <w:sz w:val="16"/>
        </w:rPr>
        <w:t>Identity and Belonging </w:t>
      </w:r>
      <w:r>
        <w:rPr>
          <w:sz w:val="16"/>
        </w:rPr>
        <w:t>(Palgrave Macmillan); </w:t>
      </w:r>
      <w:r>
        <w:rPr>
          <w:rFonts w:ascii="Century Gothic"/>
          <w:i/>
          <w:sz w:val="16"/>
        </w:rPr>
        <w:t>Memory, Place and </w:t>
      </w:r>
      <w:r>
        <w:rPr>
          <w:rFonts w:ascii="Century Gothic"/>
          <w:i/>
          <w:w w:val="85"/>
          <w:sz w:val="16"/>
        </w:rPr>
        <w:t>Identity: Commemoration and Remembrance </w:t>
      </w:r>
      <w:r>
        <w:rPr>
          <w:rFonts w:ascii="Century Gothic"/>
          <w:i/>
          <w:w w:val="95"/>
          <w:sz w:val="16"/>
        </w:rPr>
        <w:t>of War and Conflict </w:t>
      </w:r>
      <w:r>
        <w:rPr>
          <w:w w:val="95"/>
          <w:sz w:val="16"/>
        </w:rPr>
        <w:t>(Routledge); </w:t>
      </w:r>
      <w:r>
        <w:rPr>
          <w:rFonts w:ascii="Century Gothic"/>
          <w:i/>
          <w:w w:val="95"/>
          <w:sz w:val="16"/>
        </w:rPr>
        <w:t>Heritage, </w:t>
      </w:r>
      <w:r>
        <w:rPr>
          <w:rFonts w:ascii="Century Gothic"/>
          <w:i/>
          <w:w w:val="95"/>
          <w:sz w:val="16"/>
        </w:rPr>
        <w:t>Affect and Emotion: Politics, Practices and Infrastructures </w:t>
      </w:r>
      <w:r>
        <w:rPr>
          <w:w w:val="95"/>
          <w:sz w:val="16"/>
        </w:rPr>
        <w:t>(Routledge); </w:t>
      </w:r>
      <w:r>
        <w:rPr>
          <w:rFonts w:ascii="Century Gothic"/>
          <w:i/>
          <w:w w:val="95"/>
          <w:sz w:val="16"/>
        </w:rPr>
        <w:t>The Poetics</w:t>
      </w:r>
    </w:p>
    <w:p>
      <w:pPr>
        <w:spacing w:line="244" w:lineRule="auto" w:before="0"/>
        <w:ind w:left="107" w:right="-2" w:firstLine="0"/>
        <w:jc w:val="left"/>
        <w:rPr>
          <w:sz w:val="16"/>
        </w:rPr>
      </w:pPr>
      <w:r>
        <w:rPr>
          <w:rFonts w:ascii="Century Gothic"/>
          <w:i/>
          <w:sz w:val="16"/>
        </w:rPr>
        <w:t>of Travel </w:t>
      </w:r>
      <w:r>
        <w:rPr>
          <w:sz w:val="16"/>
        </w:rPr>
        <w:t>(Berghahn); </w:t>
      </w:r>
      <w:r>
        <w:rPr>
          <w:rFonts w:ascii="Century Gothic"/>
          <w:i/>
          <w:sz w:val="16"/>
        </w:rPr>
        <w:t>Heritage in Action: </w:t>
      </w:r>
      <w:r>
        <w:rPr>
          <w:rFonts w:ascii="Century Gothic"/>
          <w:i/>
          <w:w w:val="95"/>
          <w:sz w:val="16"/>
        </w:rPr>
        <w:t>Making</w:t>
      </w:r>
      <w:r>
        <w:rPr>
          <w:rFonts w:ascii="Century Gothic"/>
          <w:i/>
          <w:spacing w:val="-20"/>
          <w:w w:val="95"/>
          <w:sz w:val="16"/>
        </w:rPr>
        <w:t> </w:t>
      </w:r>
      <w:r>
        <w:rPr>
          <w:rFonts w:ascii="Century Gothic"/>
          <w:i/>
          <w:w w:val="95"/>
          <w:sz w:val="16"/>
        </w:rPr>
        <w:t>the</w:t>
      </w:r>
      <w:r>
        <w:rPr>
          <w:rFonts w:ascii="Century Gothic"/>
          <w:i/>
          <w:spacing w:val="-20"/>
          <w:w w:val="95"/>
          <w:sz w:val="16"/>
        </w:rPr>
        <w:t> </w:t>
      </w:r>
      <w:r>
        <w:rPr>
          <w:rFonts w:ascii="Century Gothic"/>
          <w:i/>
          <w:w w:val="95"/>
          <w:sz w:val="16"/>
        </w:rPr>
        <w:t>Past</w:t>
      </w:r>
      <w:r>
        <w:rPr>
          <w:rFonts w:ascii="Century Gothic"/>
          <w:i/>
          <w:spacing w:val="-20"/>
          <w:w w:val="95"/>
          <w:sz w:val="16"/>
        </w:rPr>
        <w:t> </w:t>
      </w:r>
      <w:r>
        <w:rPr>
          <w:rFonts w:ascii="Century Gothic"/>
          <w:i/>
          <w:w w:val="95"/>
          <w:sz w:val="16"/>
        </w:rPr>
        <w:t>in</w:t>
      </w:r>
      <w:r>
        <w:rPr>
          <w:rFonts w:ascii="Century Gothic"/>
          <w:i/>
          <w:spacing w:val="-20"/>
          <w:w w:val="95"/>
          <w:sz w:val="16"/>
        </w:rPr>
        <w:t> </w:t>
      </w:r>
      <w:r>
        <w:rPr>
          <w:rFonts w:ascii="Century Gothic"/>
          <w:i/>
          <w:w w:val="95"/>
          <w:sz w:val="16"/>
        </w:rPr>
        <w:t>the</w:t>
      </w:r>
      <w:r>
        <w:rPr>
          <w:rFonts w:ascii="Century Gothic"/>
          <w:i/>
          <w:spacing w:val="-20"/>
          <w:w w:val="95"/>
          <w:sz w:val="16"/>
        </w:rPr>
        <w:t> </w:t>
      </w:r>
      <w:r>
        <w:rPr>
          <w:rFonts w:ascii="Century Gothic"/>
          <w:i/>
          <w:w w:val="95"/>
          <w:sz w:val="16"/>
        </w:rPr>
        <w:t>Present</w:t>
      </w:r>
      <w:r>
        <w:rPr>
          <w:rFonts w:ascii="Century Gothic"/>
          <w:i/>
          <w:spacing w:val="-20"/>
          <w:w w:val="95"/>
          <w:sz w:val="16"/>
        </w:rPr>
        <w:t> </w:t>
      </w:r>
      <w:r>
        <w:rPr>
          <w:w w:val="95"/>
          <w:sz w:val="16"/>
        </w:rPr>
        <w:t>(Springer);</w:t>
      </w:r>
      <w:r>
        <w:rPr>
          <w:spacing w:val="-25"/>
          <w:w w:val="95"/>
          <w:sz w:val="16"/>
        </w:rPr>
        <w:t> </w:t>
      </w:r>
      <w:r>
        <w:rPr>
          <w:w w:val="95"/>
          <w:sz w:val="16"/>
        </w:rPr>
        <w:t>and </w:t>
      </w:r>
      <w:r>
        <w:rPr>
          <w:rFonts w:ascii="Century Gothic"/>
          <w:i/>
          <w:w w:val="90"/>
          <w:sz w:val="16"/>
        </w:rPr>
        <w:t>Religion and Non-Religion Among Australian </w:t>
      </w:r>
      <w:r>
        <w:rPr>
          <w:rFonts w:ascii="Century Gothic"/>
          <w:i/>
          <w:w w:val="90"/>
          <w:sz w:val="16"/>
        </w:rPr>
        <w:t>Aboriginal  Peoples</w:t>
      </w:r>
      <w:r>
        <w:rPr>
          <w:rFonts w:ascii="Century Gothic"/>
          <w:i/>
          <w:spacing w:val="7"/>
          <w:w w:val="90"/>
          <w:sz w:val="16"/>
        </w:rPr>
        <w:t> </w:t>
      </w:r>
      <w:r>
        <w:rPr>
          <w:w w:val="90"/>
          <w:sz w:val="16"/>
        </w:rPr>
        <w:t>(Routledge).</w:t>
      </w:r>
    </w:p>
    <w:p>
      <w:pPr>
        <w:pStyle w:val="BodyText"/>
        <w:spacing w:before="1"/>
        <w:rPr>
          <w:sz w:val="14"/>
        </w:rPr>
      </w:pPr>
    </w:p>
    <w:p>
      <w:pPr>
        <w:pStyle w:val="BodyText"/>
        <w:spacing w:line="249" w:lineRule="auto" w:before="1"/>
        <w:ind w:left="107" w:right="-2"/>
      </w:pPr>
      <w:r>
        <w:rPr/>
        <w:t>The SSAP’s research outputs align with the University’s</w:t>
      </w:r>
      <w:r>
        <w:rPr>
          <w:spacing w:val="-25"/>
        </w:rPr>
        <w:t> </w:t>
      </w:r>
      <w:r>
        <w:rPr/>
        <w:t>four</w:t>
      </w:r>
      <w:r>
        <w:rPr>
          <w:spacing w:val="-25"/>
        </w:rPr>
        <w:t> </w:t>
      </w:r>
      <w:r>
        <w:rPr/>
        <w:t>research</w:t>
      </w:r>
      <w:r>
        <w:rPr>
          <w:spacing w:val="-25"/>
        </w:rPr>
        <w:t> </w:t>
      </w:r>
      <w:r>
        <w:rPr/>
        <w:t>themes.</w:t>
      </w:r>
      <w:r>
        <w:rPr>
          <w:spacing w:val="-25"/>
        </w:rPr>
        <w:t> </w:t>
      </w:r>
      <w:r>
        <w:rPr/>
        <w:t>Specifically, the</w:t>
      </w:r>
      <w:r>
        <w:rPr>
          <w:spacing w:val="-13"/>
        </w:rPr>
        <w:t> </w:t>
      </w:r>
      <w:r>
        <w:rPr/>
        <w:t>Urban</w:t>
      </w:r>
      <w:r>
        <w:rPr>
          <w:spacing w:val="-13"/>
        </w:rPr>
        <w:t> </w:t>
      </w:r>
      <w:r>
        <w:rPr/>
        <w:t>Living</w:t>
      </w:r>
      <w:r>
        <w:rPr>
          <w:spacing w:val="-13"/>
        </w:rPr>
        <w:t> </w:t>
      </w:r>
      <w:r>
        <w:rPr/>
        <w:t>and</w:t>
      </w:r>
      <w:r>
        <w:rPr>
          <w:spacing w:val="-13"/>
        </w:rPr>
        <w:t> </w:t>
      </w:r>
      <w:r>
        <w:rPr/>
        <w:t>Society</w:t>
      </w:r>
      <w:r>
        <w:rPr>
          <w:spacing w:val="-13"/>
        </w:rPr>
        <w:t> </w:t>
      </w:r>
      <w:r>
        <w:rPr/>
        <w:t>theme</w:t>
      </w:r>
      <w:r>
        <w:rPr>
          <w:spacing w:val="-13"/>
        </w:rPr>
        <w:t> </w:t>
      </w:r>
      <w:r>
        <w:rPr/>
        <w:t>and</w:t>
      </w:r>
    </w:p>
    <w:p>
      <w:pPr>
        <w:pStyle w:val="BodyText"/>
        <w:spacing w:line="249" w:lineRule="auto"/>
        <w:ind w:left="107" w:right="251"/>
      </w:pPr>
      <w:r>
        <w:rPr/>
        <w:t>the Health and Wellbeing theme capture the</w:t>
      </w:r>
      <w:r>
        <w:rPr>
          <w:spacing w:val="-16"/>
        </w:rPr>
        <w:t> </w:t>
      </w:r>
      <w:r>
        <w:rPr/>
        <w:t>majority</w:t>
      </w:r>
      <w:r>
        <w:rPr>
          <w:spacing w:val="-16"/>
        </w:rPr>
        <w:t> </w:t>
      </w:r>
      <w:r>
        <w:rPr/>
        <w:t>of</w:t>
      </w:r>
      <w:r>
        <w:rPr>
          <w:spacing w:val="-16"/>
        </w:rPr>
        <w:t> </w:t>
      </w:r>
      <w:r>
        <w:rPr/>
        <w:t>the</w:t>
      </w:r>
      <w:r>
        <w:rPr>
          <w:spacing w:val="-16"/>
        </w:rPr>
        <w:t> </w:t>
      </w:r>
      <w:r>
        <w:rPr/>
        <w:t>School’s</w:t>
      </w:r>
      <w:r>
        <w:rPr>
          <w:spacing w:val="-16"/>
        </w:rPr>
        <w:t> </w:t>
      </w:r>
      <w:r>
        <w:rPr/>
        <w:t>research,</w:t>
      </w:r>
      <w:r>
        <w:rPr>
          <w:spacing w:val="-16"/>
        </w:rPr>
        <w:t> </w:t>
      </w:r>
      <w:r>
        <w:rPr/>
        <w:t>and it</w:t>
      </w:r>
      <w:r>
        <w:rPr>
          <w:spacing w:val="-17"/>
        </w:rPr>
        <w:t> </w:t>
      </w:r>
      <w:r>
        <w:rPr/>
        <w:t>is</w:t>
      </w:r>
      <w:r>
        <w:rPr>
          <w:spacing w:val="-17"/>
        </w:rPr>
        <w:t> </w:t>
      </w:r>
      <w:r>
        <w:rPr/>
        <w:t>working</w:t>
      </w:r>
      <w:r>
        <w:rPr>
          <w:spacing w:val="-17"/>
        </w:rPr>
        <w:t> </w:t>
      </w:r>
      <w:r>
        <w:rPr/>
        <w:t>with</w:t>
      </w:r>
      <w:r>
        <w:rPr>
          <w:spacing w:val="-17"/>
        </w:rPr>
        <w:t> </w:t>
      </w:r>
      <w:r>
        <w:rPr/>
        <w:t>the</w:t>
      </w:r>
      <w:r>
        <w:rPr>
          <w:spacing w:val="-17"/>
        </w:rPr>
        <w:t> </w:t>
      </w:r>
      <w:r>
        <w:rPr/>
        <w:t>new</w:t>
      </w:r>
      <w:r>
        <w:rPr>
          <w:spacing w:val="-17"/>
        </w:rPr>
        <w:t> </w:t>
      </w:r>
      <w:r>
        <w:rPr/>
        <w:t>Research</w:t>
      </w:r>
      <w:r>
        <w:rPr>
          <w:spacing w:val="-17"/>
        </w:rPr>
        <w:t> </w:t>
      </w:r>
      <w:r>
        <w:rPr/>
        <w:t>Theme Champions</w:t>
      </w:r>
      <w:r>
        <w:rPr>
          <w:spacing w:val="-14"/>
        </w:rPr>
        <w:t> </w:t>
      </w:r>
      <w:r>
        <w:rPr/>
        <w:t>to</w:t>
      </w:r>
      <w:r>
        <w:rPr>
          <w:spacing w:val="-14"/>
        </w:rPr>
        <w:t> </w:t>
      </w:r>
      <w:r>
        <w:rPr/>
        <w:t>continue</w:t>
      </w:r>
      <w:r>
        <w:rPr>
          <w:spacing w:val="-14"/>
        </w:rPr>
        <w:t> </w:t>
      </w:r>
      <w:r>
        <w:rPr/>
        <w:t>to</w:t>
      </w:r>
      <w:r>
        <w:rPr>
          <w:spacing w:val="-14"/>
        </w:rPr>
        <w:t> </w:t>
      </w:r>
      <w:r>
        <w:rPr/>
        <w:t>promote</w:t>
      </w:r>
      <w:r>
        <w:rPr>
          <w:spacing w:val="-14"/>
        </w:rPr>
        <w:t> </w:t>
      </w:r>
      <w:r>
        <w:rPr/>
        <w:t>and</w:t>
      </w:r>
    </w:p>
    <w:p>
      <w:pPr>
        <w:pStyle w:val="BodyText"/>
        <w:spacing w:line="192" w:lineRule="exact"/>
        <w:ind w:left="107" w:right="-2"/>
      </w:pPr>
      <w:r>
        <w:rPr/>
        <w:t>broaden crossdisciplinary research practices.</w:t>
      </w:r>
    </w:p>
    <w:p>
      <w:pPr>
        <w:pStyle w:val="BodyText"/>
        <w:spacing w:before="7"/>
        <w:rPr>
          <w:sz w:val="14"/>
        </w:rPr>
      </w:pPr>
    </w:p>
    <w:p>
      <w:pPr>
        <w:pStyle w:val="BodyText"/>
        <w:spacing w:line="249" w:lineRule="auto" w:before="1"/>
        <w:ind w:left="107" w:right="134"/>
      </w:pPr>
      <w:r>
        <w:rPr/>
        <w:t>The</w:t>
      </w:r>
      <w:r>
        <w:rPr>
          <w:spacing w:val="-16"/>
        </w:rPr>
        <w:t> </w:t>
      </w:r>
      <w:r>
        <w:rPr/>
        <w:t>SSAP</w:t>
      </w:r>
      <w:r>
        <w:rPr>
          <w:spacing w:val="-16"/>
        </w:rPr>
        <w:t> </w:t>
      </w:r>
      <w:r>
        <w:rPr/>
        <w:t>established</w:t>
      </w:r>
      <w:r>
        <w:rPr>
          <w:spacing w:val="-16"/>
        </w:rPr>
        <w:t> </w:t>
      </w:r>
      <w:r>
        <w:rPr/>
        <w:t>the</w:t>
      </w:r>
      <w:r>
        <w:rPr>
          <w:spacing w:val="-16"/>
        </w:rPr>
        <w:t> </w:t>
      </w:r>
      <w:r>
        <w:rPr/>
        <w:t>Humanitarian</w:t>
      </w:r>
      <w:r>
        <w:rPr>
          <w:spacing w:val="-16"/>
        </w:rPr>
        <w:t> </w:t>
      </w:r>
      <w:r>
        <w:rPr/>
        <w:t>and Development Research Initiative (HADRI) as a University-recognised research group </w:t>
      </w:r>
      <w:r>
        <w:rPr>
          <w:w w:val="95"/>
        </w:rPr>
        <w:t>in </w:t>
      </w:r>
      <w:r>
        <w:rPr>
          <w:spacing w:val="1"/>
          <w:w w:val="98"/>
        </w:rPr>
        <w:t>June</w:t>
      </w:r>
      <w:r>
        <w:rPr>
          <w:w w:val="98"/>
        </w:rPr>
        <w:t> </w:t>
      </w:r>
      <w:r>
        <w:rPr>
          <w:spacing w:val="2"/>
          <w:w w:val="85"/>
        </w:rPr>
        <w:t>2016.</w:t>
      </w:r>
      <w:r>
        <w:rPr>
          <w:w w:val="85"/>
        </w:rPr>
        <w:t> </w:t>
      </w:r>
      <w:r>
        <w:rPr>
          <w:spacing w:val="1"/>
          <w:w w:val="94"/>
        </w:rPr>
        <w:t>The</w:t>
      </w:r>
      <w:r>
        <w:rPr>
          <w:w w:val="94"/>
        </w:rPr>
        <w:t> </w:t>
      </w:r>
      <w:r>
        <w:rPr>
          <w:w w:val="98"/>
        </w:rPr>
        <w:t>group’s </w:t>
      </w:r>
      <w:r>
        <w:rPr>
          <w:spacing w:val="1"/>
          <w:w w:val="96"/>
        </w:rPr>
        <w:t>mission</w:t>
      </w:r>
      <w:r>
        <w:rPr>
          <w:w w:val="96"/>
        </w:rPr>
        <w:t> </w:t>
      </w:r>
      <w:r>
        <w:rPr>
          <w:w w:val="95"/>
        </w:rPr>
        <w:t>is </w:t>
      </w:r>
      <w:r>
        <w:rPr>
          <w:spacing w:val="-1"/>
          <w:w w:val="101"/>
        </w:rPr>
        <w:t>to</w:t>
      </w:r>
      <w:r>
        <w:rPr>
          <w:w w:val="101"/>
        </w:rPr>
        <w:t> </w:t>
      </w:r>
      <w:r>
        <w:rPr/>
        <w:t>combine</w:t>
      </w:r>
      <w:r>
        <w:rPr>
          <w:spacing w:val="-17"/>
        </w:rPr>
        <w:t> </w:t>
      </w:r>
      <w:r>
        <w:rPr/>
        <w:t>two</w:t>
      </w:r>
      <w:r>
        <w:rPr>
          <w:spacing w:val="-17"/>
        </w:rPr>
        <w:t> </w:t>
      </w:r>
      <w:r>
        <w:rPr/>
        <w:t>interrelated</w:t>
      </w:r>
      <w:r>
        <w:rPr>
          <w:spacing w:val="-17"/>
        </w:rPr>
        <w:t> </w:t>
      </w:r>
      <w:r>
        <w:rPr/>
        <w:t>areas</w:t>
      </w:r>
      <w:r>
        <w:rPr>
          <w:spacing w:val="-17"/>
        </w:rPr>
        <w:t> </w:t>
      </w:r>
      <w:r>
        <w:rPr/>
        <w:t>of</w:t>
      </w:r>
      <w:r>
        <w:rPr>
          <w:spacing w:val="-17"/>
        </w:rPr>
        <w:t> </w:t>
      </w:r>
      <w:r>
        <w:rPr/>
        <w:t>inquiry</w:t>
      </w:r>
    </w:p>
    <w:p>
      <w:pPr>
        <w:pStyle w:val="BodyText"/>
        <w:spacing w:line="249" w:lineRule="auto"/>
        <w:ind w:left="107" w:right="91"/>
      </w:pPr>
      <w:r>
        <w:rPr/>
        <w:t>– humanitarian studies and development studies – to illuminate the interrelationships between development processes, humanitarian practice, interventions in </w:t>
      </w:r>
      <w:r>
        <w:rPr>
          <w:w w:val="97"/>
        </w:rPr>
        <w:t>states </w:t>
      </w:r>
      <w:r>
        <w:rPr>
          <w:w w:val="97"/>
        </w:rPr>
        <w:t>and </w:t>
      </w:r>
      <w:r>
        <w:rPr>
          <w:w w:val="95"/>
        </w:rPr>
        <w:t>human </w:t>
      </w:r>
      <w:r>
        <w:rPr>
          <w:w w:val="94"/>
        </w:rPr>
        <w:t>security. </w:t>
      </w:r>
      <w:r>
        <w:rPr>
          <w:w w:val="97"/>
        </w:rPr>
        <w:t>Throughout </w:t>
      </w:r>
      <w:r>
        <w:rPr>
          <w:w w:val="85"/>
        </w:rPr>
        <w:t>2016, </w:t>
      </w:r>
      <w:r>
        <w:rPr/>
        <w:t>HADRI hosted Visiting Fellow Associate Professor Wen Chen from the School of Public Health at Sun Yat-Sen University,</w:t>
      </w:r>
    </w:p>
    <w:p>
      <w:pPr>
        <w:pStyle w:val="BodyText"/>
        <w:spacing w:line="249" w:lineRule="auto"/>
        <w:ind w:left="107" w:right="400"/>
      </w:pPr>
      <w:r>
        <w:rPr/>
        <w:t>who</w:t>
      </w:r>
      <w:r>
        <w:rPr>
          <w:spacing w:val="-16"/>
        </w:rPr>
        <w:t> </w:t>
      </w:r>
      <w:r>
        <w:rPr/>
        <w:t>is</w:t>
      </w:r>
      <w:r>
        <w:rPr>
          <w:spacing w:val="-16"/>
        </w:rPr>
        <w:t> </w:t>
      </w:r>
      <w:r>
        <w:rPr/>
        <w:t>a</w:t>
      </w:r>
      <w:r>
        <w:rPr>
          <w:spacing w:val="-16"/>
        </w:rPr>
        <w:t> </w:t>
      </w:r>
      <w:r>
        <w:rPr/>
        <w:t>project</w:t>
      </w:r>
      <w:r>
        <w:rPr>
          <w:spacing w:val="-16"/>
        </w:rPr>
        <w:t> </w:t>
      </w:r>
      <w:r>
        <w:rPr/>
        <w:t>manager</w:t>
      </w:r>
      <w:r>
        <w:rPr>
          <w:spacing w:val="-16"/>
        </w:rPr>
        <w:t> </w:t>
      </w:r>
      <w:r>
        <w:rPr/>
        <w:t>at</w:t>
      </w:r>
      <w:r>
        <w:rPr>
          <w:spacing w:val="-16"/>
        </w:rPr>
        <w:t> </w:t>
      </w:r>
      <w:r>
        <w:rPr/>
        <w:t>the</w:t>
      </w:r>
      <w:r>
        <w:rPr>
          <w:spacing w:val="-16"/>
        </w:rPr>
        <w:t> </w:t>
      </w:r>
      <w:r>
        <w:rPr/>
        <w:t>Sun</w:t>
      </w:r>
      <w:r>
        <w:rPr>
          <w:spacing w:val="-16"/>
        </w:rPr>
        <w:t> </w:t>
      </w:r>
      <w:r>
        <w:rPr>
          <w:spacing w:val="-3"/>
        </w:rPr>
        <w:t>Yat- </w:t>
      </w:r>
      <w:r>
        <w:rPr/>
        <w:t>Sen</w:t>
      </w:r>
      <w:r>
        <w:rPr>
          <w:spacing w:val="-19"/>
        </w:rPr>
        <w:t> </w:t>
      </w:r>
      <w:r>
        <w:rPr/>
        <w:t>Center</w:t>
      </w:r>
      <w:r>
        <w:rPr>
          <w:spacing w:val="-19"/>
        </w:rPr>
        <w:t> </w:t>
      </w:r>
      <w:r>
        <w:rPr/>
        <w:t>for</w:t>
      </w:r>
      <w:r>
        <w:rPr>
          <w:spacing w:val="-19"/>
        </w:rPr>
        <w:t> </w:t>
      </w:r>
      <w:r>
        <w:rPr/>
        <w:t>Migrant</w:t>
      </w:r>
      <w:r>
        <w:rPr>
          <w:spacing w:val="-19"/>
        </w:rPr>
        <w:t> </w:t>
      </w:r>
      <w:r>
        <w:rPr/>
        <w:t>Health</w:t>
      </w:r>
      <w:r>
        <w:rPr>
          <w:spacing w:val="-19"/>
        </w:rPr>
        <w:t> </w:t>
      </w:r>
      <w:r>
        <w:rPr/>
        <w:t>Policy.</w:t>
      </w:r>
    </w:p>
    <w:p>
      <w:pPr>
        <w:pStyle w:val="BodyText"/>
        <w:rPr>
          <w:sz w:val="14"/>
        </w:rPr>
      </w:pPr>
    </w:p>
    <w:p>
      <w:pPr>
        <w:pStyle w:val="BodyText"/>
        <w:spacing w:line="249" w:lineRule="auto"/>
        <w:ind w:left="107" w:right="36"/>
      </w:pP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spacing w:val="1"/>
          <w:w w:val="98"/>
        </w:rPr>
        <w:t>showcased</w:t>
      </w:r>
      <w:r>
        <w:rPr>
          <w:w w:val="98"/>
        </w:rPr>
        <w:t> </w:t>
      </w:r>
      <w:r>
        <w:rPr>
          <w:spacing w:val="1"/>
          <w:w w:val="97"/>
        </w:rPr>
        <w:t>its</w:t>
      </w:r>
      <w:r>
        <w:rPr>
          <w:w w:val="97"/>
        </w:rPr>
        <w:t> </w:t>
      </w:r>
      <w:r>
        <w:rPr>
          <w:spacing w:val="1"/>
          <w:w w:val="96"/>
        </w:rPr>
        <w:t>research</w:t>
      </w:r>
      <w:r>
        <w:rPr>
          <w:w w:val="96"/>
        </w:rPr>
        <w:t> </w:t>
      </w:r>
      <w:r>
        <w:rPr/>
        <w:t>through activities such as the SSAP Aboriginal</w:t>
      </w:r>
      <w:r>
        <w:rPr>
          <w:spacing w:val="-22"/>
        </w:rPr>
        <w:t> </w:t>
      </w:r>
      <w:r>
        <w:rPr/>
        <w:t>and</w:t>
      </w:r>
      <w:r>
        <w:rPr>
          <w:spacing w:val="-22"/>
        </w:rPr>
        <w:t> </w:t>
      </w:r>
      <w:r>
        <w:rPr/>
        <w:t>Torres</w:t>
      </w:r>
      <w:r>
        <w:rPr>
          <w:spacing w:val="-22"/>
        </w:rPr>
        <w:t> </w:t>
      </w:r>
      <w:r>
        <w:rPr/>
        <w:t>Strait</w:t>
      </w:r>
      <w:r>
        <w:rPr>
          <w:spacing w:val="-22"/>
        </w:rPr>
        <w:t> </w:t>
      </w:r>
      <w:r>
        <w:rPr/>
        <w:t>Islander</w:t>
      </w:r>
      <w:r>
        <w:rPr>
          <w:spacing w:val="-22"/>
        </w:rPr>
        <w:t> </w:t>
      </w:r>
      <w:r>
        <w:rPr/>
        <w:t>Research Symposium,</w:t>
      </w:r>
      <w:r>
        <w:rPr>
          <w:spacing w:val="-13"/>
        </w:rPr>
        <w:t> </w:t>
      </w:r>
      <w:r>
        <w:rPr/>
        <w:t>the</w:t>
      </w:r>
      <w:r>
        <w:rPr>
          <w:spacing w:val="-13"/>
        </w:rPr>
        <w:t> </w:t>
      </w:r>
      <w:r>
        <w:rPr/>
        <w:t>SSAP</w:t>
      </w:r>
      <w:r>
        <w:rPr>
          <w:spacing w:val="-13"/>
        </w:rPr>
        <w:t> </w:t>
      </w:r>
      <w:r>
        <w:rPr/>
        <w:t>New</w:t>
      </w:r>
      <w:r>
        <w:rPr>
          <w:spacing w:val="-13"/>
        </w:rPr>
        <w:t> </w:t>
      </w:r>
      <w:r>
        <w:rPr/>
        <w:t>Social</w:t>
      </w:r>
      <w:r>
        <w:rPr>
          <w:spacing w:val="-13"/>
        </w:rPr>
        <w:t> </w:t>
      </w:r>
      <w:r>
        <w:rPr/>
        <w:t>Media</w:t>
      </w:r>
    </w:p>
    <w:p>
      <w:pPr>
        <w:pStyle w:val="BodyText"/>
        <w:spacing w:line="249" w:lineRule="auto"/>
        <w:ind w:left="107" w:right="173"/>
      </w:pPr>
      <w:r>
        <w:rPr/>
        <w:t>and Digital Research Methods Symposium, the Islamophobia in Australia Symposium, the SSAP IT Lightning Talks and the SSAP Professorial Lectures Series.</w:t>
      </w:r>
    </w:p>
    <w:p>
      <w:pPr>
        <w:pStyle w:val="BodyText"/>
        <w:spacing w:before="9"/>
      </w:pPr>
      <w:r>
        <w:rPr/>
        <w:br w:type="column"/>
      </w:r>
      <w:r>
        <w:rPr/>
      </w:r>
    </w:p>
    <w:p>
      <w:pPr>
        <w:pStyle w:val="BodyText"/>
        <w:spacing w:line="249" w:lineRule="auto" w:before="1"/>
        <w:ind w:left="107" w:right="314"/>
      </w:pPr>
      <w:r>
        <w:rPr/>
        <w:t>Other research outcomes for the School in </w:t>
      </w:r>
      <w:r>
        <w:rPr>
          <w:w w:val="90"/>
        </w:rPr>
        <w:t>2016 </w:t>
      </w:r>
      <w:r>
        <w:rPr>
          <w:w w:val="98"/>
        </w:rPr>
        <w:t>included </w:t>
      </w:r>
      <w:r>
        <w:rPr>
          <w:w w:val="97"/>
        </w:rPr>
        <w:t>the </w:t>
      </w:r>
      <w:r>
        <w:rPr>
          <w:w w:val="94"/>
        </w:rPr>
        <w:t>following:</w:t>
      </w:r>
    </w:p>
    <w:p>
      <w:pPr>
        <w:pStyle w:val="BodyText"/>
        <w:spacing w:line="247" w:lineRule="auto" w:before="55"/>
        <w:ind w:left="305" w:right="312" w:hanging="199"/>
      </w:pPr>
      <w:r>
        <w:rPr>
          <w:rFonts w:ascii="Century Gothic" w:hAnsi="Century Gothic"/>
          <w:b/>
          <w:w w:val="115"/>
        </w:rPr>
        <w:t>≥ </w:t>
      </w:r>
      <w:r>
        <w:rPr/>
        <w:t>The Royal Commission into Institutional Responses</w:t>
      </w:r>
      <w:r>
        <w:rPr>
          <w:spacing w:val="-13"/>
        </w:rPr>
        <w:t> </w:t>
      </w:r>
      <w:r>
        <w:rPr/>
        <w:t>to</w:t>
      </w:r>
      <w:r>
        <w:rPr>
          <w:spacing w:val="-13"/>
        </w:rPr>
        <w:t> </w:t>
      </w:r>
      <w:r>
        <w:rPr/>
        <w:t>Child</w:t>
      </w:r>
      <w:r>
        <w:rPr>
          <w:spacing w:val="-13"/>
        </w:rPr>
        <w:t> </w:t>
      </w:r>
      <w:r>
        <w:rPr/>
        <w:t>Sexual</w:t>
      </w:r>
      <w:r>
        <w:rPr>
          <w:spacing w:val="-13"/>
        </w:rPr>
        <w:t> </w:t>
      </w:r>
      <w:r>
        <w:rPr/>
        <w:t>Abuse</w:t>
      </w:r>
      <w:r>
        <w:rPr>
          <w:spacing w:val="-13"/>
        </w:rPr>
        <w:t> </w:t>
      </w:r>
      <w:r>
        <w:rPr/>
        <w:t>invited Kerry Robinson, Moira Carmody and Michael Salter (Sexualities and Genders Research)</w:t>
      </w:r>
      <w:r>
        <w:rPr>
          <w:spacing w:val="-19"/>
        </w:rPr>
        <w:t> </w:t>
      </w:r>
      <w:r>
        <w:rPr/>
        <w:t>to</w:t>
      </w:r>
      <w:r>
        <w:rPr>
          <w:spacing w:val="-19"/>
        </w:rPr>
        <w:t> </w:t>
      </w:r>
      <w:r>
        <w:rPr>
          <w:spacing w:val="2"/>
        </w:rPr>
        <w:t>act</w:t>
      </w:r>
      <w:r>
        <w:rPr>
          <w:spacing w:val="-19"/>
        </w:rPr>
        <w:t> </w:t>
      </w:r>
      <w:r>
        <w:rPr/>
        <w:t>as</w:t>
      </w:r>
      <w:r>
        <w:rPr>
          <w:spacing w:val="-19"/>
        </w:rPr>
        <w:t> </w:t>
      </w:r>
      <w:r>
        <w:rPr/>
        <w:t>expert</w:t>
      </w:r>
      <w:r>
        <w:rPr>
          <w:spacing w:val="-19"/>
        </w:rPr>
        <w:t> </w:t>
      </w:r>
      <w:r>
        <w:rPr/>
        <w:t>advisors.</w:t>
      </w:r>
      <w:r>
        <w:rPr>
          <w:spacing w:val="-19"/>
        </w:rPr>
        <w:t> </w:t>
      </w:r>
      <w:r>
        <w:rPr/>
        <w:t>This included participating in three full-day workshops on the factors contributing to the prevalence of child sexual abuse and what strategies might be useful in successfully intervening in this social problem. They made up half the invited experts</w:t>
      </w:r>
      <w:r>
        <w:rPr>
          <w:spacing w:val="-17"/>
        </w:rPr>
        <w:t> </w:t>
      </w:r>
      <w:r>
        <w:rPr/>
        <w:t>in</w:t>
      </w:r>
      <w:r>
        <w:rPr>
          <w:spacing w:val="-17"/>
        </w:rPr>
        <w:t> </w:t>
      </w:r>
      <w:r>
        <w:rPr/>
        <w:t>this</w:t>
      </w:r>
      <w:r>
        <w:rPr>
          <w:spacing w:val="-17"/>
        </w:rPr>
        <w:t> </w:t>
      </w:r>
      <w:r>
        <w:rPr/>
        <w:t>particular</w:t>
      </w:r>
      <w:r>
        <w:rPr>
          <w:spacing w:val="-17"/>
        </w:rPr>
        <w:t> </w:t>
      </w:r>
      <w:r>
        <w:rPr/>
        <w:t>committee.</w:t>
      </w:r>
    </w:p>
    <w:p>
      <w:pPr>
        <w:pStyle w:val="BodyText"/>
        <w:spacing w:line="247" w:lineRule="auto" w:before="57"/>
        <w:ind w:left="305" w:right="221" w:hanging="199"/>
      </w:pPr>
      <w:r>
        <w:rPr>
          <w:rFonts w:ascii="Century Gothic" w:hAnsi="Century Gothic"/>
          <w:b/>
          <w:w w:val="145"/>
        </w:rPr>
        <w:t>≥ </w:t>
      </w:r>
      <w:r>
        <w:rPr>
          <w:w w:val="98"/>
        </w:rPr>
        <w:t>Beginning </w:t>
      </w:r>
      <w:r>
        <w:rPr>
          <w:w w:val="95"/>
        </w:rPr>
        <w:t>in </w:t>
      </w:r>
      <w:r>
        <w:rPr>
          <w:w w:val="100"/>
        </w:rPr>
        <w:t>July </w:t>
      </w:r>
      <w:r>
        <w:rPr>
          <w:w w:val="83"/>
        </w:rPr>
        <w:t>2017, </w:t>
      </w:r>
      <w:r>
        <w:rPr>
          <w:w w:val="96"/>
        </w:rPr>
        <w:t>Dr </w:t>
      </w:r>
      <w:r>
        <w:rPr>
          <w:w w:val="95"/>
        </w:rPr>
        <w:t>Tamara </w:t>
      </w:r>
      <w:r>
        <w:rPr>
          <w:w w:val="98"/>
        </w:rPr>
        <w:t>Watson </w:t>
      </w:r>
      <w:r>
        <w:rPr/>
        <w:t>and Dr Gabrielle Weidemann will form the Western Sydney University arm of ‘PLAsticiTY of Perceptual space Under Sensorimotor interactions’ (PLATYPUS). This international research consortium is funded by the European Commission’s Marie Skłodowska-Curie Research and Innovation Staff Exchange grant, which </w:t>
      </w:r>
      <w:r>
        <w:rPr>
          <w:w w:val="95"/>
        </w:rPr>
        <w:t>has </w:t>
      </w:r>
      <w:r>
        <w:rPr>
          <w:w w:val="99"/>
        </w:rPr>
        <w:t>provided </w:t>
      </w:r>
      <w:r>
        <w:rPr>
          <w:w w:val="95"/>
        </w:rPr>
        <w:t>€891,000 </w:t>
      </w:r>
      <w:r>
        <w:rPr>
          <w:w w:val="98"/>
        </w:rPr>
        <w:t>for </w:t>
      </w:r>
      <w:r>
        <w:rPr>
          <w:w w:val="97"/>
        </w:rPr>
        <w:t>three </w:t>
      </w:r>
      <w:r>
        <w:rPr>
          <w:w w:val="91"/>
        </w:rPr>
        <w:t>years.</w:t>
      </w:r>
    </w:p>
    <w:p>
      <w:pPr>
        <w:pStyle w:val="BodyText"/>
        <w:spacing w:line="249" w:lineRule="auto" w:before="1"/>
        <w:ind w:left="305" w:right="266"/>
      </w:pPr>
      <w:r>
        <w:rPr/>
        <w:t>The consortium includes researchers from</w:t>
      </w:r>
      <w:r>
        <w:rPr>
          <w:spacing w:val="-25"/>
        </w:rPr>
        <w:t> </w:t>
      </w:r>
      <w:r>
        <w:rPr/>
        <w:t>institutions</w:t>
      </w:r>
      <w:r>
        <w:rPr>
          <w:spacing w:val="-25"/>
        </w:rPr>
        <w:t> </w:t>
      </w:r>
      <w:r>
        <w:rPr/>
        <w:t>in</w:t>
      </w:r>
      <w:r>
        <w:rPr>
          <w:spacing w:val="-25"/>
        </w:rPr>
        <w:t> </w:t>
      </w:r>
      <w:r>
        <w:rPr/>
        <w:t>Germany,</w:t>
      </w:r>
      <w:r>
        <w:rPr>
          <w:spacing w:val="-25"/>
        </w:rPr>
        <w:t> </w:t>
      </w:r>
      <w:r>
        <w:rPr/>
        <w:t>Italy,</w:t>
      </w:r>
      <w:r>
        <w:rPr>
          <w:spacing w:val="-25"/>
        </w:rPr>
        <w:t> </w:t>
      </w:r>
      <w:r>
        <w:rPr/>
        <w:t>the</w:t>
      </w:r>
      <w:r>
        <w:rPr>
          <w:spacing w:val="-25"/>
        </w:rPr>
        <w:t> </w:t>
      </w:r>
      <w:r>
        <w:rPr/>
        <w:t>US and Australia, as well as German optical instruments manufacturer Carl Zeiss. As </w:t>
      </w:r>
      <w:r>
        <w:rPr>
          <w:spacing w:val="2"/>
        </w:rPr>
        <w:t>part</w:t>
      </w:r>
      <w:r>
        <w:rPr>
          <w:spacing w:val="-18"/>
        </w:rPr>
        <w:t> </w:t>
      </w:r>
      <w:r>
        <w:rPr/>
        <w:t>of</w:t>
      </w:r>
      <w:r>
        <w:rPr>
          <w:spacing w:val="-18"/>
        </w:rPr>
        <w:t> </w:t>
      </w:r>
      <w:r>
        <w:rPr/>
        <w:t>this</w:t>
      </w:r>
      <w:r>
        <w:rPr>
          <w:spacing w:val="-18"/>
        </w:rPr>
        <w:t> </w:t>
      </w:r>
      <w:r>
        <w:rPr/>
        <w:t>consortium,</w:t>
      </w:r>
      <w:r>
        <w:rPr>
          <w:spacing w:val="-18"/>
        </w:rPr>
        <w:t> </w:t>
      </w:r>
      <w:r>
        <w:rPr/>
        <w:t>Western</w:t>
      </w:r>
      <w:r>
        <w:rPr>
          <w:spacing w:val="-18"/>
        </w:rPr>
        <w:t> </w:t>
      </w:r>
      <w:r>
        <w:rPr/>
        <w:t>Sydney</w:t>
      </w:r>
    </w:p>
    <w:p>
      <w:pPr>
        <w:pStyle w:val="BodyText"/>
        <w:spacing w:line="249" w:lineRule="auto"/>
        <w:ind w:left="305" w:right="30"/>
      </w:pPr>
      <w:r>
        <w:rPr/>
        <w:t>University will host a year-long secondment of early career researchers from the University of Münster and Carl Zeiss.</w:t>
      </w:r>
    </w:p>
    <w:p>
      <w:pPr>
        <w:pStyle w:val="BodyText"/>
        <w:spacing w:line="247" w:lineRule="auto" w:before="55"/>
        <w:ind w:left="305" w:right="189" w:hanging="199"/>
      </w:pPr>
      <w:r>
        <w:rPr>
          <w:rFonts w:ascii="Century Gothic" w:hAnsi="Century Gothic"/>
          <w:b/>
          <w:w w:val="115"/>
        </w:rPr>
        <w:t>≥ </w:t>
      </w:r>
      <w:r>
        <w:rPr/>
        <w:t>The Growing Up Queer research team (Kerry Robinson, Peter Bansel, Nida Denson, Georgia Ovenden and Cristyn Davies) received the Western Sydney University Vice Chancellor’s Excellence in Research (Researcher of the Year) award</w:t>
      </w:r>
    </w:p>
    <w:p>
      <w:pPr>
        <w:pStyle w:val="BodyText"/>
        <w:spacing w:line="247" w:lineRule="auto" w:before="57"/>
        <w:ind w:left="305" w:right="322" w:hanging="199"/>
      </w:pPr>
      <w:r>
        <w:rPr>
          <w:rFonts w:ascii="Century Gothic" w:hAnsi="Century Gothic"/>
          <w:b/>
          <w:w w:val="115"/>
        </w:rPr>
        <w:t>≥ </w:t>
      </w:r>
      <w:r>
        <w:rPr/>
        <w:t>Professor Debbie Horsfall was highly commended in the Western Sydney University Vice-Chancellor’s Excellence in Postgraduate Research, Training and Supervision award.</w:t>
      </w:r>
    </w:p>
    <w:p>
      <w:pPr>
        <w:pStyle w:val="BodyText"/>
        <w:spacing w:line="247" w:lineRule="auto" w:before="57"/>
        <w:ind w:left="305" w:right="438" w:hanging="199"/>
      </w:pPr>
      <w:r>
        <w:rPr>
          <w:rFonts w:ascii="Century Gothic" w:hAnsi="Century Gothic"/>
          <w:b/>
          <w:w w:val="115"/>
        </w:rPr>
        <w:t>≥ </w:t>
      </w:r>
      <w:r>
        <w:rPr/>
        <w:t>Dr Jennifer Cheng won the Australian Sociological Association’s Early Career Researcher – Best Paper Prize</w:t>
      </w:r>
    </w:p>
    <w:p>
      <w:pPr>
        <w:spacing w:line="244" w:lineRule="auto" w:before="57"/>
        <w:ind w:left="305" w:right="0" w:hanging="199"/>
        <w:jc w:val="left"/>
        <w:rPr>
          <w:sz w:val="16"/>
        </w:rPr>
      </w:pPr>
      <w:r>
        <w:rPr>
          <w:rFonts w:ascii="Century Gothic" w:hAnsi="Century Gothic"/>
          <w:b/>
          <w:w w:val="115"/>
          <w:sz w:val="16"/>
        </w:rPr>
        <w:t>≥ </w:t>
      </w:r>
      <w:r>
        <w:rPr>
          <w:sz w:val="16"/>
        </w:rPr>
        <w:t>SSAP PhD student Rhonda Itaoui won the </w:t>
      </w:r>
      <w:r>
        <w:rPr>
          <w:rFonts w:ascii="Century Gothic" w:hAnsi="Century Gothic"/>
          <w:i/>
          <w:w w:val="95"/>
          <w:sz w:val="16"/>
        </w:rPr>
        <w:t>Australian Geographer </w:t>
      </w:r>
      <w:r>
        <w:rPr>
          <w:w w:val="95"/>
          <w:sz w:val="16"/>
        </w:rPr>
        <w:t>Best Paper by an </w:t>
      </w:r>
      <w:r>
        <w:rPr>
          <w:sz w:val="16"/>
        </w:rPr>
        <w:t>Early Career Researcher.</w:t>
      </w:r>
    </w:p>
    <w:p>
      <w:pPr>
        <w:spacing w:after="0" w:line="244" w:lineRule="auto"/>
        <w:jc w:val="left"/>
        <w:rPr>
          <w:sz w:val="16"/>
        </w:rPr>
        <w:sectPr>
          <w:type w:val="continuous"/>
          <w:pgSz w:w="11910" w:h="16840"/>
          <w:pgMar w:top="1580" w:bottom="280" w:left="800" w:right="800"/>
          <w:cols w:num="3" w:equalWidth="0">
            <w:col w:w="3315" w:space="124"/>
            <w:col w:w="3306" w:space="133"/>
            <w:col w:w="3432"/>
          </w:cols>
        </w:sectPr>
      </w:pPr>
    </w:p>
    <w:p>
      <w:pPr>
        <w:pStyle w:val="BodyText"/>
        <w:spacing w:before="9"/>
        <w:rPr>
          <w:sz w:val="28"/>
        </w:rPr>
      </w:pPr>
    </w:p>
    <w:p>
      <w:pPr>
        <w:pStyle w:val="Heading2"/>
        <w:ind w:right="7796"/>
        <w:rPr>
          <w:b w:val="0"/>
        </w:rPr>
      </w:pPr>
      <w:bookmarkStart w:name="_TOC_250034" w:id="20"/>
      <w:bookmarkEnd w:id="20"/>
      <w:r>
        <w:rPr>
          <w:b w:val="0"/>
        </w:rPr>
        <w:t>People and Advancement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3"/>
        <w:rPr>
          <w:rFonts w:ascii="Chronicle Text G1"/>
          <w:b w:val="0"/>
          <w:sz w:val="18"/>
        </w:rPr>
      </w:pPr>
    </w:p>
    <w:p>
      <w:pPr>
        <w:pStyle w:val="Heading5"/>
        <w:spacing w:line="260" w:lineRule="exact"/>
        <w:ind w:right="806"/>
      </w:pPr>
      <w:bookmarkStart w:name="_TOC_250033" w:id="21"/>
      <w:r>
        <w:rPr/>
        <w:t>STUDENT </w:t>
      </w:r>
      <w:bookmarkEnd w:id="21"/>
      <w:r>
        <w:rPr>
          <w:w w:val="95"/>
        </w:rPr>
        <w:t>EXPERIENCE OFFICE</w:t>
      </w:r>
    </w:p>
    <w:p>
      <w:pPr>
        <w:pStyle w:val="BodyText"/>
        <w:spacing w:line="249" w:lineRule="auto" w:before="101"/>
        <w:ind w:left="107" w:right="-6"/>
      </w:pPr>
      <w:r>
        <w:rPr>
          <w:w w:val="80"/>
        </w:rPr>
        <w:t>In </w:t>
      </w:r>
      <w:r>
        <w:rPr>
          <w:w w:val="85"/>
        </w:rPr>
        <w:t>2016, </w:t>
      </w:r>
      <w:r>
        <w:rPr>
          <w:w w:val="97"/>
        </w:rPr>
        <w:t>the </w:t>
      </w:r>
      <w:r>
        <w:rPr>
          <w:w w:val="100"/>
        </w:rPr>
        <w:t>Academic </w:t>
      </w:r>
      <w:r>
        <w:rPr>
          <w:w w:val="97"/>
        </w:rPr>
        <w:t>Registrar’s </w:t>
      </w:r>
      <w:r>
        <w:rPr>
          <w:w w:val="98"/>
        </w:rPr>
        <w:t>Office </w:t>
      </w:r>
      <w:r>
        <w:rPr>
          <w:w w:val="101"/>
        </w:rPr>
        <w:t>(ARO) </w:t>
      </w:r>
      <w:r>
        <w:rPr/>
        <w:t>was restructured into the Student Experience Office (SEO), driven by the strategic</w:t>
      </w:r>
    </w:p>
    <w:p>
      <w:pPr>
        <w:pStyle w:val="BodyText"/>
        <w:spacing w:line="249" w:lineRule="auto"/>
        <w:ind w:left="107" w:right="-12"/>
      </w:pPr>
      <w:r>
        <w:rPr/>
        <w:t>direction of the University that all student administration, support and services focus on delivering an excellent student experience.</w:t>
      </w:r>
    </w:p>
    <w:p>
      <w:pPr>
        <w:pStyle w:val="BodyText"/>
        <w:rPr>
          <w:sz w:val="14"/>
        </w:rPr>
      </w:pPr>
    </w:p>
    <w:p>
      <w:pPr>
        <w:pStyle w:val="BodyText"/>
        <w:spacing w:line="249" w:lineRule="auto"/>
        <w:ind w:left="107" w:right="98"/>
      </w:pPr>
      <w:r>
        <w:rPr/>
        <w:t>The Student Experience Project (SEP) will provide the University with deep insights into</w:t>
      </w:r>
      <w:r>
        <w:rPr>
          <w:spacing w:val="-15"/>
        </w:rPr>
        <w:t> </w:t>
      </w:r>
      <w:r>
        <w:rPr/>
        <w:t>students’</w:t>
      </w:r>
      <w:r>
        <w:rPr>
          <w:spacing w:val="-15"/>
        </w:rPr>
        <w:t> </w:t>
      </w:r>
      <w:r>
        <w:rPr/>
        <w:t>perspectives</w:t>
      </w:r>
      <w:r>
        <w:rPr>
          <w:spacing w:val="-15"/>
        </w:rPr>
        <w:t> </w:t>
      </w:r>
      <w:r>
        <w:rPr/>
        <w:t>of</w:t>
      </w:r>
      <w:r>
        <w:rPr>
          <w:spacing w:val="-15"/>
        </w:rPr>
        <w:t> </w:t>
      </w:r>
      <w:r>
        <w:rPr/>
        <w:t>their</w:t>
      </w:r>
      <w:r>
        <w:rPr>
          <w:spacing w:val="-15"/>
        </w:rPr>
        <w:t> </w:t>
      </w:r>
      <w:r>
        <w:rPr/>
        <w:t>university experience. These insights will help guide operational decision-making and prioritise effort</w:t>
      </w:r>
      <w:r>
        <w:rPr>
          <w:spacing w:val="-16"/>
        </w:rPr>
        <w:t> </w:t>
      </w:r>
      <w:r>
        <w:rPr/>
        <w:t>and</w:t>
      </w:r>
      <w:r>
        <w:rPr>
          <w:spacing w:val="-16"/>
        </w:rPr>
        <w:t> </w:t>
      </w:r>
      <w:r>
        <w:rPr/>
        <w:t>resources.</w:t>
      </w:r>
      <w:r>
        <w:rPr>
          <w:spacing w:val="-16"/>
        </w:rPr>
        <w:t> </w:t>
      </w:r>
      <w:r>
        <w:rPr/>
        <w:t>The</w:t>
      </w:r>
      <w:r>
        <w:rPr>
          <w:spacing w:val="-16"/>
        </w:rPr>
        <w:t> </w:t>
      </w:r>
      <w:r>
        <w:rPr/>
        <w:t>outputs</w:t>
      </w:r>
      <w:r>
        <w:rPr>
          <w:spacing w:val="-16"/>
        </w:rPr>
        <w:t> </w:t>
      </w:r>
      <w:r>
        <w:rPr/>
        <w:t>of</w:t>
      </w:r>
      <w:r>
        <w:rPr>
          <w:spacing w:val="-16"/>
        </w:rPr>
        <w:t> </w:t>
      </w:r>
      <w:r>
        <w:rPr/>
        <w:t>the</w:t>
      </w:r>
      <w:r>
        <w:rPr>
          <w:spacing w:val="-16"/>
        </w:rPr>
        <w:t> </w:t>
      </w:r>
      <w:r>
        <w:rPr/>
        <w:t>SEP will</w:t>
      </w:r>
      <w:r>
        <w:rPr>
          <w:spacing w:val="-14"/>
        </w:rPr>
        <w:t> </w:t>
      </w:r>
      <w:r>
        <w:rPr/>
        <w:t>help</w:t>
      </w:r>
      <w:r>
        <w:rPr>
          <w:spacing w:val="-14"/>
        </w:rPr>
        <w:t> </w:t>
      </w:r>
      <w:r>
        <w:rPr/>
        <w:t>the</w:t>
      </w:r>
      <w:r>
        <w:rPr>
          <w:spacing w:val="-14"/>
        </w:rPr>
        <w:t> </w:t>
      </w:r>
      <w:r>
        <w:rPr/>
        <w:t>University</w:t>
      </w:r>
      <w:r>
        <w:rPr>
          <w:spacing w:val="-14"/>
        </w:rPr>
        <w:t> </w:t>
      </w:r>
      <w:r>
        <w:rPr/>
        <w:t>as</w:t>
      </w:r>
      <w:r>
        <w:rPr>
          <w:spacing w:val="-14"/>
        </w:rPr>
        <w:t> </w:t>
      </w:r>
      <w:r>
        <w:rPr/>
        <w:t>it</w:t>
      </w:r>
      <w:r>
        <w:rPr>
          <w:spacing w:val="-14"/>
        </w:rPr>
        <w:t> </w:t>
      </w:r>
      <w:r>
        <w:rPr/>
        <w:t>works</w:t>
      </w:r>
      <w:r>
        <w:rPr>
          <w:spacing w:val="-14"/>
        </w:rPr>
        <w:t> </w:t>
      </w:r>
      <w:r>
        <w:rPr/>
        <w:t>to</w:t>
      </w:r>
      <w:r>
        <w:rPr>
          <w:spacing w:val="-14"/>
        </w:rPr>
        <w:t> </w:t>
      </w:r>
      <w:r>
        <w:rPr/>
        <w:t>become a</w:t>
      </w:r>
      <w:r>
        <w:rPr>
          <w:spacing w:val="-20"/>
        </w:rPr>
        <w:t> </w:t>
      </w:r>
      <w:r>
        <w:rPr/>
        <w:t>distinctively</w:t>
      </w:r>
      <w:r>
        <w:rPr>
          <w:spacing w:val="-20"/>
        </w:rPr>
        <w:t> </w:t>
      </w:r>
      <w:r>
        <w:rPr/>
        <w:t>student-centred</w:t>
      </w:r>
      <w:r>
        <w:rPr>
          <w:spacing w:val="-20"/>
        </w:rPr>
        <w:t> </w:t>
      </w:r>
      <w:r>
        <w:rPr/>
        <w:t>institution.</w:t>
      </w:r>
    </w:p>
    <w:p>
      <w:pPr>
        <w:pStyle w:val="BodyText"/>
        <w:rPr>
          <w:sz w:val="14"/>
        </w:rPr>
      </w:pPr>
    </w:p>
    <w:p>
      <w:pPr>
        <w:pStyle w:val="BodyText"/>
        <w:spacing w:line="249" w:lineRule="auto"/>
        <w:ind w:left="107" w:right="177"/>
      </w:pPr>
      <w:r>
        <w:rPr/>
        <w:t>The Digital Marketing Platform (DMP), </w:t>
      </w:r>
      <w:r>
        <w:rPr>
          <w:w w:val="98"/>
        </w:rPr>
        <w:t>which </w:t>
      </w:r>
      <w:r>
        <w:rPr>
          <w:w w:val="96"/>
        </w:rPr>
        <w:t>was </w:t>
      </w:r>
      <w:r>
        <w:rPr>
          <w:w w:val="97"/>
        </w:rPr>
        <w:t>delivered </w:t>
      </w:r>
      <w:r>
        <w:rPr>
          <w:w w:val="95"/>
        </w:rPr>
        <w:t>in </w:t>
      </w:r>
      <w:r>
        <w:rPr>
          <w:spacing w:val="1"/>
          <w:w w:val="98"/>
        </w:rPr>
        <w:t>December</w:t>
      </w:r>
      <w:r>
        <w:rPr>
          <w:w w:val="98"/>
        </w:rPr>
        <w:t> </w:t>
      </w:r>
      <w:r>
        <w:rPr>
          <w:spacing w:val="2"/>
          <w:w w:val="85"/>
        </w:rPr>
        <w:t>2016,</w:t>
      </w:r>
      <w:r>
        <w:rPr>
          <w:w w:val="85"/>
        </w:rPr>
        <w:t> </w:t>
      </w:r>
      <w:r>
        <w:rPr>
          <w:w w:val="95"/>
        </w:rPr>
        <w:t>is </w:t>
      </w:r>
      <w:r>
        <w:rPr/>
        <w:t>an enhanced offer and enrolment process. This</w:t>
      </w:r>
      <w:r>
        <w:rPr>
          <w:spacing w:val="-21"/>
        </w:rPr>
        <w:t> </w:t>
      </w:r>
      <w:r>
        <w:rPr/>
        <w:t>has</w:t>
      </w:r>
      <w:r>
        <w:rPr>
          <w:spacing w:val="-21"/>
        </w:rPr>
        <w:t> </w:t>
      </w:r>
      <w:r>
        <w:rPr/>
        <w:t>resulted</w:t>
      </w:r>
      <w:r>
        <w:rPr>
          <w:spacing w:val="-21"/>
        </w:rPr>
        <w:t> </w:t>
      </w:r>
      <w:r>
        <w:rPr/>
        <w:t>in</w:t>
      </w:r>
      <w:r>
        <w:rPr>
          <w:spacing w:val="-21"/>
        </w:rPr>
        <w:t> </w:t>
      </w:r>
      <w:r>
        <w:rPr/>
        <w:t>a</w:t>
      </w:r>
      <w:r>
        <w:rPr>
          <w:spacing w:val="-21"/>
        </w:rPr>
        <w:t> </w:t>
      </w:r>
      <w:r>
        <w:rPr/>
        <w:t>streamlined</w:t>
      </w:r>
      <w:r>
        <w:rPr>
          <w:spacing w:val="-21"/>
        </w:rPr>
        <w:t> </w:t>
      </w:r>
      <w:r>
        <w:rPr/>
        <w:t>enrolment process that is both mobile-aware and design-driven. Feedback from</w:t>
      </w:r>
      <w:r>
        <w:rPr>
          <w:spacing w:val="-38"/>
        </w:rPr>
        <w:t> </w:t>
      </w:r>
      <w:r>
        <w:rPr/>
        <w:t>students</w:t>
      </w:r>
    </w:p>
    <w:p>
      <w:pPr>
        <w:pStyle w:val="BodyText"/>
        <w:spacing w:line="249" w:lineRule="auto"/>
        <w:ind w:left="107" w:right="270"/>
      </w:pPr>
      <w:r>
        <w:rPr/>
        <w:t>is positive, and the University now has the capability to track user enrolments through each step and help students who are yet to complete their enrolments.</w:t>
      </w:r>
    </w:p>
    <w:p>
      <w:pPr>
        <w:pStyle w:val="BodyText"/>
        <w:rPr>
          <w:sz w:val="14"/>
        </w:rPr>
      </w:pPr>
    </w:p>
    <w:p>
      <w:pPr>
        <w:pStyle w:val="BodyText"/>
        <w:spacing w:line="249" w:lineRule="auto"/>
        <w:ind w:left="107" w:right="297"/>
      </w:pPr>
      <w:r>
        <w:rPr/>
        <w:t>The My Student Record (MySR) refresh has been positively received by students. The enhanced MySR supports mobile devices and provides a consistent experience for students, whether they are enrolling or registering to graduate.</w:t>
      </w:r>
    </w:p>
    <w:p>
      <w:pPr>
        <w:pStyle w:val="BodyText"/>
        <w:spacing w:before="3"/>
        <w:rPr>
          <w:sz w:val="19"/>
        </w:rPr>
      </w:pPr>
    </w:p>
    <w:p>
      <w:pPr>
        <w:pStyle w:val="Heading7"/>
      </w:pPr>
      <w:r>
        <w:rPr>
          <w:w w:val="95"/>
        </w:rPr>
        <w:t>ADMISSIONS AND ENROLMENTS</w:t>
      </w:r>
    </w:p>
    <w:p>
      <w:pPr>
        <w:pStyle w:val="BodyText"/>
        <w:spacing w:line="249" w:lineRule="auto" w:before="58"/>
        <w:ind w:left="107" w:right="-10"/>
      </w:pPr>
      <w:r>
        <w:rPr>
          <w:spacing w:val="1"/>
          <w:w w:val="80"/>
        </w:rPr>
        <w:t>In</w:t>
      </w:r>
      <w:r>
        <w:rPr>
          <w:w w:val="80"/>
        </w:rPr>
        <w:t> </w:t>
      </w:r>
      <w:r>
        <w:rPr>
          <w:spacing w:val="2"/>
          <w:w w:val="85"/>
        </w:rPr>
        <w:t>2016,</w:t>
      </w:r>
      <w:r>
        <w:rPr>
          <w:w w:val="85"/>
        </w:rPr>
        <w:t> </w:t>
      </w:r>
      <w:r>
        <w:rPr>
          <w:w w:val="97"/>
        </w:rPr>
        <w:t>the </w:t>
      </w:r>
      <w:r>
        <w:rPr>
          <w:w w:val="99"/>
        </w:rPr>
        <w:t>SEO </w:t>
      </w:r>
      <w:r>
        <w:rPr>
          <w:spacing w:val="1"/>
          <w:w w:val="98"/>
        </w:rPr>
        <w:t>processed</w:t>
      </w:r>
      <w:r>
        <w:rPr>
          <w:w w:val="98"/>
        </w:rPr>
        <w:t> </w:t>
      </w:r>
      <w:r>
        <w:rPr>
          <w:w w:val="97"/>
        </w:rPr>
        <w:t>more </w:t>
      </w:r>
      <w:r>
        <w:rPr>
          <w:spacing w:val="1"/>
          <w:w w:val="97"/>
        </w:rPr>
        <w:t>than</w:t>
      </w:r>
      <w:r>
        <w:rPr>
          <w:w w:val="97"/>
        </w:rPr>
        <w:t> </w:t>
      </w:r>
      <w:r>
        <w:rPr>
          <w:spacing w:val="2"/>
        </w:rPr>
        <w:t>280,663 </w:t>
      </w:r>
      <w:r>
        <w:rPr/>
        <w:t>applicant preferences and made 22,705 offers to domestic applicants through the Universities Admissions Centre (UAC). A postgraduate branded </w:t>
      </w:r>
      <w:r>
        <w:rPr>
          <w:spacing w:val="2"/>
        </w:rPr>
        <w:t>portal </w:t>
      </w:r>
      <w:r>
        <w:rPr/>
        <w:t>was piloted in </w:t>
      </w:r>
      <w:r>
        <w:rPr>
          <w:w w:val="97"/>
        </w:rPr>
        <w:t>the</w:t>
      </w:r>
      <w:r>
        <w:rPr>
          <w:spacing w:val="-10"/>
          <w:w w:val="97"/>
        </w:rPr>
        <w:t> </w:t>
      </w:r>
      <w:r>
        <w:rPr>
          <w:spacing w:val="1"/>
          <w:w w:val="98"/>
        </w:rPr>
        <w:t>second</w:t>
      </w:r>
      <w:r>
        <w:rPr>
          <w:spacing w:val="-10"/>
          <w:w w:val="98"/>
        </w:rPr>
        <w:t> </w:t>
      </w:r>
      <w:r>
        <w:rPr>
          <w:spacing w:val="1"/>
          <w:w w:val="96"/>
        </w:rPr>
        <w:t>half</w:t>
      </w:r>
      <w:r>
        <w:rPr>
          <w:spacing w:val="-9"/>
          <w:w w:val="96"/>
        </w:rPr>
        <w:t> </w:t>
      </w:r>
      <w:r>
        <w:rPr>
          <w:w w:val="99"/>
        </w:rPr>
        <w:t>of</w:t>
      </w:r>
      <w:r>
        <w:rPr>
          <w:spacing w:val="-11"/>
          <w:w w:val="99"/>
        </w:rPr>
        <w:t> </w:t>
      </w:r>
      <w:r>
        <w:rPr>
          <w:spacing w:val="2"/>
          <w:w w:val="85"/>
        </w:rPr>
        <w:t>2016,</w:t>
      </w:r>
      <w:r>
        <w:rPr>
          <w:spacing w:val="-4"/>
          <w:w w:val="85"/>
        </w:rPr>
        <w:t> </w:t>
      </w:r>
      <w:r>
        <w:rPr>
          <w:w w:val="99"/>
        </w:rPr>
        <w:t>accepting</w:t>
      </w:r>
      <w:r>
        <w:rPr>
          <w:spacing w:val="-11"/>
          <w:w w:val="99"/>
        </w:rPr>
        <w:t> </w:t>
      </w:r>
      <w:r>
        <w:rPr>
          <w:spacing w:val="1"/>
          <w:w w:val="98"/>
        </w:rPr>
        <w:t>applications</w:t>
      </w:r>
      <w:r>
        <w:rPr>
          <w:w w:val="98"/>
        </w:rPr>
        <w:t> </w:t>
      </w:r>
      <w:r>
        <w:rPr/>
        <w:t>for courses taught by the School of </w:t>
      </w:r>
      <w:r>
        <w:rPr>
          <w:spacing w:val="2"/>
        </w:rPr>
        <w:t>Business. </w:t>
      </w:r>
      <w:r>
        <w:rPr/>
        <w:t>During the pilot, the SEO processed 369 applicant</w:t>
      </w:r>
      <w:r>
        <w:rPr>
          <w:spacing w:val="-32"/>
        </w:rPr>
        <w:t> </w:t>
      </w:r>
      <w:r>
        <w:rPr/>
        <w:t>preferences</w:t>
      </w:r>
      <w:r>
        <w:rPr>
          <w:spacing w:val="-32"/>
        </w:rPr>
        <w:t> </w:t>
      </w:r>
      <w:r>
        <w:rPr/>
        <w:t>and</w:t>
      </w:r>
      <w:r>
        <w:rPr>
          <w:spacing w:val="-32"/>
        </w:rPr>
        <w:t> </w:t>
      </w:r>
      <w:r>
        <w:rPr/>
        <w:t>made</w:t>
      </w:r>
      <w:r>
        <w:rPr>
          <w:spacing w:val="-32"/>
        </w:rPr>
        <w:t> </w:t>
      </w:r>
      <w:r>
        <w:rPr/>
        <w:t>117</w:t>
      </w:r>
      <w:r>
        <w:rPr>
          <w:spacing w:val="-32"/>
        </w:rPr>
        <w:t> </w:t>
      </w:r>
      <w:r>
        <w:rPr/>
        <w:t>offers.</w:t>
      </w:r>
      <w:r>
        <w:rPr>
          <w:spacing w:val="-32"/>
        </w:rPr>
        <w:t> </w:t>
      </w:r>
      <w:r>
        <w:rPr/>
        <w:t>The domestic</w:t>
      </w:r>
      <w:r>
        <w:rPr>
          <w:spacing w:val="-15"/>
        </w:rPr>
        <w:t> </w:t>
      </w:r>
      <w:r>
        <w:rPr/>
        <w:t>admissions</w:t>
      </w:r>
      <w:r>
        <w:rPr>
          <w:spacing w:val="-15"/>
        </w:rPr>
        <w:t> </w:t>
      </w:r>
      <w:r>
        <w:rPr/>
        <w:t>team</w:t>
      </w:r>
      <w:r>
        <w:rPr>
          <w:spacing w:val="-15"/>
        </w:rPr>
        <w:t> </w:t>
      </w:r>
      <w:r>
        <w:rPr/>
        <w:t>also</w:t>
      </w:r>
      <w:r>
        <w:rPr>
          <w:spacing w:val="-15"/>
        </w:rPr>
        <w:t> </w:t>
      </w:r>
      <w:r>
        <w:rPr/>
        <w:t>processed</w:t>
      </w:r>
      <w:r>
        <w:rPr>
          <w:spacing w:val="-15"/>
        </w:rPr>
        <w:t> </w:t>
      </w:r>
      <w:r>
        <w:rPr/>
        <w:t>728 direct</w:t>
      </w:r>
      <w:r>
        <w:rPr>
          <w:spacing w:val="-20"/>
        </w:rPr>
        <w:t> </w:t>
      </w:r>
      <w:r>
        <w:rPr/>
        <w:t>applications</w:t>
      </w:r>
      <w:r>
        <w:rPr>
          <w:spacing w:val="-20"/>
        </w:rPr>
        <w:t> </w:t>
      </w:r>
      <w:r>
        <w:rPr/>
        <w:t>and</w:t>
      </w:r>
      <w:r>
        <w:rPr>
          <w:spacing w:val="-20"/>
        </w:rPr>
        <w:t> </w:t>
      </w:r>
      <w:r>
        <w:rPr/>
        <w:t>made</w:t>
      </w:r>
      <w:r>
        <w:rPr>
          <w:spacing w:val="-20"/>
        </w:rPr>
        <w:t> </w:t>
      </w:r>
      <w:r>
        <w:rPr/>
        <w:t>411</w:t>
      </w:r>
      <w:r>
        <w:rPr>
          <w:spacing w:val="-20"/>
        </w:rPr>
        <w:t> </w:t>
      </w:r>
      <w:r>
        <w:rPr/>
        <w:t>direct</w:t>
      </w:r>
      <w:r>
        <w:rPr>
          <w:spacing w:val="-20"/>
        </w:rPr>
        <w:t> </w:t>
      </w:r>
      <w:r>
        <w:rPr/>
        <w:t>offers to</w:t>
      </w:r>
      <w:r>
        <w:rPr>
          <w:spacing w:val="-17"/>
        </w:rPr>
        <w:t> </w:t>
      </w:r>
      <w:r>
        <w:rPr/>
        <w:t>applicants.</w:t>
      </w:r>
      <w:r>
        <w:rPr>
          <w:spacing w:val="-17"/>
        </w:rPr>
        <w:t> </w:t>
      </w:r>
      <w:r>
        <w:rPr/>
        <w:t>The</w:t>
      </w:r>
      <w:r>
        <w:rPr>
          <w:spacing w:val="-17"/>
        </w:rPr>
        <w:t> </w:t>
      </w:r>
      <w:r>
        <w:rPr/>
        <w:t>Enrolments</w:t>
      </w:r>
      <w:r>
        <w:rPr>
          <w:spacing w:val="-17"/>
        </w:rPr>
        <w:t> </w:t>
      </w:r>
      <w:r>
        <w:rPr/>
        <w:t>team</w:t>
      </w:r>
      <w:r>
        <w:rPr>
          <w:spacing w:val="-17"/>
        </w:rPr>
        <w:t> </w:t>
      </w:r>
      <w:r>
        <w:rPr/>
        <w:t>facilitated the</w:t>
      </w:r>
      <w:r>
        <w:rPr>
          <w:spacing w:val="-25"/>
        </w:rPr>
        <w:t> </w:t>
      </w:r>
      <w:r>
        <w:rPr/>
        <w:t>enrolment</w:t>
      </w:r>
      <w:r>
        <w:rPr>
          <w:spacing w:val="-25"/>
        </w:rPr>
        <w:t> </w:t>
      </w:r>
      <w:r>
        <w:rPr/>
        <w:t>of</w:t>
      </w:r>
      <w:r>
        <w:rPr>
          <w:spacing w:val="-25"/>
        </w:rPr>
        <w:t> </w:t>
      </w:r>
      <w:r>
        <w:rPr/>
        <w:t>23,132</w:t>
      </w:r>
      <w:r>
        <w:rPr>
          <w:spacing w:val="-25"/>
        </w:rPr>
        <w:t> </w:t>
      </w:r>
      <w:r>
        <w:rPr/>
        <w:t>commencing</w:t>
      </w:r>
      <w:r>
        <w:rPr>
          <w:spacing w:val="-25"/>
        </w:rPr>
        <w:t> </w:t>
      </w:r>
      <w:r>
        <w:rPr/>
        <w:t>students </w:t>
      </w:r>
      <w:r>
        <w:rPr>
          <w:w w:val="95"/>
        </w:rPr>
        <w:t>and</w:t>
      </w:r>
      <w:r>
        <w:rPr>
          <w:spacing w:val="-11"/>
          <w:w w:val="95"/>
        </w:rPr>
        <w:t> </w:t>
      </w:r>
      <w:r>
        <w:rPr>
          <w:w w:val="95"/>
        </w:rPr>
        <w:t>oversaw</w:t>
      </w:r>
      <w:r>
        <w:rPr>
          <w:spacing w:val="-11"/>
          <w:w w:val="95"/>
        </w:rPr>
        <w:t> </w:t>
      </w:r>
      <w:r>
        <w:rPr>
          <w:spacing w:val="2"/>
          <w:w w:val="95"/>
        </w:rPr>
        <w:t>261,166</w:t>
      </w:r>
      <w:r>
        <w:rPr>
          <w:spacing w:val="-11"/>
          <w:w w:val="95"/>
        </w:rPr>
        <w:t> </w:t>
      </w:r>
      <w:r>
        <w:rPr>
          <w:w w:val="95"/>
        </w:rPr>
        <w:t>unit</w:t>
      </w:r>
      <w:r>
        <w:rPr>
          <w:spacing w:val="-11"/>
          <w:w w:val="95"/>
        </w:rPr>
        <w:t> </w:t>
      </w:r>
      <w:r>
        <w:rPr>
          <w:w w:val="95"/>
        </w:rPr>
        <w:t>enrolments.</w:t>
      </w:r>
    </w:p>
    <w:p>
      <w:pPr>
        <w:pStyle w:val="BodyText"/>
        <w:spacing w:before="9"/>
      </w:pPr>
      <w:r>
        <w:rPr/>
        <w:br w:type="column"/>
      </w:r>
      <w:r>
        <w:rPr/>
      </w:r>
    </w:p>
    <w:p>
      <w:pPr>
        <w:pStyle w:val="BodyText"/>
        <w:spacing w:line="249" w:lineRule="auto" w:before="1"/>
        <w:ind w:left="107" w:right="36"/>
      </w:pPr>
      <w:r>
        <w:rPr/>
        <w:t>The SEO continued to support Schools with the Guaranteed Entry program, making </w:t>
      </w:r>
      <w:r>
        <w:rPr>
          <w:spacing w:val="2"/>
          <w:w w:val="86"/>
        </w:rPr>
        <w:t>10,335</w:t>
      </w:r>
      <w:r>
        <w:rPr>
          <w:w w:val="86"/>
        </w:rPr>
        <w:t> </w:t>
      </w:r>
      <w:r>
        <w:rPr>
          <w:spacing w:val="1"/>
          <w:w w:val="99"/>
        </w:rPr>
        <w:t>direct</w:t>
      </w:r>
      <w:r>
        <w:rPr>
          <w:w w:val="99"/>
        </w:rPr>
        <w:t> </w:t>
      </w:r>
      <w:r>
        <w:rPr>
          <w:spacing w:val="1"/>
          <w:w w:val="97"/>
        </w:rPr>
        <w:t>offers</w:t>
      </w:r>
      <w:r>
        <w:rPr>
          <w:w w:val="97"/>
        </w:rPr>
        <w:t> </w:t>
      </w:r>
      <w:r>
        <w:rPr>
          <w:spacing w:val="1"/>
          <w:w w:val="97"/>
        </w:rPr>
        <w:t>after</w:t>
      </w:r>
      <w:r>
        <w:rPr>
          <w:w w:val="97"/>
        </w:rPr>
        <w:t> </w:t>
      </w:r>
      <w:r>
        <w:rPr>
          <w:spacing w:val="-3"/>
          <w:w w:val="102"/>
        </w:rPr>
        <w:t>ATARs</w:t>
      </w:r>
      <w:r>
        <w:rPr>
          <w:w w:val="102"/>
        </w:rPr>
        <w:t> </w:t>
      </w:r>
      <w:r>
        <w:rPr>
          <w:w w:val="97"/>
        </w:rPr>
        <w:t>were </w:t>
      </w:r>
      <w:r>
        <w:rPr>
          <w:spacing w:val="1"/>
          <w:w w:val="96"/>
        </w:rPr>
        <w:t>released</w:t>
      </w:r>
      <w:r>
        <w:rPr>
          <w:w w:val="96"/>
        </w:rPr>
        <w:t> </w:t>
      </w:r>
      <w:r>
        <w:rPr>
          <w:w w:val="95"/>
        </w:rPr>
        <w:t>in </w:t>
      </w:r>
      <w:r>
        <w:rPr>
          <w:spacing w:val="1"/>
          <w:w w:val="98"/>
        </w:rPr>
        <w:t>December</w:t>
      </w:r>
      <w:r>
        <w:rPr>
          <w:w w:val="98"/>
        </w:rPr>
        <w:t> </w:t>
      </w:r>
      <w:r>
        <w:rPr>
          <w:spacing w:val="2"/>
          <w:w w:val="85"/>
        </w:rPr>
        <w:t>2016.</w:t>
      </w:r>
      <w:r>
        <w:rPr>
          <w:w w:val="85"/>
        </w:rPr>
        <w:t> </w:t>
      </w:r>
      <w:r>
        <w:rPr>
          <w:spacing w:val="1"/>
          <w:w w:val="100"/>
        </w:rPr>
        <w:t>Also</w:t>
      </w:r>
      <w:r>
        <w:rPr>
          <w:w w:val="100"/>
        </w:rPr>
        <w:t> </w:t>
      </w:r>
      <w:r>
        <w:rPr>
          <w:w w:val="95"/>
        </w:rPr>
        <w:t>in </w:t>
      </w:r>
      <w:r>
        <w:rPr>
          <w:spacing w:val="2"/>
          <w:w w:val="85"/>
        </w:rPr>
        <w:t>2016,</w:t>
      </w:r>
      <w:r>
        <w:rPr>
          <w:w w:val="85"/>
        </w:rPr>
        <w:t> </w:t>
      </w:r>
      <w:r>
        <w:rPr>
          <w:w w:val="97"/>
        </w:rPr>
        <w:t>the </w:t>
      </w:r>
      <w:r>
        <w:rPr/>
        <w:t>University expanded the use of the Schools Recommendation Scheme (SRS), enabling students to receive non-ATAR-based offers to</w:t>
      </w:r>
      <w:r>
        <w:rPr>
          <w:spacing w:val="-15"/>
        </w:rPr>
        <w:t> </w:t>
      </w:r>
      <w:r>
        <w:rPr/>
        <w:t>a</w:t>
      </w:r>
      <w:r>
        <w:rPr>
          <w:spacing w:val="-15"/>
        </w:rPr>
        <w:t> </w:t>
      </w:r>
      <w:r>
        <w:rPr/>
        <w:t>wide</w:t>
      </w:r>
      <w:r>
        <w:rPr>
          <w:spacing w:val="-15"/>
        </w:rPr>
        <w:t> </w:t>
      </w:r>
      <w:r>
        <w:rPr/>
        <w:t>range</w:t>
      </w:r>
      <w:r>
        <w:rPr>
          <w:spacing w:val="-15"/>
        </w:rPr>
        <w:t> </w:t>
      </w:r>
      <w:r>
        <w:rPr/>
        <w:t>of</w:t>
      </w:r>
      <w:r>
        <w:rPr>
          <w:spacing w:val="-15"/>
        </w:rPr>
        <w:t> </w:t>
      </w:r>
      <w:r>
        <w:rPr/>
        <w:t>Western</w:t>
      </w:r>
      <w:r>
        <w:rPr>
          <w:spacing w:val="-15"/>
        </w:rPr>
        <w:t> </w:t>
      </w:r>
      <w:r>
        <w:rPr/>
        <w:t>Sydney</w:t>
      </w:r>
      <w:r>
        <w:rPr>
          <w:spacing w:val="-15"/>
        </w:rPr>
        <w:t> </w:t>
      </w:r>
      <w:r>
        <w:rPr/>
        <w:t>University programs</w:t>
      </w:r>
      <w:r>
        <w:rPr>
          <w:spacing w:val="-20"/>
        </w:rPr>
        <w:t> </w:t>
      </w:r>
      <w:r>
        <w:rPr/>
        <w:t>in</w:t>
      </w:r>
      <w:r>
        <w:rPr>
          <w:spacing w:val="-20"/>
        </w:rPr>
        <w:t> </w:t>
      </w:r>
      <w:r>
        <w:rPr/>
        <w:t>early</w:t>
      </w:r>
      <w:r>
        <w:rPr>
          <w:spacing w:val="-20"/>
        </w:rPr>
        <w:t> </w:t>
      </w:r>
      <w:r>
        <w:rPr/>
        <w:t>December.</w:t>
      </w:r>
      <w:r>
        <w:rPr>
          <w:spacing w:val="-20"/>
        </w:rPr>
        <w:t> </w:t>
      </w:r>
      <w:r>
        <w:rPr/>
        <w:t>Western</w:t>
      </w:r>
      <w:r>
        <w:rPr>
          <w:spacing w:val="-20"/>
        </w:rPr>
        <w:t> </w:t>
      </w:r>
      <w:r>
        <w:rPr/>
        <w:t>Sydney University made over </w:t>
      </w:r>
      <w:r>
        <w:rPr>
          <w:spacing w:val="2"/>
        </w:rPr>
        <w:t>800 </w:t>
      </w:r>
      <w:r>
        <w:rPr/>
        <w:t>offers to SRS </w:t>
      </w:r>
      <w:r>
        <w:rPr>
          <w:spacing w:val="1"/>
          <w:w w:val="97"/>
        </w:rPr>
        <w:t>recipients</w:t>
      </w:r>
      <w:r>
        <w:rPr>
          <w:w w:val="97"/>
        </w:rPr>
        <w:t> </w:t>
      </w:r>
      <w:r>
        <w:rPr>
          <w:w w:val="95"/>
        </w:rPr>
        <w:t>in </w:t>
      </w:r>
      <w:r>
        <w:rPr>
          <w:w w:val="97"/>
        </w:rPr>
        <w:t>the </w:t>
      </w:r>
      <w:r>
        <w:rPr>
          <w:spacing w:val="1"/>
          <w:w w:val="98"/>
        </w:rPr>
        <w:t>December</w:t>
      </w:r>
      <w:r>
        <w:rPr>
          <w:w w:val="98"/>
        </w:rPr>
        <w:t> </w:t>
      </w:r>
      <w:r>
        <w:rPr>
          <w:spacing w:val="1"/>
          <w:w w:val="90"/>
        </w:rPr>
        <w:t>2016</w:t>
      </w:r>
      <w:r>
        <w:rPr>
          <w:spacing w:val="-27"/>
          <w:w w:val="90"/>
        </w:rPr>
        <w:t> </w:t>
      </w:r>
      <w:r>
        <w:rPr>
          <w:spacing w:val="1"/>
          <w:w w:val="93"/>
        </w:rPr>
        <w:t>round.</w:t>
      </w:r>
    </w:p>
    <w:p>
      <w:pPr>
        <w:pStyle w:val="BodyText"/>
        <w:spacing w:before="3"/>
        <w:rPr>
          <w:sz w:val="19"/>
        </w:rPr>
      </w:pPr>
    </w:p>
    <w:p>
      <w:pPr>
        <w:pStyle w:val="Heading7"/>
        <w:ind w:right="141"/>
      </w:pPr>
      <w:r>
        <w:rPr>
          <w:w w:val="95"/>
        </w:rPr>
        <w:t>STUDENT SYSTEMS AND RECORDS</w:t>
      </w:r>
    </w:p>
    <w:p>
      <w:pPr>
        <w:pStyle w:val="BodyText"/>
        <w:spacing w:line="249" w:lineRule="auto" w:before="58"/>
        <w:ind w:left="107" w:right="141"/>
      </w:pPr>
      <w:r>
        <w:rPr>
          <w:spacing w:val="1"/>
          <w:w w:val="90"/>
        </w:rPr>
        <w:t>2016</w:t>
      </w:r>
      <w:r>
        <w:rPr>
          <w:w w:val="90"/>
        </w:rPr>
        <w:t> </w:t>
      </w:r>
      <w:r>
        <w:rPr>
          <w:w w:val="96"/>
        </w:rPr>
        <w:t>saw </w:t>
      </w:r>
      <w:r>
        <w:rPr>
          <w:spacing w:val="1"/>
          <w:w w:val="97"/>
        </w:rPr>
        <w:t>changes</w:t>
      </w:r>
      <w:r>
        <w:rPr>
          <w:w w:val="97"/>
        </w:rPr>
        <w:t> </w:t>
      </w:r>
      <w:r>
        <w:rPr>
          <w:spacing w:val="-1"/>
          <w:w w:val="101"/>
        </w:rPr>
        <w:t>to</w:t>
      </w:r>
      <w:r>
        <w:rPr>
          <w:w w:val="101"/>
        </w:rPr>
        <w:t> </w:t>
      </w:r>
      <w:r>
        <w:rPr>
          <w:spacing w:val="1"/>
          <w:w w:val="97"/>
        </w:rPr>
        <w:t>delegations</w:t>
      </w:r>
      <w:r>
        <w:rPr>
          <w:w w:val="97"/>
        </w:rPr>
        <w:t> </w:t>
      </w:r>
      <w:r>
        <w:rPr>
          <w:spacing w:val="1"/>
          <w:w w:val="97"/>
        </w:rPr>
        <w:t>under</w:t>
      </w:r>
      <w:r>
        <w:rPr>
          <w:w w:val="97"/>
        </w:rPr>
        <w:t> </w:t>
      </w:r>
      <w:r>
        <w:rPr>
          <w:w w:val="97"/>
        </w:rPr>
        <w:t>the </w:t>
      </w:r>
      <w:r>
        <w:rPr/>
        <w:t>Course and Units Approvals policy, which increased</w:t>
      </w:r>
      <w:r>
        <w:rPr>
          <w:spacing w:val="-16"/>
        </w:rPr>
        <w:t> </w:t>
      </w:r>
      <w:r>
        <w:rPr/>
        <w:t>efficiency</w:t>
      </w:r>
      <w:r>
        <w:rPr>
          <w:spacing w:val="-16"/>
        </w:rPr>
        <w:t> </w:t>
      </w:r>
      <w:r>
        <w:rPr/>
        <w:t>dramatically</w:t>
      </w:r>
      <w:r>
        <w:rPr>
          <w:spacing w:val="-16"/>
        </w:rPr>
        <w:t> </w:t>
      </w:r>
      <w:r>
        <w:rPr/>
        <w:t>–</w:t>
      </w:r>
      <w:r>
        <w:rPr>
          <w:spacing w:val="-16"/>
        </w:rPr>
        <w:t> </w:t>
      </w:r>
      <w:r>
        <w:rPr/>
        <w:t>with</w:t>
      </w:r>
      <w:r>
        <w:rPr>
          <w:spacing w:val="-16"/>
        </w:rPr>
        <w:t> </w:t>
      </w:r>
      <w:r>
        <w:rPr/>
        <w:t>only 35</w:t>
      </w:r>
      <w:r>
        <w:rPr>
          <w:spacing w:val="-14"/>
        </w:rPr>
        <w:t> </w:t>
      </w:r>
      <w:r>
        <w:rPr/>
        <w:t>per</w:t>
      </w:r>
      <w:r>
        <w:rPr>
          <w:spacing w:val="-14"/>
        </w:rPr>
        <w:t> </w:t>
      </w:r>
      <w:r>
        <w:rPr/>
        <w:t>cent</w:t>
      </w:r>
      <w:r>
        <w:rPr>
          <w:spacing w:val="-14"/>
        </w:rPr>
        <w:t> </w:t>
      </w:r>
      <w:r>
        <w:rPr/>
        <w:t>of</w:t>
      </w:r>
      <w:r>
        <w:rPr>
          <w:spacing w:val="-14"/>
        </w:rPr>
        <w:t> </w:t>
      </w:r>
      <w:r>
        <w:rPr/>
        <w:t>proposals</w:t>
      </w:r>
      <w:r>
        <w:rPr>
          <w:spacing w:val="-14"/>
        </w:rPr>
        <w:t> </w:t>
      </w:r>
      <w:r>
        <w:rPr/>
        <w:t>requiring</w:t>
      </w:r>
      <w:r>
        <w:rPr>
          <w:spacing w:val="-14"/>
        </w:rPr>
        <w:t> </w:t>
      </w:r>
      <w:r>
        <w:rPr/>
        <w:t>approval by the Academic Planning and Courses Approvals Committee compared to 94 per </w:t>
      </w:r>
      <w:r>
        <w:rPr>
          <w:w w:val="99"/>
        </w:rPr>
        <w:t>cent </w:t>
      </w:r>
      <w:r>
        <w:rPr>
          <w:w w:val="95"/>
        </w:rPr>
        <w:t>in </w:t>
      </w:r>
      <w:r>
        <w:rPr>
          <w:spacing w:val="1"/>
          <w:w w:val="84"/>
        </w:rPr>
        <w:t>2015.</w:t>
      </w:r>
      <w:r>
        <w:rPr>
          <w:w w:val="84"/>
        </w:rPr>
        <w:t> </w:t>
      </w:r>
      <w:r>
        <w:rPr>
          <w:spacing w:val="1"/>
          <w:w w:val="94"/>
        </w:rPr>
        <w:t>This</w:t>
      </w:r>
      <w:r>
        <w:rPr>
          <w:w w:val="94"/>
        </w:rPr>
        <w:t> </w:t>
      </w:r>
      <w:r>
        <w:rPr>
          <w:w w:val="96"/>
        </w:rPr>
        <w:t>was </w:t>
      </w:r>
      <w:r>
        <w:rPr>
          <w:w w:val="94"/>
        </w:rPr>
        <w:t>a </w:t>
      </w:r>
      <w:r>
        <w:rPr>
          <w:spacing w:val="1"/>
          <w:w w:val="98"/>
        </w:rPr>
        <w:t>timely</w:t>
      </w:r>
      <w:r>
        <w:rPr>
          <w:w w:val="98"/>
        </w:rPr>
        <w:t> </w:t>
      </w:r>
      <w:r>
        <w:rPr>
          <w:spacing w:val="1"/>
          <w:w w:val="93"/>
        </w:rPr>
        <w:t>change,</w:t>
      </w:r>
      <w:r>
        <w:rPr>
          <w:w w:val="93"/>
        </w:rPr>
        <w:t> </w:t>
      </w:r>
      <w:r>
        <w:rPr>
          <w:spacing w:val="1"/>
          <w:w w:val="94"/>
        </w:rPr>
        <w:t>as</w:t>
      </w:r>
      <w:r>
        <w:rPr>
          <w:w w:val="94"/>
        </w:rPr>
        <w:t> </w:t>
      </w:r>
      <w:r>
        <w:rPr/>
        <w:t>the University introduced 42 new courses, </w:t>
      </w:r>
      <w:r>
        <w:rPr>
          <w:spacing w:val="1"/>
          <w:w w:val="97"/>
        </w:rPr>
        <w:t>varied</w:t>
      </w:r>
      <w:r>
        <w:rPr>
          <w:spacing w:val="-8"/>
          <w:w w:val="97"/>
        </w:rPr>
        <w:t> </w:t>
      </w:r>
      <w:r>
        <w:rPr>
          <w:spacing w:val="3"/>
          <w:w w:val="99"/>
        </w:rPr>
        <w:t>346</w:t>
      </w:r>
      <w:r>
        <w:rPr>
          <w:spacing w:val="-9"/>
          <w:w w:val="99"/>
        </w:rPr>
        <w:t> </w:t>
      </w:r>
      <w:r>
        <w:rPr>
          <w:spacing w:val="1"/>
          <w:w w:val="97"/>
        </w:rPr>
        <w:t>courses</w:t>
      </w:r>
      <w:r>
        <w:rPr>
          <w:spacing w:val="-8"/>
          <w:w w:val="97"/>
        </w:rPr>
        <w:t> </w:t>
      </w:r>
      <w:r>
        <w:rPr>
          <w:spacing w:val="1"/>
          <w:w w:val="97"/>
        </w:rPr>
        <w:t>and</w:t>
      </w:r>
      <w:r>
        <w:rPr>
          <w:spacing w:val="-8"/>
          <w:w w:val="97"/>
        </w:rPr>
        <w:t> </w:t>
      </w:r>
      <w:r>
        <w:rPr>
          <w:w w:val="97"/>
        </w:rPr>
        <w:t>retired</w:t>
      </w:r>
      <w:r>
        <w:rPr>
          <w:spacing w:val="-8"/>
          <w:w w:val="97"/>
        </w:rPr>
        <w:t> </w:t>
      </w:r>
      <w:r>
        <w:rPr>
          <w:spacing w:val="2"/>
          <w:w w:val="82"/>
        </w:rPr>
        <w:t>10</w:t>
      </w:r>
      <w:r>
        <w:rPr>
          <w:spacing w:val="-1"/>
          <w:w w:val="82"/>
        </w:rPr>
        <w:t> </w:t>
      </w:r>
      <w:r>
        <w:rPr>
          <w:spacing w:val="1"/>
          <w:w w:val="93"/>
        </w:rPr>
        <w:t>courses.</w:t>
      </w:r>
      <w:r>
        <w:rPr>
          <w:spacing w:val="-6"/>
          <w:w w:val="93"/>
        </w:rPr>
        <w:t> </w:t>
      </w:r>
      <w:r>
        <w:rPr>
          <w:w w:val="83"/>
        </w:rPr>
        <w:t>It </w:t>
      </w:r>
      <w:r>
        <w:rPr/>
        <w:t>also</w:t>
      </w:r>
      <w:r>
        <w:rPr>
          <w:spacing w:val="-18"/>
        </w:rPr>
        <w:t> </w:t>
      </w:r>
      <w:r>
        <w:rPr/>
        <w:t>introduced</w:t>
      </w:r>
      <w:r>
        <w:rPr>
          <w:spacing w:val="-18"/>
        </w:rPr>
        <w:t> </w:t>
      </w:r>
      <w:r>
        <w:rPr>
          <w:spacing w:val="2"/>
        </w:rPr>
        <w:t>154</w:t>
      </w:r>
      <w:r>
        <w:rPr>
          <w:spacing w:val="-18"/>
        </w:rPr>
        <w:t> </w:t>
      </w:r>
      <w:r>
        <w:rPr/>
        <w:t>new</w:t>
      </w:r>
      <w:r>
        <w:rPr>
          <w:spacing w:val="-18"/>
        </w:rPr>
        <w:t> </w:t>
      </w:r>
      <w:r>
        <w:rPr/>
        <w:t>units</w:t>
      </w:r>
      <w:r>
        <w:rPr>
          <w:spacing w:val="-18"/>
        </w:rPr>
        <w:t> </w:t>
      </w:r>
      <w:r>
        <w:rPr/>
        <w:t>and</w:t>
      </w:r>
      <w:r>
        <w:rPr>
          <w:spacing w:val="-18"/>
        </w:rPr>
        <w:t> </w:t>
      </w:r>
      <w:r>
        <w:rPr/>
        <w:t>varied</w:t>
      </w:r>
      <w:r>
        <w:rPr>
          <w:spacing w:val="-18"/>
        </w:rPr>
        <w:t> </w:t>
      </w:r>
      <w:r>
        <w:rPr/>
        <w:t>a staggering</w:t>
      </w:r>
      <w:r>
        <w:rPr>
          <w:spacing w:val="-39"/>
        </w:rPr>
        <w:t> </w:t>
      </w:r>
      <w:r>
        <w:rPr>
          <w:spacing w:val="-3"/>
        </w:rPr>
        <w:t>874 </w:t>
      </w:r>
      <w:r>
        <w:rPr/>
        <w:t>units.</w:t>
      </w:r>
    </w:p>
    <w:p>
      <w:pPr>
        <w:pStyle w:val="BodyText"/>
        <w:rPr>
          <w:sz w:val="14"/>
        </w:rPr>
      </w:pPr>
    </w:p>
    <w:p>
      <w:pPr>
        <w:pStyle w:val="BodyText"/>
        <w:spacing w:line="249" w:lineRule="auto"/>
        <w:ind w:left="107" w:right="163"/>
      </w:pPr>
      <w:r>
        <w:rPr>
          <w:w w:val="80"/>
        </w:rPr>
        <w:t>In </w:t>
      </w:r>
      <w:r>
        <w:rPr>
          <w:w w:val="85"/>
        </w:rPr>
        <w:t>2016, </w:t>
      </w:r>
      <w:r>
        <w:rPr>
          <w:w w:val="97"/>
        </w:rPr>
        <w:t>the </w:t>
      </w:r>
      <w:r>
        <w:rPr>
          <w:w w:val="97"/>
        </w:rPr>
        <w:t>Timetabling </w:t>
      </w:r>
      <w:r>
        <w:rPr>
          <w:w w:val="97"/>
        </w:rPr>
        <w:t>unit </w:t>
      </w:r>
      <w:r>
        <w:rPr>
          <w:w w:val="97"/>
        </w:rPr>
        <w:t>successfully </w:t>
      </w:r>
      <w:r>
        <w:rPr/>
        <w:t>implemented the Syllabus Enterprise timetabling software, bringing with it more functionality for future developments.</w:t>
      </w:r>
    </w:p>
    <w:p>
      <w:pPr>
        <w:pStyle w:val="BodyText"/>
        <w:spacing w:line="249" w:lineRule="auto"/>
        <w:ind w:left="107" w:right="-1"/>
      </w:pPr>
      <w:r>
        <w:rPr/>
        <w:t>Timetabling</w:t>
      </w:r>
      <w:r>
        <w:rPr>
          <w:spacing w:val="-16"/>
        </w:rPr>
        <w:t> </w:t>
      </w:r>
      <w:r>
        <w:rPr/>
        <w:t>also</w:t>
      </w:r>
      <w:r>
        <w:rPr>
          <w:spacing w:val="-16"/>
        </w:rPr>
        <w:t> </w:t>
      </w:r>
      <w:r>
        <w:rPr/>
        <w:t>helped</w:t>
      </w:r>
      <w:r>
        <w:rPr>
          <w:spacing w:val="-16"/>
        </w:rPr>
        <w:t> </w:t>
      </w:r>
      <w:r>
        <w:rPr/>
        <w:t>to</w:t>
      </w:r>
      <w:r>
        <w:rPr>
          <w:spacing w:val="-16"/>
        </w:rPr>
        <w:t> </w:t>
      </w:r>
      <w:r>
        <w:rPr/>
        <w:t>implement</w:t>
      </w:r>
      <w:r>
        <w:rPr>
          <w:spacing w:val="-16"/>
        </w:rPr>
        <w:t> </w:t>
      </w:r>
      <w:r>
        <w:rPr/>
        <w:t>the</w:t>
      </w:r>
      <w:r>
        <w:rPr>
          <w:spacing w:val="-16"/>
        </w:rPr>
        <w:t> </w:t>
      </w:r>
      <w:r>
        <w:rPr/>
        <w:t>new Resource Booker application, which will in time</w:t>
      </w:r>
      <w:r>
        <w:rPr>
          <w:spacing w:val="-13"/>
        </w:rPr>
        <w:t> </w:t>
      </w:r>
      <w:r>
        <w:rPr/>
        <w:t>replace</w:t>
      </w:r>
      <w:r>
        <w:rPr>
          <w:spacing w:val="-13"/>
        </w:rPr>
        <w:t> </w:t>
      </w:r>
      <w:r>
        <w:rPr/>
        <w:t>Web</w:t>
      </w:r>
      <w:r>
        <w:rPr>
          <w:spacing w:val="-13"/>
        </w:rPr>
        <w:t> </w:t>
      </w:r>
      <w:r>
        <w:rPr/>
        <w:t>Room</w:t>
      </w:r>
      <w:r>
        <w:rPr>
          <w:spacing w:val="-13"/>
        </w:rPr>
        <w:t> </w:t>
      </w:r>
      <w:r>
        <w:rPr/>
        <w:t>Booking.</w:t>
      </w:r>
    </w:p>
    <w:p>
      <w:pPr>
        <w:pStyle w:val="BodyText"/>
        <w:rPr>
          <w:sz w:val="14"/>
        </w:rPr>
      </w:pPr>
    </w:p>
    <w:p>
      <w:pPr>
        <w:pStyle w:val="BodyText"/>
        <w:spacing w:line="249" w:lineRule="auto"/>
        <w:ind w:left="107" w:right="161"/>
      </w:pPr>
      <w:r>
        <w:rPr/>
        <w:t>The</w:t>
      </w:r>
      <w:r>
        <w:rPr>
          <w:spacing w:val="-18"/>
        </w:rPr>
        <w:t> </w:t>
      </w:r>
      <w:r>
        <w:rPr/>
        <w:t>Student</w:t>
      </w:r>
      <w:r>
        <w:rPr>
          <w:spacing w:val="-18"/>
        </w:rPr>
        <w:t> </w:t>
      </w:r>
      <w:r>
        <w:rPr/>
        <w:t>Systems</w:t>
      </w:r>
      <w:r>
        <w:rPr>
          <w:spacing w:val="-18"/>
        </w:rPr>
        <w:t> </w:t>
      </w:r>
      <w:r>
        <w:rPr/>
        <w:t>team</w:t>
      </w:r>
      <w:r>
        <w:rPr>
          <w:spacing w:val="-18"/>
        </w:rPr>
        <w:t> </w:t>
      </w:r>
      <w:r>
        <w:rPr/>
        <w:t>played</w:t>
      </w:r>
      <w:r>
        <w:rPr>
          <w:spacing w:val="-18"/>
        </w:rPr>
        <w:t> </w:t>
      </w:r>
      <w:r>
        <w:rPr/>
        <w:t>a</w:t>
      </w:r>
      <w:r>
        <w:rPr>
          <w:spacing w:val="-18"/>
        </w:rPr>
        <w:t> </w:t>
      </w:r>
      <w:r>
        <w:rPr/>
        <w:t>leading role</w:t>
      </w:r>
      <w:r>
        <w:rPr>
          <w:spacing w:val="-15"/>
        </w:rPr>
        <w:t> </w:t>
      </w:r>
      <w:r>
        <w:rPr/>
        <w:t>in</w:t>
      </w:r>
      <w:r>
        <w:rPr>
          <w:spacing w:val="-15"/>
        </w:rPr>
        <w:t> </w:t>
      </w:r>
      <w:r>
        <w:rPr/>
        <w:t>the</w:t>
      </w:r>
      <w:r>
        <w:rPr>
          <w:spacing w:val="-15"/>
        </w:rPr>
        <w:t> </w:t>
      </w:r>
      <w:r>
        <w:rPr/>
        <w:t>successful</w:t>
      </w:r>
      <w:r>
        <w:rPr>
          <w:spacing w:val="-15"/>
        </w:rPr>
        <w:t> </w:t>
      </w:r>
      <w:r>
        <w:rPr/>
        <w:t>upgrade</w:t>
      </w:r>
      <w:r>
        <w:rPr>
          <w:spacing w:val="-15"/>
        </w:rPr>
        <w:t> </w:t>
      </w:r>
      <w:r>
        <w:rPr/>
        <w:t>of</w:t>
      </w:r>
      <w:r>
        <w:rPr>
          <w:spacing w:val="-15"/>
        </w:rPr>
        <w:t> </w:t>
      </w:r>
      <w:r>
        <w:rPr/>
        <w:t>the</w:t>
      </w:r>
      <w:r>
        <w:rPr>
          <w:spacing w:val="-15"/>
        </w:rPr>
        <w:t> </w:t>
      </w:r>
      <w:r>
        <w:rPr/>
        <w:t>Callista student management system, spending </w:t>
      </w:r>
      <w:r>
        <w:rPr>
          <w:w w:val="98"/>
        </w:rPr>
        <w:t>approximately </w:t>
      </w:r>
      <w:r>
        <w:rPr>
          <w:spacing w:val="2"/>
          <w:w w:val="91"/>
        </w:rPr>
        <w:t>1,000</w:t>
      </w:r>
      <w:r>
        <w:rPr>
          <w:w w:val="91"/>
        </w:rPr>
        <w:t> </w:t>
      </w:r>
      <w:r>
        <w:rPr>
          <w:spacing w:val="1"/>
          <w:w w:val="96"/>
        </w:rPr>
        <w:t>hours</w:t>
      </w:r>
      <w:r>
        <w:rPr>
          <w:w w:val="96"/>
        </w:rPr>
        <w:t> </w:t>
      </w:r>
      <w:r>
        <w:rPr>
          <w:spacing w:val="1"/>
          <w:w w:val="97"/>
        </w:rPr>
        <w:t>managing</w:t>
      </w:r>
      <w:r>
        <w:rPr>
          <w:w w:val="97"/>
        </w:rPr>
        <w:t> </w:t>
      </w:r>
      <w:r>
        <w:rPr>
          <w:spacing w:val="1"/>
          <w:w w:val="97"/>
        </w:rPr>
        <w:t>and</w:t>
      </w:r>
      <w:r>
        <w:rPr>
          <w:w w:val="97"/>
        </w:rPr>
        <w:t> </w:t>
      </w:r>
      <w:r>
        <w:rPr/>
        <w:t>testing the upgrade. Student Systems contributed</w:t>
      </w:r>
      <w:r>
        <w:rPr>
          <w:spacing w:val="-16"/>
        </w:rPr>
        <w:t> </w:t>
      </w:r>
      <w:r>
        <w:rPr/>
        <w:t>to</w:t>
      </w:r>
      <w:r>
        <w:rPr>
          <w:spacing w:val="-16"/>
        </w:rPr>
        <w:t> </w:t>
      </w:r>
      <w:r>
        <w:rPr/>
        <w:t>several</w:t>
      </w:r>
      <w:r>
        <w:rPr>
          <w:spacing w:val="-16"/>
        </w:rPr>
        <w:t> </w:t>
      </w:r>
      <w:r>
        <w:rPr/>
        <w:t>projects</w:t>
      </w:r>
      <w:r>
        <w:rPr>
          <w:spacing w:val="-16"/>
        </w:rPr>
        <w:t> </w:t>
      </w:r>
      <w:r>
        <w:rPr/>
        <w:t>aimed</w:t>
      </w:r>
    </w:p>
    <w:p>
      <w:pPr>
        <w:pStyle w:val="BodyText"/>
        <w:spacing w:line="249" w:lineRule="auto"/>
        <w:ind w:left="107" w:right="404"/>
      </w:pPr>
      <w:r>
        <w:rPr/>
        <w:t>at improving back-end efficiency and the student experience. These included</w:t>
      </w:r>
    </w:p>
    <w:p>
      <w:pPr>
        <w:pStyle w:val="BodyText"/>
        <w:spacing w:line="249" w:lineRule="auto"/>
        <w:ind w:left="107" w:right="141"/>
      </w:pPr>
      <w:r>
        <w:rPr/>
        <w:t>creating the Online Assessment Tool (OAT) in the MyCallista staff portal, integrating the MySR student portal with the Adobe Marketing Cloud, rolling out Phase </w:t>
      </w:r>
      <w:r>
        <w:rPr>
          <w:w w:val="95"/>
        </w:rPr>
        <w:t>1 </w:t>
      </w:r>
      <w:r>
        <w:rPr/>
        <w:t>of the</w:t>
      </w:r>
    </w:p>
    <w:p>
      <w:pPr>
        <w:pStyle w:val="BodyText"/>
        <w:spacing w:line="249" w:lineRule="auto"/>
        <w:ind w:left="107" w:right="60"/>
      </w:pPr>
      <w:r>
        <w:rPr/>
        <w:t>Studylink system for international applicants and agents, and configuring the Callista software to onboard the Sydney Institute</w:t>
      </w:r>
    </w:p>
    <w:p>
      <w:pPr>
        <w:pStyle w:val="BodyText"/>
        <w:spacing w:line="192" w:lineRule="exact"/>
        <w:ind w:left="107" w:right="141"/>
      </w:pPr>
      <w:r>
        <w:rPr/>
        <w:t>of Business and Technology (SIBT).</w:t>
      </w:r>
    </w:p>
    <w:p>
      <w:pPr>
        <w:pStyle w:val="BodyText"/>
        <w:spacing w:before="4"/>
        <w:rPr>
          <w:sz w:val="17"/>
        </w:rPr>
      </w:pPr>
      <w:r>
        <w:rPr/>
        <w:br w:type="column"/>
      </w:r>
      <w:r>
        <w:rPr>
          <w:sz w:val="17"/>
        </w:rPr>
      </w:r>
    </w:p>
    <w:p>
      <w:pPr>
        <w:pStyle w:val="Heading7"/>
        <w:ind w:right="460"/>
      </w:pPr>
      <w:r>
        <w:rPr>
          <w:w w:val="95"/>
        </w:rPr>
        <w:t>STUDENT PROGRESSION</w:t>
      </w:r>
    </w:p>
    <w:p>
      <w:pPr>
        <w:spacing w:before="64"/>
        <w:ind w:left="107" w:right="197" w:firstLine="0"/>
        <w:jc w:val="left"/>
        <w:rPr>
          <w:rFonts w:ascii="Gotham Narrow Bold"/>
          <w:b/>
          <w:sz w:val="16"/>
        </w:rPr>
      </w:pPr>
      <w:r>
        <w:rPr>
          <w:rFonts w:ascii="Gotham Narrow Bold"/>
          <w:b/>
          <w:color w:val="615C58"/>
          <w:w w:val="95"/>
          <w:sz w:val="16"/>
        </w:rPr>
        <w:t>Student Enquiry and Information Services</w:t>
      </w:r>
    </w:p>
    <w:p>
      <w:pPr>
        <w:pStyle w:val="BodyText"/>
        <w:spacing w:line="249" w:lineRule="auto" w:before="86"/>
        <w:ind w:left="107" w:right="174"/>
      </w:pPr>
      <w:r>
        <w:rPr/>
        <w:t>Student</w:t>
      </w:r>
      <w:r>
        <w:rPr>
          <w:spacing w:val="-14"/>
        </w:rPr>
        <w:t> </w:t>
      </w:r>
      <w:r>
        <w:rPr/>
        <w:t>Central,</w:t>
      </w:r>
      <w:r>
        <w:rPr>
          <w:spacing w:val="-14"/>
        </w:rPr>
        <w:t> </w:t>
      </w:r>
      <w:r>
        <w:rPr/>
        <w:t>the</w:t>
      </w:r>
      <w:r>
        <w:rPr>
          <w:spacing w:val="-14"/>
        </w:rPr>
        <w:t> </w:t>
      </w:r>
      <w:r>
        <w:rPr/>
        <w:t>primary</w:t>
      </w:r>
      <w:r>
        <w:rPr>
          <w:spacing w:val="-14"/>
        </w:rPr>
        <w:t> </w:t>
      </w:r>
      <w:r>
        <w:rPr/>
        <w:t>point</w:t>
      </w:r>
      <w:r>
        <w:rPr>
          <w:spacing w:val="-14"/>
        </w:rPr>
        <w:t> </w:t>
      </w:r>
      <w:r>
        <w:rPr/>
        <w:t>of</w:t>
      </w:r>
      <w:r>
        <w:rPr>
          <w:spacing w:val="-14"/>
        </w:rPr>
        <w:t> </w:t>
      </w:r>
      <w:r>
        <w:rPr/>
        <w:t>contact for</w:t>
      </w:r>
      <w:r>
        <w:rPr>
          <w:spacing w:val="-31"/>
        </w:rPr>
        <w:t> </w:t>
      </w:r>
      <w:r>
        <w:rPr/>
        <w:t>all</w:t>
      </w:r>
      <w:r>
        <w:rPr>
          <w:spacing w:val="-31"/>
        </w:rPr>
        <w:t> </w:t>
      </w:r>
      <w:r>
        <w:rPr/>
        <w:t>students,</w:t>
      </w:r>
      <w:r>
        <w:rPr>
          <w:spacing w:val="-31"/>
        </w:rPr>
        <w:t> </w:t>
      </w:r>
      <w:r>
        <w:rPr/>
        <w:t>managed</w:t>
      </w:r>
      <w:r>
        <w:rPr>
          <w:spacing w:val="-31"/>
        </w:rPr>
        <w:t> </w:t>
      </w:r>
      <w:r>
        <w:rPr/>
        <w:t>143,182</w:t>
      </w:r>
      <w:r>
        <w:rPr>
          <w:spacing w:val="-31"/>
        </w:rPr>
        <w:t> </w:t>
      </w:r>
      <w:r>
        <w:rPr/>
        <w:t>phone</w:t>
      </w:r>
      <w:r>
        <w:rPr>
          <w:spacing w:val="-31"/>
        </w:rPr>
        <w:t> </w:t>
      </w:r>
      <w:r>
        <w:rPr/>
        <w:t>calls, 227,165 face-to-face transactions, </w:t>
      </w:r>
      <w:r>
        <w:rPr>
          <w:spacing w:val="2"/>
        </w:rPr>
        <w:t>51,914 </w:t>
      </w:r>
      <w:r>
        <w:rPr>
          <w:spacing w:val="1"/>
          <w:w w:val="96"/>
        </w:rPr>
        <w:t>email</w:t>
      </w:r>
      <w:r>
        <w:rPr>
          <w:w w:val="96"/>
        </w:rPr>
        <w:t> </w:t>
      </w:r>
      <w:r>
        <w:rPr>
          <w:spacing w:val="1"/>
          <w:w w:val="96"/>
        </w:rPr>
        <w:t>queries</w:t>
      </w:r>
      <w:r>
        <w:rPr>
          <w:w w:val="96"/>
        </w:rPr>
        <w:t> </w:t>
      </w:r>
      <w:r>
        <w:rPr>
          <w:spacing w:val="1"/>
          <w:w w:val="97"/>
        </w:rPr>
        <w:t>and</w:t>
      </w:r>
      <w:r>
        <w:rPr>
          <w:w w:val="97"/>
        </w:rPr>
        <w:t> </w:t>
      </w:r>
      <w:r>
        <w:rPr>
          <w:spacing w:val="1"/>
          <w:w w:val="99"/>
        </w:rPr>
        <w:t>produced</w:t>
      </w:r>
      <w:r>
        <w:rPr>
          <w:w w:val="99"/>
        </w:rPr>
        <w:t> </w:t>
      </w:r>
      <w:r>
        <w:rPr>
          <w:spacing w:val="1"/>
          <w:w w:val="88"/>
        </w:rPr>
        <w:t>30,941</w:t>
      </w:r>
      <w:r>
        <w:rPr>
          <w:w w:val="88"/>
        </w:rPr>
        <w:t> </w:t>
      </w:r>
      <w:r>
        <w:rPr>
          <w:spacing w:val="1"/>
          <w:w w:val="81"/>
        </w:rPr>
        <w:t>ID</w:t>
      </w:r>
      <w:r>
        <w:rPr>
          <w:spacing w:val="-11"/>
          <w:w w:val="81"/>
        </w:rPr>
        <w:t> </w:t>
      </w:r>
      <w:r>
        <w:rPr>
          <w:spacing w:val="1"/>
          <w:w w:val="93"/>
        </w:rPr>
        <w:t>cards.</w:t>
      </w:r>
    </w:p>
    <w:p>
      <w:pPr>
        <w:pStyle w:val="BodyText"/>
        <w:rPr>
          <w:sz w:val="14"/>
        </w:rPr>
      </w:pPr>
    </w:p>
    <w:p>
      <w:pPr>
        <w:pStyle w:val="BodyText"/>
        <w:spacing w:line="249" w:lineRule="auto"/>
        <w:ind w:left="107" w:right="109"/>
      </w:pPr>
      <w:r>
        <w:rPr/>
        <w:t>Student</w:t>
      </w:r>
      <w:r>
        <w:rPr>
          <w:spacing w:val="-16"/>
        </w:rPr>
        <w:t> </w:t>
      </w:r>
      <w:r>
        <w:rPr/>
        <w:t>Central</w:t>
      </w:r>
      <w:r>
        <w:rPr>
          <w:spacing w:val="-16"/>
        </w:rPr>
        <w:t> </w:t>
      </w:r>
      <w:r>
        <w:rPr/>
        <w:t>implemented</w:t>
      </w:r>
      <w:r>
        <w:rPr>
          <w:spacing w:val="-16"/>
        </w:rPr>
        <w:t> </w:t>
      </w:r>
      <w:r>
        <w:rPr/>
        <w:t>a</w:t>
      </w:r>
      <w:r>
        <w:rPr>
          <w:spacing w:val="-16"/>
        </w:rPr>
        <w:t> </w:t>
      </w:r>
      <w:r>
        <w:rPr/>
        <w:t>new</w:t>
      </w:r>
      <w:r>
        <w:rPr>
          <w:spacing w:val="-16"/>
        </w:rPr>
        <w:t> </w:t>
      </w:r>
      <w:r>
        <w:rPr/>
        <w:t>customer flow management (CFM) system on the Kingswood,</w:t>
      </w:r>
      <w:r>
        <w:rPr>
          <w:spacing w:val="-13"/>
        </w:rPr>
        <w:t> </w:t>
      </w:r>
      <w:r>
        <w:rPr/>
        <w:t>Parramatta</w:t>
      </w:r>
      <w:r>
        <w:rPr>
          <w:spacing w:val="-13"/>
        </w:rPr>
        <w:t> </w:t>
      </w:r>
      <w:r>
        <w:rPr/>
        <w:t>South</w:t>
      </w:r>
      <w:r>
        <w:rPr>
          <w:spacing w:val="-13"/>
        </w:rPr>
        <w:t> </w:t>
      </w:r>
      <w:r>
        <w:rPr/>
        <w:t>and</w:t>
      </w:r>
      <w:r>
        <w:rPr>
          <w:spacing w:val="-13"/>
        </w:rPr>
        <w:t> </w:t>
      </w:r>
      <w:r>
        <w:rPr/>
        <w:t>Parramatta </w:t>
      </w:r>
      <w:r>
        <w:rPr>
          <w:spacing w:val="1"/>
          <w:w w:val="100"/>
        </w:rPr>
        <w:t>City</w:t>
      </w:r>
      <w:r>
        <w:rPr>
          <w:w w:val="100"/>
        </w:rPr>
        <w:t> </w:t>
      </w:r>
      <w:r>
        <w:rPr>
          <w:spacing w:val="2"/>
          <w:w w:val="97"/>
        </w:rPr>
        <w:t>campuses</w:t>
      </w:r>
      <w:r>
        <w:rPr>
          <w:w w:val="97"/>
        </w:rPr>
        <w:t> </w:t>
      </w:r>
      <w:r>
        <w:rPr>
          <w:w w:val="95"/>
        </w:rPr>
        <w:t>in </w:t>
      </w:r>
      <w:r>
        <w:rPr>
          <w:spacing w:val="2"/>
          <w:w w:val="85"/>
        </w:rPr>
        <w:t>2016.</w:t>
      </w:r>
      <w:r>
        <w:rPr>
          <w:w w:val="85"/>
        </w:rPr>
        <w:t> </w:t>
      </w:r>
      <w:r>
        <w:rPr>
          <w:spacing w:val="1"/>
          <w:w w:val="94"/>
        </w:rPr>
        <w:t>The</w:t>
      </w:r>
      <w:r>
        <w:rPr>
          <w:w w:val="94"/>
        </w:rPr>
        <w:t> </w:t>
      </w:r>
      <w:r>
        <w:rPr>
          <w:w w:val="97"/>
        </w:rPr>
        <w:t>new </w:t>
      </w:r>
      <w:r>
        <w:rPr>
          <w:spacing w:val="1"/>
          <w:w w:val="101"/>
        </w:rPr>
        <w:t>CFM</w:t>
      </w:r>
      <w:r>
        <w:rPr>
          <w:w w:val="101"/>
        </w:rPr>
        <w:t> </w:t>
      </w:r>
      <w:r>
        <w:rPr>
          <w:w w:val="95"/>
        </w:rPr>
        <w:t>is </w:t>
      </w:r>
      <w:r>
        <w:rPr>
          <w:w w:val="94"/>
        </w:rPr>
        <w:t>a </w:t>
      </w:r>
      <w:r>
        <w:rPr/>
        <w:t>virtual</w:t>
      </w:r>
      <w:r>
        <w:rPr>
          <w:spacing w:val="-14"/>
        </w:rPr>
        <w:t> </w:t>
      </w:r>
      <w:r>
        <w:rPr/>
        <w:t>queueing</w:t>
      </w:r>
      <w:r>
        <w:rPr>
          <w:spacing w:val="-14"/>
        </w:rPr>
        <w:t> </w:t>
      </w:r>
      <w:r>
        <w:rPr/>
        <w:t>system</w:t>
      </w:r>
      <w:r>
        <w:rPr>
          <w:spacing w:val="-14"/>
        </w:rPr>
        <w:t> </w:t>
      </w:r>
      <w:r>
        <w:rPr/>
        <w:t>and</w:t>
      </w:r>
      <w:r>
        <w:rPr>
          <w:spacing w:val="-14"/>
        </w:rPr>
        <w:t> </w:t>
      </w:r>
      <w:r>
        <w:rPr/>
        <w:t>will</w:t>
      </w:r>
      <w:r>
        <w:rPr>
          <w:spacing w:val="-14"/>
        </w:rPr>
        <w:t> </w:t>
      </w:r>
      <w:r>
        <w:rPr/>
        <w:t>be</w:t>
      </w:r>
      <w:r>
        <w:rPr>
          <w:spacing w:val="-14"/>
        </w:rPr>
        <w:t> </w:t>
      </w:r>
      <w:r>
        <w:rPr/>
        <w:t>rolled</w:t>
      </w:r>
      <w:r>
        <w:rPr>
          <w:spacing w:val="-14"/>
        </w:rPr>
        <w:t> </w:t>
      </w:r>
      <w:r>
        <w:rPr/>
        <w:t>out across all Student Central locations in early </w:t>
      </w:r>
      <w:r>
        <w:rPr>
          <w:spacing w:val="-2"/>
          <w:w w:val="83"/>
        </w:rPr>
        <w:t>2017.</w:t>
      </w:r>
      <w:r>
        <w:rPr>
          <w:w w:val="83"/>
        </w:rPr>
        <w:t> </w:t>
      </w:r>
      <w:r>
        <w:rPr>
          <w:spacing w:val="1"/>
          <w:w w:val="92"/>
        </w:rPr>
        <w:t>Instead</w:t>
      </w:r>
      <w:r>
        <w:rPr>
          <w:w w:val="92"/>
        </w:rPr>
        <w:t> </w:t>
      </w:r>
      <w:r>
        <w:rPr>
          <w:w w:val="99"/>
        </w:rPr>
        <w:t>of </w:t>
      </w:r>
      <w:r>
        <w:rPr>
          <w:spacing w:val="1"/>
          <w:w w:val="97"/>
        </w:rPr>
        <w:t>standing</w:t>
      </w:r>
      <w:r>
        <w:rPr>
          <w:w w:val="97"/>
        </w:rPr>
        <w:t> </w:t>
      </w:r>
      <w:r>
        <w:rPr>
          <w:w w:val="95"/>
        </w:rPr>
        <w:t>in </w:t>
      </w:r>
      <w:r>
        <w:rPr>
          <w:w w:val="95"/>
        </w:rPr>
        <w:t>line </w:t>
      </w:r>
      <w:r>
        <w:rPr>
          <w:w w:val="98"/>
        </w:rPr>
        <w:t>at </w:t>
      </w:r>
      <w:r>
        <w:rPr>
          <w:w w:val="98"/>
        </w:rPr>
        <w:t>Student </w:t>
      </w:r>
      <w:r>
        <w:rPr/>
        <w:t>Central, students and staff members can submit</w:t>
      </w:r>
      <w:r>
        <w:rPr>
          <w:spacing w:val="-16"/>
        </w:rPr>
        <w:t> </w:t>
      </w:r>
      <w:r>
        <w:rPr/>
        <w:t>a</w:t>
      </w:r>
      <w:r>
        <w:rPr>
          <w:spacing w:val="-16"/>
        </w:rPr>
        <w:t> </w:t>
      </w:r>
      <w:r>
        <w:rPr/>
        <w:t>request</w:t>
      </w:r>
      <w:r>
        <w:rPr>
          <w:spacing w:val="-16"/>
        </w:rPr>
        <w:t> </w:t>
      </w:r>
      <w:r>
        <w:rPr/>
        <w:t>online</w:t>
      </w:r>
      <w:r>
        <w:rPr>
          <w:spacing w:val="-16"/>
        </w:rPr>
        <w:t> </w:t>
      </w:r>
      <w:r>
        <w:rPr/>
        <w:t>(via</w:t>
      </w:r>
      <w:r>
        <w:rPr>
          <w:spacing w:val="-16"/>
        </w:rPr>
        <w:t> </w:t>
      </w:r>
      <w:r>
        <w:rPr/>
        <w:t>their</w:t>
      </w:r>
      <w:r>
        <w:rPr>
          <w:spacing w:val="-16"/>
        </w:rPr>
        <w:t> </w:t>
      </w:r>
      <w:r>
        <w:rPr/>
        <w:t>computer</w:t>
      </w:r>
      <w:r>
        <w:rPr>
          <w:spacing w:val="-16"/>
        </w:rPr>
        <w:t> </w:t>
      </w:r>
      <w:r>
        <w:rPr/>
        <w:t>or phone)</w:t>
      </w:r>
      <w:r>
        <w:rPr>
          <w:spacing w:val="-16"/>
        </w:rPr>
        <w:t> </w:t>
      </w:r>
      <w:r>
        <w:rPr/>
        <w:t>or</w:t>
      </w:r>
      <w:r>
        <w:rPr>
          <w:spacing w:val="-16"/>
        </w:rPr>
        <w:t> </w:t>
      </w:r>
      <w:r>
        <w:rPr/>
        <w:t>at</w:t>
      </w:r>
      <w:r>
        <w:rPr>
          <w:spacing w:val="-16"/>
        </w:rPr>
        <w:t> </w:t>
      </w:r>
      <w:r>
        <w:rPr/>
        <w:t>the</w:t>
      </w:r>
      <w:r>
        <w:rPr>
          <w:spacing w:val="-16"/>
        </w:rPr>
        <w:t> </w:t>
      </w:r>
      <w:r>
        <w:rPr/>
        <w:t>kiosk</w:t>
      </w:r>
      <w:r>
        <w:rPr>
          <w:spacing w:val="-16"/>
        </w:rPr>
        <w:t> </w:t>
      </w:r>
      <w:r>
        <w:rPr/>
        <w:t>located</w:t>
      </w:r>
      <w:r>
        <w:rPr>
          <w:spacing w:val="-16"/>
        </w:rPr>
        <w:t> </w:t>
      </w:r>
      <w:r>
        <w:rPr/>
        <w:t>at</w:t>
      </w:r>
      <w:r>
        <w:rPr>
          <w:spacing w:val="-16"/>
        </w:rPr>
        <w:t> </w:t>
      </w:r>
      <w:r>
        <w:rPr/>
        <w:t>each</w:t>
      </w:r>
      <w:r>
        <w:rPr>
          <w:spacing w:val="-16"/>
        </w:rPr>
        <w:t> </w:t>
      </w:r>
      <w:r>
        <w:rPr/>
        <w:t>Student Central location to reserve a place in the virtual queue. An SMS is sent when it is their turn</w:t>
      </w:r>
      <w:r>
        <w:rPr>
          <w:spacing w:val="-15"/>
        </w:rPr>
        <w:t> </w:t>
      </w:r>
      <w:r>
        <w:rPr/>
        <w:t>to</w:t>
      </w:r>
      <w:r>
        <w:rPr>
          <w:spacing w:val="-15"/>
        </w:rPr>
        <w:t> </w:t>
      </w:r>
      <w:r>
        <w:rPr/>
        <w:t>be</w:t>
      </w:r>
      <w:r>
        <w:rPr>
          <w:spacing w:val="-15"/>
        </w:rPr>
        <w:t> </w:t>
      </w:r>
      <w:r>
        <w:rPr/>
        <w:t>served,</w:t>
      </w:r>
      <w:r>
        <w:rPr>
          <w:spacing w:val="-15"/>
        </w:rPr>
        <w:t> </w:t>
      </w:r>
      <w:r>
        <w:rPr/>
        <w:t>allowing</w:t>
      </w:r>
      <w:r>
        <w:rPr>
          <w:spacing w:val="-15"/>
        </w:rPr>
        <w:t> </w:t>
      </w:r>
      <w:r>
        <w:rPr/>
        <w:t>students</w:t>
      </w:r>
      <w:r>
        <w:rPr>
          <w:spacing w:val="-15"/>
        </w:rPr>
        <w:t> </w:t>
      </w:r>
      <w:r>
        <w:rPr/>
        <w:t>and</w:t>
      </w:r>
      <w:r>
        <w:rPr>
          <w:spacing w:val="-15"/>
        </w:rPr>
        <w:t> </w:t>
      </w:r>
      <w:r>
        <w:rPr/>
        <w:t>staff to</w:t>
      </w:r>
      <w:r>
        <w:rPr>
          <w:spacing w:val="-19"/>
        </w:rPr>
        <w:t> </w:t>
      </w:r>
      <w:r>
        <w:rPr/>
        <w:t>better</w:t>
      </w:r>
      <w:r>
        <w:rPr>
          <w:spacing w:val="-19"/>
        </w:rPr>
        <w:t> </w:t>
      </w:r>
      <w:r>
        <w:rPr/>
        <w:t>manage</w:t>
      </w:r>
      <w:r>
        <w:rPr>
          <w:spacing w:val="-19"/>
        </w:rPr>
        <w:t> </w:t>
      </w:r>
      <w:r>
        <w:rPr/>
        <w:t>their</w:t>
      </w:r>
      <w:r>
        <w:rPr>
          <w:spacing w:val="-19"/>
        </w:rPr>
        <w:t> </w:t>
      </w:r>
      <w:r>
        <w:rPr/>
        <w:t>time.</w:t>
      </w:r>
    </w:p>
    <w:p>
      <w:pPr>
        <w:pStyle w:val="BodyText"/>
        <w:rPr>
          <w:sz w:val="14"/>
        </w:rPr>
      </w:pPr>
    </w:p>
    <w:p>
      <w:pPr>
        <w:pStyle w:val="BodyText"/>
        <w:spacing w:line="249" w:lineRule="auto"/>
        <w:ind w:left="107" w:right="93"/>
      </w:pPr>
      <w:r>
        <w:rPr/>
        <w:t>Student Central also established its presence at the new Parramatta City campus in the heart of the Parramatta CBD. Student Central undertook a broad range of work to ensure seamless service delivery for students at the new campus, including:</w:t>
      </w:r>
    </w:p>
    <w:p>
      <w:pPr>
        <w:pStyle w:val="BodyText"/>
        <w:spacing w:line="244" w:lineRule="auto" w:before="55"/>
        <w:ind w:left="305" w:right="583" w:hanging="199"/>
      </w:pPr>
      <w:r>
        <w:rPr>
          <w:rFonts w:ascii="Century Gothic" w:hAnsi="Century Gothic"/>
          <w:b/>
          <w:w w:val="115"/>
        </w:rPr>
        <w:t>≥ </w:t>
      </w:r>
      <w:r>
        <w:rPr/>
        <w:t>developing a new service for Level </w:t>
      </w:r>
      <w:r>
        <w:rPr>
          <w:w w:val="95"/>
        </w:rPr>
        <w:t>1 </w:t>
      </w:r>
      <w:r>
        <w:rPr/>
        <w:t>operations (Student Services Hub)</w:t>
      </w:r>
    </w:p>
    <w:p>
      <w:pPr>
        <w:pStyle w:val="BodyText"/>
        <w:spacing w:line="247" w:lineRule="auto" w:before="58"/>
        <w:ind w:left="305" w:right="260" w:hanging="199"/>
      </w:pPr>
      <w:r>
        <w:rPr>
          <w:rFonts w:ascii="Century Gothic" w:hAnsi="Century Gothic"/>
          <w:b/>
          <w:w w:val="115"/>
        </w:rPr>
        <w:t>≥  </w:t>
      </w:r>
      <w:r>
        <w:rPr/>
        <w:t>contributing to the development of a new student ‘Help’ platform, which has been</w:t>
      </w:r>
      <w:r>
        <w:rPr>
          <w:spacing w:val="-15"/>
        </w:rPr>
        <w:t> </w:t>
      </w:r>
      <w:r>
        <w:rPr/>
        <w:t>rolled</w:t>
      </w:r>
      <w:r>
        <w:rPr>
          <w:spacing w:val="-15"/>
        </w:rPr>
        <w:t> </w:t>
      </w:r>
      <w:r>
        <w:rPr/>
        <w:t>out</w:t>
      </w:r>
      <w:r>
        <w:rPr>
          <w:spacing w:val="-15"/>
        </w:rPr>
        <w:t> </w:t>
      </w:r>
      <w:r>
        <w:rPr/>
        <w:t>across</w:t>
      </w:r>
      <w:r>
        <w:rPr>
          <w:spacing w:val="-15"/>
        </w:rPr>
        <w:t> </w:t>
      </w:r>
      <w:r>
        <w:rPr/>
        <w:t>the</w:t>
      </w:r>
      <w:r>
        <w:rPr>
          <w:spacing w:val="-15"/>
        </w:rPr>
        <w:t> </w:t>
      </w:r>
      <w:r>
        <w:rPr/>
        <w:t>University</w:t>
      </w:r>
      <w:r>
        <w:rPr>
          <w:spacing w:val="-15"/>
        </w:rPr>
        <w:t> </w:t>
      </w:r>
      <w:r>
        <w:rPr/>
        <w:t>and includes a broad range of informative articles</w:t>
      </w:r>
      <w:r>
        <w:rPr>
          <w:spacing w:val="-14"/>
        </w:rPr>
        <w:t> </w:t>
      </w:r>
      <w:r>
        <w:rPr/>
        <w:t>for</w:t>
      </w:r>
      <w:r>
        <w:rPr>
          <w:spacing w:val="-14"/>
        </w:rPr>
        <w:t> </w:t>
      </w:r>
      <w:r>
        <w:rPr/>
        <w:t>students</w:t>
      </w:r>
      <w:r>
        <w:rPr>
          <w:spacing w:val="-14"/>
        </w:rPr>
        <w:t> </w:t>
      </w:r>
      <w:r>
        <w:rPr/>
        <w:t>and</w:t>
      </w:r>
      <w:r>
        <w:rPr>
          <w:spacing w:val="-14"/>
        </w:rPr>
        <w:t> </w:t>
      </w:r>
      <w:r>
        <w:rPr/>
        <w:t>staff</w:t>
      </w:r>
      <w:r>
        <w:rPr>
          <w:spacing w:val="-14"/>
        </w:rPr>
        <w:t> </w:t>
      </w:r>
      <w:r>
        <w:rPr/>
        <w:t>members</w:t>
      </w:r>
    </w:p>
    <w:p>
      <w:pPr>
        <w:pStyle w:val="BodyText"/>
        <w:spacing w:line="247" w:lineRule="auto" w:before="57"/>
        <w:ind w:left="305" w:right="260" w:hanging="199"/>
      </w:pPr>
      <w:r>
        <w:rPr>
          <w:rFonts w:ascii="Century Gothic" w:hAnsi="Century Gothic"/>
          <w:b/>
          <w:w w:val="115"/>
        </w:rPr>
        <w:t>≥ </w:t>
      </w:r>
      <w:r>
        <w:rPr/>
        <w:t>establishing an integrated service framework with the School of Business based</w:t>
      </w:r>
      <w:r>
        <w:rPr>
          <w:spacing w:val="-14"/>
        </w:rPr>
        <w:t> </w:t>
      </w:r>
      <w:r>
        <w:rPr/>
        <w:t>on</w:t>
      </w:r>
      <w:r>
        <w:rPr>
          <w:spacing w:val="-14"/>
        </w:rPr>
        <w:t> </w:t>
      </w:r>
      <w:r>
        <w:rPr/>
        <w:t>the</w:t>
      </w:r>
      <w:r>
        <w:rPr>
          <w:spacing w:val="-14"/>
        </w:rPr>
        <w:t> </w:t>
      </w:r>
      <w:r>
        <w:rPr/>
        <w:t>new</w:t>
      </w:r>
      <w:r>
        <w:rPr>
          <w:spacing w:val="-14"/>
        </w:rPr>
        <w:t> </w:t>
      </w:r>
      <w:r>
        <w:rPr/>
        <w:t>service</w:t>
      </w:r>
      <w:r>
        <w:rPr>
          <w:spacing w:val="-14"/>
        </w:rPr>
        <w:t> </w:t>
      </w:r>
      <w:r>
        <w:rPr/>
        <w:t>model</w:t>
      </w:r>
      <w:r>
        <w:rPr>
          <w:spacing w:val="-14"/>
        </w:rPr>
        <w:t> </w:t>
      </w:r>
      <w:r>
        <w:rPr/>
        <w:t>for</w:t>
      </w:r>
      <w:r>
        <w:rPr>
          <w:spacing w:val="-14"/>
        </w:rPr>
        <w:t> </w:t>
      </w:r>
      <w:r>
        <w:rPr/>
        <w:t>Level </w:t>
      </w:r>
      <w:r>
        <w:rPr>
          <w:w w:val="95"/>
        </w:rPr>
        <w:t>1, </w:t>
      </w:r>
      <w:r>
        <w:rPr/>
        <w:t>including documenting and mapping all services and processes that will be delivered via the Level </w:t>
      </w:r>
      <w:r>
        <w:rPr>
          <w:w w:val="95"/>
        </w:rPr>
        <w:t>1 </w:t>
      </w:r>
      <w:r>
        <w:rPr/>
        <w:t>Service Centre (and</w:t>
      </w:r>
      <w:r>
        <w:rPr>
          <w:spacing w:val="-22"/>
        </w:rPr>
        <w:t> </w:t>
      </w:r>
      <w:r>
        <w:rPr/>
        <w:t>changes</w:t>
      </w:r>
      <w:r>
        <w:rPr>
          <w:spacing w:val="-22"/>
        </w:rPr>
        <w:t> </w:t>
      </w:r>
      <w:r>
        <w:rPr/>
        <w:t>to</w:t>
      </w:r>
      <w:r>
        <w:rPr>
          <w:spacing w:val="-22"/>
        </w:rPr>
        <w:t> </w:t>
      </w:r>
      <w:r>
        <w:rPr/>
        <w:t>service</w:t>
      </w:r>
      <w:r>
        <w:rPr>
          <w:spacing w:val="-22"/>
        </w:rPr>
        <w:t> </w:t>
      </w:r>
      <w:r>
        <w:rPr/>
        <w:t>delivery).</w:t>
      </w:r>
    </w:p>
    <w:p>
      <w:pPr>
        <w:pStyle w:val="BodyText"/>
        <w:spacing w:before="8"/>
        <w:rPr>
          <w:sz w:val="14"/>
        </w:rPr>
      </w:pPr>
    </w:p>
    <w:p>
      <w:pPr>
        <w:pStyle w:val="Heading7"/>
        <w:ind w:right="460"/>
      </w:pPr>
      <w:r>
        <w:rPr>
          <w:color w:val="615C58"/>
        </w:rPr>
        <w:t>Graduations</w:t>
      </w:r>
    </w:p>
    <w:p>
      <w:pPr>
        <w:pStyle w:val="BodyText"/>
        <w:spacing w:line="249" w:lineRule="auto" w:before="86"/>
        <w:ind w:left="107" w:right="432"/>
        <w:jc w:val="both"/>
      </w:pPr>
      <w:r>
        <w:rPr/>
        <w:t>The</w:t>
      </w:r>
      <w:r>
        <w:rPr>
          <w:spacing w:val="-18"/>
        </w:rPr>
        <w:t> </w:t>
      </w:r>
      <w:r>
        <w:rPr/>
        <w:t>University</w:t>
      </w:r>
      <w:r>
        <w:rPr>
          <w:spacing w:val="-18"/>
        </w:rPr>
        <w:t> </w:t>
      </w:r>
      <w:r>
        <w:rPr/>
        <w:t>graduated</w:t>
      </w:r>
      <w:r>
        <w:rPr>
          <w:spacing w:val="-18"/>
        </w:rPr>
        <w:t> </w:t>
      </w:r>
      <w:r>
        <w:rPr>
          <w:spacing w:val="3"/>
        </w:rPr>
        <w:t>8,234</w:t>
      </w:r>
      <w:r>
        <w:rPr>
          <w:spacing w:val="-18"/>
        </w:rPr>
        <w:t> </w:t>
      </w:r>
      <w:r>
        <w:rPr/>
        <w:t>students </w:t>
      </w:r>
      <w:r>
        <w:rPr>
          <w:w w:val="95"/>
        </w:rPr>
        <w:t>in </w:t>
      </w:r>
      <w:r>
        <w:rPr>
          <w:spacing w:val="2"/>
          <w:w w:val="85"/>
        </w:rPr>
        <w:t>2016,</w:t>
      </w:r>
      <w:r>
        <w:rPr>
          <w:w w:val="85"/>
        </w:rPr>
        <w:t> </w:t>
      </w:r>
      <w:r>
        <w:rPr>
          <w:spacing w:val="1"/>
          <w:w w:val="97"/>
        </w:rPr>
        <w:t>including</w:t>
      </w:r>
      <w:r>
        <w:rPr>
          <w:w w:val="97"/>
        </w:rPr>
        <w:t> </w:t>
      </w:r>
      <w:r>
        <w:rPr>
          <w:spacing w:val="3"/>
          <w:w w:val="92"/>
        </w:rPr>
        <w:t>4,388</w:t>
      </w:r>
      <w:r>
        <w:rPr>
          <w:w w:val="92"/>
        </w:rPr>
        <w:t> </w:t>
      </w:r>
      <w:r>
        <w:rPr>
          <w:spacing w:val="1"/>
          <w:w w:val="97"/>
        </w:rPr>
        <w:t>students</w:t>
      </w:r>
      <w:r>
        <w:rPr>
          <w:w w:val="97"/>
        </w:rPr>
        <w:t> </w:t>
      </w:r>
      <w:r>
        <w:rPr>
          <w:w w:val="95"/>
        </w:rPr>
        <w:t>in </w:t>
      </w:r>
      <w:r>
        <w:rPr>
          <w:spacing w:val="1"/>
          <w:w w:val="95"/>
        </w:rPr>
        <w:t>April,</w:t>
      </w:r>
      <w:r>
        <w:rPr>
          <w:w w:val="95"/>
        </w:rPr>
        <w:t> </w:t>
      </w:r>
      <w:r>
        <w:rPr>
          <w:w w:val="95"/>
        </w:rPr>
        <w:t>2,727</w:t>
      </w:r>
      <w:r>
        <w:rPr>
          <w:spacing w:val="-19"/>
          <w:w w:val="95"/>
        </w:rPr>
        <w:t> </w:t>
      </w:r>
      <w:r>
        <w:rPr>
          <w:w w:val="95"/>
        </w:rPr>
        <w:t>in</w:t>
      </w:r>
      <w:r>
        <w:rPr>
          <w:spacing w:val="-19"/>
          <w:w w:val="95"/>
        </w:rPr>
        <w:t> </w:t>
      </w:r>
      <w:r>
        <w:rPr>
          <w:w w:val="95"/>
        </w:rPr>
        <w:t>September</w:t>
      </w:r>
      <w:r>
        <w:rPr>
          <w:spacing w:val="-19"/>
          <w:w w:val="95"/>
        </w:rPr>
        <w:t> </w:t>
      </w:r>
      <w:r>
        <w:rPr>
          <w:w w:val="95"/>
        </w:rPr>
        <w:t>and</w:t>
      </w:r>
      <w:r>
        <w:rPr>
          <w:spacing w:val="-19"/>
          <w:w w:val="95"/>
        </w:rPr>
        <w:t> </w:t>
      </w:r>
      <w:r>
        <w:rPr>
          <w:w w:val="95"/>
        </w:rPr>
        <w:t>1,119</w:t>
      </w:r>
      <w:r>
        <w:rPr>
          <w:spacing w:val="-19"/>
          <w:w w:val="95"/>
        </w:rPr>
        <w:t> </w:t>
      </w:r>
      <w:r>
        <w:rPr>
          <w:w w:val="95"/>
        </w:rPr>
        <w:t>in</w:t>
      </w:r>
      <w:r>
        <w:rPr>
          <w:spacing w:val="-19"/>
          <w:w w:val="95"/>
        </w:rPr>
        <w:t> </w:t>
      </w:r>
      <w:r>
        <w:rPr>
          <w:w w:val="95"/>
        </w:rPr>
        <w:t>December.</w:t>
      </w:r>
    </w:p>
    <w:p>
      <w:pPr>
        <w:spacing w:after="0" w:line="249" w:lineRule="auto"/>
        <w:jc w:val="both"/>
        <w:sectPr>
          <w:type w:val="continuous"/>
          <w:pgSz w:w="11910" w:h="16840"/>
          <w:pgMar w:top="1580" w:bottom="280" w:left="800" w:right="800"/>
          <w:cols w:num="3" w:equalWidth="0">
            <w:col w:w="3320" w:space="119"/>
            <w:col w:w="3307" w:space="133"/>
            <w:col w:w="3431"/>
          </w:cols>
        </w:sectPr>
      </w:pPr>
    </w:p>
    <w:p>
      <w:pPr>
        <w:pStyle w:val="BodyText"/>
        <w:spacing w:before="9"/>
        <w:rPr>
          <w:sz w:val="28"/>
        </w:rPr>
      </w:pPr>
    </w:p>
    <w:p>
      <w:pPr>
        <w:pStyle w:val="Heading2"/>
        <w:ind w:right="7796"/>
        <w:rPr>
          <w:b w:val="0"/>
        </w:rPr>
      </w:pPr>
      <w:r>
        <w:rPr>
          <w:b w:val="0"/>
        </w:rPr>
        <w:t>People and Advancement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149"/>
      </w:pPr>
      <w:r>
        <w:rPr/>
        <w:t>As well as providing administrative support </w:t>
      </w:r>
      <w:r>
        <w:rPr>
          <w:w w:val="98"/>
        </w:rPr>
        <w:t>for </w:t>
      </w:r>
      <w:r>
        <w:rPr>
          <w:w w:val="95"/>
        </w:rPr>
        <w:t>graduations, </w:t>
      </w:r>
      <w:r>
        <w:rPr>
          <w:w w:val="97"/>
        </w:rPr>
        <w:t>the </w:t>
      </w:r>
      <w:r>
        <w:rPr>
          <w:w w:val="97"/>
        </w:rPr>
        <w:t>unit </w:t>
      </w:r>
      <w:r>
        <w:rPr>
          <w:w w:val="97"/>
        </w:rPr>
        <w:t>generated </w:t>
      </w:r>
      <w:r>
        <w:rPr>
          <w:w w:val="86"/>
        </w:rPr>
        <w:t>13,530 </w:t>
      </w:r>
      <w:r>
        <w:rPr/>
        <w:t>hard copy and electronic documents, including course completion letters, academic transcripts, replacement testamurs and Australian Higher</w:t>
      </w:r>
    </w:p>
    <w:p>
      <w:pPr>
        <w:pStyle w:val="BodyText"/>
        <w:spacing w:line="192" w:lineRule="exact"/>
        <w:ind w:left="107" w:right="-2"/>
      </w:pPr>
      <w:r>
        <w:rPr/>
        <w:t>Education Graduation Statements.</w:t>
      </w:r>
    </w:p>
    <w:p>
      <w:pPr>
        <w:pStyle w:val="BodyText"/>
        <w:spacing w:before="7"/>
        <w:rPr>
          <w:sz w:val="14"/>
        </w:rPr>
      </w:pPr>
    </w:p>
    <w:p>
      <w:pPr>
        <w:pStyle w:val="BodyText"/>
        <w:spacing w:line="249" w:lineRule="auto" w:before="1"/>
        <w:ind w:left="107" w:right="188"/>
      </w:pPr>
      <w:r>
        <w:rPr/>
        <w:t>The Automated Approval to Graduate </w:t>
      </w:r>
      <w:r>
        <w:rPr>
          <w:w w:val="101"/>
        </w:rPr>
        <w:t>(AATG) </w:t>
      </w:r>
      <w:r>
        <w:rPr>
          <w:w w:val="96"/>
        </w:rPr>
        <w:t>project </w:t>
      </w:r>
      <w:r>
        <w:rPr>
          <w:w w:val="98"/>
        </w:rPr>
        <w:t>continued </w:t>
      </w:r>
      <w:r>
        <w:rPr>
          <w:w w:val="95"/>
        </w:rPr>
        <w:t>in </w:t>
      </w:r>
      <w:r>
        <w:rPr>
          <w:w w:val="85"/>
        </w:rPr>
        <w:t>2016, </w:t>
      </w:r>
      <w:r>
        <w:rPr/>
        <w:t>delivering further enhancements and improvements. This has decreased the academic and professional workload of the Schools and the administrative workload associated with checking completions.</w:t>
      </w:r>
    </w:p>
    <w:p>
      <w:pPr>
        <w:pStyle w:val="BodyText"/>
        <w:rPr>
          <w:sz w:val="14"/>
        </w:rPr>
      </w:pPr>
    </w:p>
    <w:p>
      <w:pPr>
        <w:pStyle w:val="BodyText"/>
        <w:spacing w:line="249" w:lineRule="auto"/>
        <w:ind w:left="107" w:right="86"/>
      </w:pPr>
      <w:r>
        <w:rPr>
          <w:spacing w:val="-1"/>
          <w:w w:val="80"/>
        </w:rPr>
        <w:t>In</w:t>
      </w:r>
      <w:r>
        <w:rPr>
          <w:spacing w:val="-5"/>
          <w:w w:val="80"/>
        </w:rPr>
        <w:t> </w:t>
      </w:r>
      <w:r>
        <w:rPr>
          <w:spacing w:val="-1"/>
          <w:w w:val="85"/>
        </w:rPr>
        <w:t>2016,</w:t>
      </w:r>
      <w:r>
        <w:rPr>
          <w:spacing w:val="-8"/>
          <w:w w:val="85"/>
        </w:rPr>
        <w:t> </w:t>
      </w:r>
      <w:r>
        <w:rPr>
          <w:spacing w:val="-1"/>
          <w:w w:val="97"/>
        </w:rPr>
        <w:t>Phase</w:t>
      </w:r>
      <w:r>
        <w:rPr>
          <w:spacing w:val="-14"/>
          <w:w w:val="97"/>
        </w:rPr>
        <w:t> </w:t>
      </w:r>
      <w:r>
        <w:rPr>
          <w:w w:val="103"/>
        </w:rPr>
        <w:t>4</w:t>
      </w:r>
      <w:r>
        <w:rPr>
          <w:spacing w:val="-17"/>
          <w:w w:val="103"/>
        </w:rPr>
        <w:t> </w:t>
      </w:r>
      <w:r>
        <w:rPr>
          <w:spacing w:val="-2"/>
          <w:w w:val="99"/>
        </w:rPr>
        <w:t>of</w:t>
      </w:r>
      <w:r>
        <w:rPr>
          <w:spacing w:val="-15"/>
          <w:w w:val="99"/>
        </w:rPr>
        <w:t> </w:t>
      </w:r>
      <w:r>
        <w:rPr>
          <w:spacing w:val="-1"/>
          <w:w w:val="97"/>
        </w:rPr>
        <w:t>the</w:t>
      </w:r>
      <w:r>
        <w:rPr>
          <w:spacing w:val="-14"/>
          <w:w w:val="97"/>
        </w:rPr>
        <w:t> </w:t>
      </w:r>
      <w:r>
        <w:rPr>
          <w:spacing w:val="-4"/>
          <w:w w:val="104"/>
        </w:rPr>
        <w:t>AATG</w:t>
      </w:r>
      <w:r>
        <w:rPr>
          <w:spacing w:val="-17"/>
          <w:w w:val="104"/>
        </w:rPr>
        <w:t> </w:t>
      </w:r>
      <w:r>
        <w:rPr>
          <w:spacing w:val="-2"/>
          <w:w w:val="96"/>
        </w:rPr>
        <w:t>project</w:t>
      </w:r>
      <w:r>
        <w:rPr>
          <w:spacing w:val="-13"/>
          <w:w w:val="96"/>
        </w:rPr>
        <w:t> </w:t>
      </w:r>
      <w:r>
        <w:rPr>
          <w:spacing w:val="-2"/>
          <w:w w:val="97"/>
        </w:rPr>
        <w:t>delivered</w:t>
      </w:r>
      <w:r>
        <w:rPr>
          <w:w w:val="97"/>
        </w:rPr>
        <w:t> </w:t>
      </w:r>
      <w:r>
        <w:rPr/>
        <w:t>the Online Assessment </w:t>
      </w:r>
      <w:r>
        <w:rPr>
          <w:spacing w:val="-4"/>
        </w:rPr>
        <w:t>Tool </w:t>
      </w:r>
      <w:r>
        <w:rPr>
          <w:spacing w:val="-5"/>
        </w:rPr>
        <w:t>(OAT) </w:t>
      </w:r>
      <w:r>
        <w:rPr/>
        <w:t>for assessing non-standard graduands </w:t>
      </w:r>
      <w:r>
        <w:rPr>
          <w:spacing w:val="-4"/>
        </w:rPr>
        <w:t>(who </w:t>
      </w:r>
      <w:r>
        <w:rPr/>
        <w:t>do not</w:t>
      </w:r>
      <w:r>
        <w:rPr>
          <w:spacing w:val="-36"/>
        </w:rPr>
        <w:t> </w:t>
      </w:r>
      <w:r>
        <w:rPr/>
        <w:t>meet</w:t>
      </w:r>
      <w:r>
        <w:rPr>
          <w:spacing w:val="-36"/>
        </w:rPr>
        <w:t> </w:t>
      </w:r>
      <w:r>
        <w:rPr/>
        <w:t>approved</w:t>
      </w:r>
      <w:r>
        <w:rPr>
          <w:spacing w:val="-36"/>
        </w:rPr>
        <w:t> </w:t>
      </w:r>
      <w:r>
        <w:rPr/>
        <w:t>course</w:t>
      </w:r>
      <w:r>
        <w:rPr>
          <w:spacing w:val="-36"/>
        </w:rPr>
        <w:t> </w:t>
      </w:r>
      <w:r>
        <w:rPr>
          <w:spacing w:val="-3"/>
        </w:rPr>
        <w:t>rules).</w:t>
      </w:r>
      <w:r>
        <w:rPr>
          <w:spacing w:val="-36"/>
        </w:rPr>
        <w:t> </w:t>
      </w:r>
      <w:r>
        <w:rPr/>
        <w:t>This</w:t>
      </w:r>
      <w:r>
        <w:rPr>
          <w:spacing w:val="-36"/>
        </w:rPr>
        <w:t> </w:t>
      </w:r>
      <w:r>
        <w:rPr/>
        <w:t>replaced the cumbersome process of assessing via spreadsheet. The </w:t>
      </w:r>
      <w:r>
        <w:rPr>
          <w:spacing w:val="-6"/>
        </w:rPr>
        <w:t>OAT </w:t>
      </w:r>
      <w:r>
        <w:rPr/>
        <w:t>was launched on 18 </w:t>
      </w:r>
      <w:r>
        <w:rPr>
          <w:spacing w:val="-2"/>
          <w:w w:val="99"/>
        </w:rPr>
        <w:t>November</w:t>
      </w:r>
      <w:r>
        <w:rPr>
          <w:w w:val="99"/>
        </w:rPr>
        <w:t> </w:t>
      </w:r>
      <w:r>
        <w:rPr>
          <w:spacing w:val="-1"/>
          <w:w w:val="85"/>
        </w:rPr>
        <w:t>2016,</w:t>
      </w:r>
      <w:r>
        <w:rPr>
          <w:w w:val="85"/>
        </w:rPr>
        <w:t> </w:t>
      </w:r>
      <w:r>
        <w:rPr>
          <w:spacing w:val="-2"/>
          <w:w w:val="97"/>
        </w:rPr>
        <w:t>allowing</w:t>
      </w:r>
      <w:r>
        <w:rPr>
          <w:w w:val="97"/>
        </w:rPr>
        <w:t> </w:t>
      </w:r>
      <w:r>
        <w:rPr>
          <w:spacing w:val="-2"/>
          <w:w w:val="96"/>
        </w:rPr>
        <w:t>online</w:t>
      </w:r>
      <w:r>
        <w:rPr>
          <w:spacing w:val="-26"/>
          <w:w w:val="96"/>
        </w:rPr>
        <w:t> </w:t>
      </w:r>
      <w:r>
        <w:rPr>
          <w:spacing w:val="-1"/>
          <w:w w:val="96"/>
        </w:rPr>
        <w:t>assessment</w:t>
      </w:r>
    </w:p>
    <w:p>
      <w:pPr>
        <w:pStyle w:val="BodyText"/>
        <w:spacing w:line="249" w:lineRule="auto"/>
        <w:ind w:left="107" w:right="-2"/>
      </w:pPr>
      <w:r>
        <w:rPr>
          <w:spacing w:val="-2"/>
          <w:w w:val="99"/>
        </w:rPr>
        <w:t>of</w:t>
      </w:r>
      <w:r>
        <w:rPr>
          <w:w w:val="99"/>
        </w:rPr>
        <w:t> </w:t>
      </w:r>
      <w:r>
        <w:rPr>
          <w:spacing w:val="-1"/>
          <w:w w:val="97"/>
        </w:rPr>
        <w:t>non-standard</w:t>
      </w:r>
      <w:r>
        <w:rPr>
          <w:w w:val="97"/>
        </w:rPr>
        <w:t> </w:t>
      </w:r>
      <w:r>
        <w:rPr>
          <w:spacing w:val="-1"/>
          <w:w w:val="97"/>
        </w:rPr>
        <w:t>graduands</w:t>
      </w:r>
      <w:r>
        <w:rPr>
          <w:w w:val="97"/>
        </w:rPr>
        <w:t> </w:t>
      </w:r>
      <w:r>
        <w:rPr>
          <w:spacing w:val="-2"/>
          <w:w w:val="98"/>
        </w:rPr>
        <w:t>for</w:t>
      </w:r>
      <w:r>
        <w:rPr>
          <w:w w:val="98"/>
        </w:rPr>
        <w:t> </w:t>
      </w:r>
      <w:r>
        <w:rPr>
          <w:spacing w:val="-1"/>
          <w:w w:val="97"/>
        </w:rPr>
        <w:t>the</w:t>
      </w:r>
      <w:r>
        <w:rPr>
          <w:w w:val="97"/>
        </w:rPr>
        <w:t> </w:t>
      </w:r>
      <w:r>
        <w:rPr>
          <w:spacing w:val="-1"/>
          <w:w w:val="100"/>
        </w:rPr>
        <w:t>April</w:t>
      </w:r>
      <w:r>
        <w:rPr>
          <w:w w:val="100"/>
        </w:rPr>
        <w:t> </w:t>
      </w:r>
      <w:r>
        <w:rPr>
          <w:spacing w:val="-2"/>
          <w:w w:val="87"/>
        </w:rPr>
        <w:t>2017</w:t>
      </w:r>
      <w:r>
        <w:rPr>
          <w:w w:val="87"/>
        </w:rPr>
        <w:t> </w:t>
      </w:r>
      <w:r>
        <w:rPr>
          <w:w w:val="95"/>
        </w:rPr>
        <w:t>graduation</w:t>
      </w:r>
      <w:r>
        <w:rPr>
          <w:spacing w:val="-9"/>
          <w:w w:val="95"/>
        </w:rPr>
        <w:t> </w:t>
      </w:r>
      <w:r>
        <w:rPr>
          <w:w w:val="95"/>
        </w:rPr>
        <w:t>round</w:t>
      </w:r>
      <w:r>
        <w:rPr>
          <w:spacing w:val="-9"/>
          <w:w w:val="95"/>
        </w:rPr>
        <w:t> </w:t>
      </w:r>
      <w:r>
        <w:rPr>
          <w:w w:val="95"/>
        </w:rPr>
        <w:t>and</w:t>
      </w:r>
      <w:r>
        <w:rPr>
          <w:spacing w:val="-9"/>
          <w:w w:val="95"/>
        </w:rPr>
        <w:t> </w:t>
      </w:r>
      <w:r>
        <w:rPr>
          <w:w w:val="95"/>
        </w:rPr>
        <w:t>course</w:t>
      </w:r>
      <w:r>
        <w:rPr>
          <w:spacing w:val="-9"/>
          <w:w w:val="95"/>
        </w:rPr>
        <w:t> </w:t>
      </w:r>
      <w:r>
        <w:rPr>
          <w:w w:val="95"/>
        </w:rPr>
        <w:t>completion</w:t>
      </w:r>
      <w:r>
        <w:rPr>
          <w:spacing w:val="-9"/>
          <w:w w:val="95"/>
        </w:rPr>
        <w:t> </w:t>
      </w:r>
      <w:r>
        <w:rPr>
          <w:w w:val="95"/>
        </w:rPr>
        <w:t>letters.</w:t>
      </w:r>
    </w:p>
    <w:p>
      <w:pPr>
        <w:pStyle w:val="BodyText"/>
        <w:spacing w:before="6"/>
        <w:rPr>
          <w:sz w:val="14"/>
        </w:rPr>
      </w:pPr>
    </w:p>
    <w:p>
      <w:pPr>
        <w:pStyle w:val="Heading7"/>
      </w:pPr>
      <w:r>
        <w:rPr>
          <w:color w:val="615C58"/>
        </w:rPr>
        <w:t>Assessments</w:t>
      </w:r>
    </w:p>
    <w:p>
      <w:pPr>
        <w:pStyle w:val="BodyText"/>
        <w:spacing w:line="249" w:lineRule="auto" w:before="86"/>
        <w:ind w:left="107" w:right="87"/>
      </w:pPr>
      <w:r>
        <w:rPr/>
        <w:t>The Assessment unit was responsible for </w:t>
      </w:r>
      <w:r>
        <w:rPr>
          <w:spacing w:val="2"/>
        </w:rPr>
        <w:t>128,614 </w:t>
      </w:r>
      <w:r>
        <w:rPr/>
        <w:t>main and deferred examination sittings across the Summer, Autumn and </w:t>
      </w:r>
      <w:r>
        <w:rPr>
          <w:spacing w:val="1"/>
          <w:w w:val="98"/>
        </w:rPr>
        <w:t>Spring</w:t>
      </w:r>
      <w:r>
        <w:rPr>
          <w:w w:val="98"/>
        </w:rPr>
        <w:t> </w:t>
      </w:r>
      <w:r>
        <w:rPr>
          <w:w w:val="98"/>
        </w:rPr>
        <w:t>teaching </w:t>
      </w:r>
      <w:r>
        <w:rPr>
          <w:spacing w:val="1"/>
          <w:w w:val="92"/>
        </w:rPr>
        <w:t>sessions.</w:t>
      </w:r>
      <w:r>
        <w:rPr>
          <w:w w:val="92"/>
        </w:rPr>
        <w:t> </w:t>
      </w:r>
      <w:r>
        <w:rPr>
          <w:w w:val="100"/>
        </w:rPr>
        <w:t>From </w:t>
      </w:r>
      <w:r>
        <w:rPr>
          <w:spacing w:val="1"/>
          <w:w w:val="98"/>
        </w:rPr>
        <w:t>June</w:t>
      </w:r>
      <w:r>
        <w:rPr>
          <w:w w:val="98"/>
        </w:rPr>
        <w:t> </w:t>
      </w:r>
      <w:r>
        <w:rPr>
          <w:spacing w:val="2"/>
          <w:w w:val="85"/>
        </w:rPr>
        <w:t>2016,</w:t>
      </w:r>
      <w:r>
        <w:rPr>
          <w:w w:val="85"/>
        </w:rPr>
        <w:t> </w:t>
      </w:r>
      <w:r>
        <w:rPr/>
        <w:t>the unit also assumed responsibility for exams at The College, and it coordinated 7,233</w:t>
      </w:r>
      <w:r>
        <w:rPr>
          <w:spacing w:val="-25"/>
        </w:rPr>
        <w:t> </w:t>
      </w:r>
      <w:r>
        <w:rPr/>
        <w:t>sittings</w:t>
      </w:r>
      <w:r>
        <w:rPr>
          <w:spacing w:val="-25"/>
        </w:rPr>
        <w:t> </w:t>
      </w:r>
      <w:r>
        <w:rPr/>
        <w:t>across</w:t>
      </w:r>
      <w:r>
        <w:rPr>
          <w:spacing w:val="-25"/>
        </w:rPr>
        <w:t> </w:t>
      </w:r>
      <w:r>
        <w:rPr/>
        <w:t>term</w:t>
      </w:r>
      <w:r>
        <w:rPr>
          <w:spacing w:val="-25"/>
        </w:rPr>
        <w:t> </w:t>
      </w:r>
      <w:r>
        <w:rPr/>
        <w:t>and</w:t>
      </w:r>
      <w:r>
        <w:rPr>
          <w:spacing w:val="-25"/>
        </w:rPr>
        <w:t> </w:t>
      </w:r>
      <w:r>
        <w:rPr/>
        <w:t>quarter</w:t>
      </w:r>
      <w:r>
        <w:rPr>
          <w:spacing w:val="-25"/>
        </w:rPr>
        <w:t> </w:t>
      </w:r>
      <w:r>
        <w:rPr/>
        <w:t>exams.</w:t>
      </w:r>
    </w:p>
    <w:p>
      <w:pPr>
        <w:pStyle w:val="BodyText"/>
        <w:spacing w:line="249" w:lineRule="auto"/>
        <w:ind w:left="107" w:right="-2"/>
      </w:pPr>
      <w:r>
        <w:rPr/>
        <w:t>The unit also conducted exams at external locations,</w:t>
      </w:r>
      <w:r>
        <w:rPr>
          <w:spacing w:val="-16"/>
        </w:rPr>
        <w:t> </w:t>
      </w:r>
      <w:r>
        <w:rPr/>
        <w:t>provided</w:t>
      </w:r>
      <w:r>
        <w:rPr>
          <w:spacing w:val="-16"/>
        </w:rPr>
        <w:t> </w:t>
      </w:r>
      <w:r>
        <w:rPr/>
        <w:t>exam</w:t>
      </w:r>
      <w:r>
        <w:rPr>
          <w:spacing w:val="-16"/>
        </w:rPr>
        <w:t> </w:t>
      </w:r>
      <w:r>
        <w:rPr/>
        <w:t>facilities</w:t>
      </w:r>
      <w:r>
        <w:rPr>
          <w:spacing w:val="-16"/>
        </w:rPr>
        <w:t> </w:t>
      </w:r>
      <w:r>
        <w:rPr/>
        <w:t>for</w:t>
      </w:r>
      <w:r>
        <w:rPr>
          <w:spacing w:val="-16"/>
        </w:rPr>
        <w:t> </w:t>
      </w:r>
      <w:r>
        <w:rPr/>
        <w:t>students from other institutions, processed </w:t>
      </w:r>
      <w:r>
        <w:rPr>
          <w:spacing w:val="3"/>
        </w:rPr>
        <w:t>22,531 </w:t>
      </w:r>
      <w:r>
        <w:rPr/>
        <w:t>grade changes, and managed the upload of approximately 240,000 results and about </w:t>
      </w:r>
      <w:r>
        <w:rPr>
          <w:spacing w:val="3"/>
          <w:w w:val="92"/>
        </w:rPr>
        <w:t>18,000</w:t>
      </w:r>
      <w:r>
        <w:rPr>
          <w:w w:val="92"/>
        </w:rPr>
        <w:t> </w:t>
      </w:r>
      <w:r>
        <w:rPr>
          <w:spacing w:val="1"/>
          <w:w w:val="97"/>
        </w:rPr>
        <w:t>progression</w:t>
      </w:r>
      <w:r>
        <w:rPr>
          <w:spacing w:val="6"/>
          <w:w w:val="97"/>
        </w:rPr>
        <w:t> </w:t>
      </w:r>
      <w:r>
        <w:rPr>
          <w:spacing w:val="1"/>
          <w:w w:val="95"/>
        </w:rPr>
        <w:t>outcomes.</w:t>
      </w:r>
    </w:p>
    <w:p>
      <w:pPr>
        <w:pStyle w:val="BodyText"/>
        <w:rPr>
          <w:sz w:val="14"/>
        </w:rPr>
      </w:pPr>
    </w:p>
    <w:p>
      <w:pPr>
        <w:pStyle w:val="BodyText"/>
        <w:spacing w:line="249" w:lineRule="auto"/>
        <w:ind w:left="107" w:right="297"/>
        <w:jc w:val="both"/>
      </w:pPr>
      <w:r>
        <w:rPr>
          <w:spacing w:val="1"/>
          <w:w w:val="80"/>
        </w:rPr>
        <w:t>In</w:t>
      </w:r>
      <w:r>
        <w:rPr>
          <w:w w:val="80"/>
        </w:rPr>
        <w:t> </w:t>
      </w:r>
      <w:r>
        <w:rPr>
          <w:spacing w:val="2"/>
          <w:w w:val="85"/>
        </w:rPr>
        <w:t>2016,</w:t>
      </w:r>
      <w:r>
        <w:rPr>
          <w:w w:val="85"/>
        </w:rPr>
        <w:t> </w:t>
      </w:r>
      <w:r>
        <w:rPr>
          <w:w w:val="97"/>
        </w:rPr>
        <w:t>the </w:t>
      </w:r>
      <w:r>
        <w:rPr>
          <w:w w:val="97"/>
        </w:rPr>
        <w:t>unit </w:t>
      </w:r>
      <w:r>
        <w:rPr>
          <w:spacing w:val="1"/>
          <w:w w:val="97"/>
        </w:rPr>
        <w:t>successfully</w:t>
      </w:r>
      <w:r>
        <w:rPr>
          <w:w w:val="97"/>
        </w:rPr>
        <w:t> </w:t>
      </w:r>
      <w:r>
        <w:rPr>
          <w:spacing w:val="1"/>
          <w:w w:val="98"/>
        </w:rPr>
        <w:t>implemented</w:t>
      </w:r>
      <w:r>
        <w:rPr>
          <w:w w:val="98"/>
        </w:rPr>
        <w:t> </w:t>
      </w:r>
      <w:r>
        <w:rPr/>
        <w:t>a</w:t>
      </w:r>
      <w:r>
        <w:rPr>
          <w:spacing w:val="-17"/>
        </w:rPr>
        <w:t> </w:t>
      </w:r>
      <w:r>
        <w:rPr/>
        <w:t>number</w:t>
      </w:r>
      <w:r>
        <w:rPr>
          <w:spacing w:val="-17"/>
        </w:rPr>
        <w:t> </w:t>
      </w:r>
      <w:r>
        <w:rPr/>
        <w:t>of</w:t>
      </w:r>
      <w:r>
        <w:rPr>
          <w:spacing w:val="-17"/>
        </w:rPr>
        <w:t> </w:t>
      </w:r>
      <w:r>
        <w:rPr/>
        <w:t>significant</w:t>
      </w:r>
      <w:r>
        <w:rPr>
          <w:spacing w:val="-17"/>
        </w:rPr>
        <w:t> </w:t>
      </w:r>
      <w:r>
        <w:rPr/>
        <w:t>projects,</w:t>
      </w:r>
      <w:r>
        <w:rPr>
          <w:spacing w:val="-17"/>
        </w:rPr>
        <w:t> </w:t>
      </w:r>
      <w:r>
        <w:rPr/>
        <w:t>including the</w:t>
      </w:r>
      <w:r>
        <w:rPr>
          <w:spacing w:val="-37"/>
        </w:rPr>
        <w:t> </w:t>
      </w:r>
      <w:r>
        <w:rPr/>
        <w:t>following:</w:t>
      </w:r>
    </w:p>
    <w:p>
      <w:pPr>
        <w:spacing w:line="247" w:lineRule="auto" w:before="55"/>
        <w:ind w:left="305" w:right="88" w:hanging="199"/>
        <w:jc w:val="left"/>
        <w:rPr>
          <w:sz w:val="16"/>
        </w:rPr>
      </w:pPr>
      <w:r>
        <w:rPr>
          <w:rFonts w:ascii="Century Gothic" w:hAnsi="Century Gothic"/>
          <w:b/>
          <w:w w:val="115"/>
          <w:sz w:val="16"/>
        </w:rPr>
        <w:t>≥</w:t>
      </w:r>
      <w:r>
        <w:rPr>
          <w:rFonts w:ascii="Century Gothic" w:hAnsi="Century Gothic"/>
          <w:b/>
          <w:spacing w:val="-21"/>
          <w:w w:val="115"/>
          <w:sz w:val="16"/>
        </w:rPr>
        <w:t> </w:t>
      </w:r>
      <w:r>
        <w:rPr>
          <w:rFonts w:ascii="Gotham Narrow Bold" w:hAnsi="Gotham Narrow Bold"/>
          <w:b/>
          <w:spacing w:val="2"/>
          <w:sz w:val="16"/>
        </w:rPr>
        <w:t>Electronic</w:t>
      </w:r>
      <w:r>
        <w:rPr>
          <w:rFonts w:ascii="Gotham Narrow Bold" w:hAnsi="Gotham Narrow Bold"/>
          <w:b/>
          <w:spacing w:val="-25"/>
          <w:sz w:val="16"/>
        </w:rPr>
        <w:t> </w:t>
      </w:r>
      <w:r>
        <w:rPr>
          <w:rFonts w:ascii="Gotham Narrow Bold" w:hAnsi="Gotham Narrow Bold"/>
          <w:b/>
          <w:sz w:val="16"/>
        </w:rPr>
        <w:t>exam</w:t>
      </w:r>
      <w:r>
        <w:rPr>
          <w:rFonts w:ascii="Gotham Narrow Bold" w:hAnsi="Gotham Narrow Bold"/>
          <w:b/>
          <w:spacing w:val="-25"/>
          <w:sz w:val="16"/>
        </w:rPr>
        <w:t> </w:t>
      </w:r>
      <w:r>
        <w:rPr>
          <w:rFonts w:ascii="Gotham Narrow Bold" w:hAnsi="Gotham Narrow Bold"/>
          <w:b/>
          <w:spacing w:val="2"/>
          <w:sz w:val="16"/>
        </w:rPr>
        <w:t>manuscript</w:t>
      </w:r>
      <w:r>
        <w:rPr>
          <w:rFonts w:ascii="Gotham Narrow Bold" w:hAnsi="Gotham Narrow Bold"/>
          <w:b/>
          <w:spacing w:val="-25"/>
          <w:sz w:val="16"/>
        </w:rPr>
        <w:t> </w:t>
      </w:r>
      <w:r>
        <w:rPr>
          <w:rFonts w:ascii="Gotham Narrow Bold" w:hAnsi="Gotham Narrow Bold"/>
          <w:b/>
          <w:spacing w:val="2"/>
          <w:sz w:val="16"/>
        </w:rPr>
        <w:t>submission: </w:t>
      </w:r>
      <w:r>
        <w:rPr>
          <w:sz w:val="16"/>
        </w:rPr>
        <w:t>The unit first allowed Schools to submit exam manuscripts via Microsoft TRIM in </w:t>
      </w:r>
      <w:r>
        <w:rPr>
          <w:w w:val="97"/>
          <w:sz w:val="16"/>
        </w:rPr>
        <w:t>the </w:t>
      </w:r>
      <w:r>
        <w:rPr>
          <w:w w:val="99"/>
          <w:sz w:val="16"/>
        </w:rPr>
        <w:t>Autumn </w:t>
      </w:r>
      <w:r>
        <w:rPr>
          <w:spacing w:val="1"/>
          <w:w w:val="90"/>
          <w:sz w:val="16"/>
        </w:rPr>
        <w:t>2016</w:t>
      </w:r>
      <w:r>
        <w:rPr>
          <w:w w:val="90"/>
          <w:sz w:val="16"/>
        </w:rPr>
        <w:t> </w:t>
      </w:r>
      <w:r>
        <w:rPr>
          <w:w w:val="97"/>
          <w:sz w:val="16"/>
        </w:rPr>
        <w:t>exam </w:t>
      </w:r>
      <w:r>
        <w:rPr>
          <w:spacing w:val="1"/>
          <w:w w:val="94"/>
          <w:sz w:val="16"/>
        </w:rPr>
        <w:t>period.</w:t>
      </w:r>
      <w:r>
        <w:rPr>
          <w:w w:val="94"/>
          <w:sz w:val="16"/>
        </w:rPr>
        <w:t> </w:t>
      </w:r>
      <w:r>
        <w:rPr>
          <w:spacing w:val="1"/>
          <w:w w:val="98"/>
          <w:sz w:val="16"/>
        </w:rPr>
        <w:t>Prior</w:t>
      </w:r>
      <w:r>
        <w:rPr>
          <w:w w:val="98"/>
          <w:sz w:val="16"/>
        </w:rPr>
        <w:t> </w:t>
      </w:r>
      <w:r>
        <w:rPr>
          <w:spacing w:val="-1"/>
          <w:w w:val="101"/>
          <w:sz w:val="16"/>
        </w:rPr>
        <w:t>to</w:t>
      </w:r>
      <w:r>
        <w:rPr>
          <w:w w:val="101"/>
          <w:sz w:val="16"/>
        </w:rPr>
        <w:t> </w:t>
      </w:r>
      <w:r>
        <w:rPr>
          <w:sz w:val="16"/>
        </w:rPr>
        <w:t>the</w:t>
      </w:r>
      <w:r>
        <w:rPr>
          <w:spacing w:val="-18"/>
          <w:sz w:val="16"/>
        </w:rPr>
        <w:t> </w:t>
      </w:r>
      <w:r>
        <w:rPr>
          <w:sz w:val="16"/>
        </w:rPr>
        <w:t>project,</w:t>
      </w:r>
      <w:r>
        <w:rPr>
          <w:spacing w:val="-18"/>
          <w:sz w:val="16"/>
        </w:rPr>
        <w:t> </w:t>
      </w:r>
      <w:r>
        <w:rPr>
          <w:sz w:val="16"/>
        </w:rPr>
        <w:t>hard</w:t>
      </w:r>
      <w:r>
        <w:rPr>
          <w:spacing w:val="-18"/>
          <w:sz w:val="16"/>
        </w:rPr>
        <w:t> </w:t>
      </w:r>
      <w:r>
        <w:rPr>
          <w:sz w:val="16"/>
        </w:rPr>
        <w:t>copy</w:t>
      </w:r>
      <w:r>
        <w:rPr>
          <w:spacing w:val="-18"/>
          <w:sz w:val="16"/>
        </w:rPr>
        <w:t> </w:t>
      </w:r>
      <w:r>
        <w:rPr>
          <w:sz w:val="16"/>
        </w:rPr>
        <w:t>exam</w:t>
      </w:r>
      <w:r>
        <w:rPr>
          <w:spacing w:val="-18"/>
          <w:sz w:val="16"/>
        </w:rPr>
        <w:t> </w:t>
      </w:r>
      <w:r>
        <w:rPr>
          <w:sz w:val="16"/>
        </w:rPr>
        <w:t>papers</w:t>
      </w:r>
      <w:r>
        <w:rPr>
          <w:spacing w:val="-18"/>
          <w:sz w:val="16"/>
        </w:rPr>
        <w:t> </w:t>
      </w:r>
      <w:r>
        <w:rPr>
          <w:sz w:val="16"/>
        </w:rPr>
        <w:t>were</w:t>
      </w:r>
    </w:p>
    <w:p>
      <w:pPr>
        <w:pStyle w:val="BodyText"/>
        <w:spacing w:line="249" w:lineRule="auto" w:before="1"/>
        <w:ind w:left="305" w:right="7"/>
      </w:pPr>
      <w:r>
        <w:rPr/>
        <w:t>collected, stored and transported between </w:t>
      </w:r>
      <w:r>
        <w:rPr>
          <w:spacing w:val="2"/>
        </w:rPr>
        <w:t>campuses. </w:t>
      </w:r>
      <w:r>
        <w:rPr/>
        <w:t>This project has significantly increased efficiency across the University, reduced</w:t>
      </w:r>
      <w:r>
        <w:rPr>
          <w:spacing w:val="-15"/>
        </w:rPr>
        <w:t> </w:t>
      </w:r>
      <w:r>
        <w:rPr/>
        <w:t>manual</w:t>
      </w:r>
      <w:r>
        <w:rPr>
          <w:spacing w:val="-15"/>
        </w:rPr>
        <w:t> </w:t>
      </w:r>
      <w:r>
        <w:rPr/>
        <w:t>work</w:t>
      </w:r>
      <w:r>
        <w:rPr>
          <w:spacing w:val="-15"/>
        </w:rPr>
        <w:t> </w:t>
      </w:r>
      <w:r>
        <w:rPr/>
        <w:t>and</w:t>
      </w:r>
      <w:r>
        <w:rPr>
          <w:spacing w:val="-15"/>
        </w:rPr>
        <w:t> </w:t>
      </w:r>
      <w:r>
        <w:rPr/>
        <w:t>provided</w:t>
      </w:r>
      <w:r>
        <w:rPr>
          <w:spacing w:val="-15"/>
        </w:rPr>
        <w:t> </w:t>
      </w:r>
      <w:r>
        <w:rPr/>
        <w:t>greater security</w:t>
      </w:r>
      <w:r>
        <w:rPr>
          <w:spacing w:val="-19"/>
        </w:rPr>
        <w:t> </w:t>
      </w:r>
      <w:r>
        <w:rPr/>
        <w:t>when</w:t>
      </w:r>
      <w:r>
        <w:rPr>
          <w:spacing w:val="-19"/>
        </w:rPr>
        <w:t> </w:t>
      </w:r>
      <w:r>
        <w:rPr/>
        <w:t>handling</w:t>
      </w:r>
      <w:r>
        <w:rPr>
          <w:spacing w:val="-19"/>
        </w:rPr>
        <w:t> </w:t>
      </w:r>
      <w:r>
        <w:rPr/>
        <w:t>exam</w:t>
      </w:r>
      <w:r>
        <w:rPr>
          <w:spacing w:val="-19"/>
        </w:rPr>
        <w:t> </w:t>
      </w:r>
      <w:r>
        <w:rPr/>
        <w:t>papers.</w:t>
      </w:r>
    </w:p>
    <w:p>
      <w:pPr>
        <w:pStyle w:val="BodyText"/>
        <w:spacing w:before="9"/>
      </w:pPr>
      <w:r>
        <w:rPr/>
        <w:br w:type="column"/>
      </w:r>
      <w:r>
        <w:rPr/>
      </w:r>
    </w:p>
    <w:p>
      <w:pPr>
        <w:spacing w:before="0"/>
        <w:ind w:left="305" w:right="377" w:hanging="199"/>
        <w:jc w:val="left"/>
        <w:rPr>
          <w:sz w:val="16"/>
        </w:rPr>
      </w:pPr>
      <w:r>
        <w:rPr>
          <w:rFonts w:ascii="Century Gothic" w:hAnsi="Century Gothic"/>
          <w:b/>
          <w:w w:val="115"/>
          <w:sz w:val="16"/>
        </w:rPr>
        <w:t>≥ </w:t>
      </w:r>
      <w:r>
        <w:rPr>
          <w:rFonts w:ascii="Gotham Narrow Bold" w:hAnsi="Gotham Narrow Bold"/>
          <w:b/>
          <w:sz w:val="16"/>
        </w:rPr>
        <w:t>Personal exam timetable access via Allocate Plus: </w:t>
      </w:r>
      <w:r>
        <w:rPr>
          <w:sz w:val="16"/>
        </w:rPr>
        <w:t>After testing and implementing, the Assessment unit’s</w:t>
      </w:r>
    </w:p>
    <w:p>
      <w:pPr>
        <w:pStyle w:val="BodyText"/>
        <w:spacing w:line="249" w:lineRule="auto" w:before="7"/>
        <w:ind w:left="305" w:right="-6"/>
      </w:pPr>
      <w:r>
        <w:rPr/>
        <w:t>project to display students’ personalised exam</w:t>
      </w:r>
      <w:r>
        <w:rPr>
          <w:spacing w:val="-15"/>
        </w:rPr>
        <w:t> </w:t>
      </w:r>
      <w:r>
        <w:rPr/>
        <w:t>timetables</w:t>
      </w:r>
      <w:r>
        <w:rPr>
          <w:spacing w:val="-15"/>
        </w:rPr>
        <w:t> </w:t>
      </w:r>
      <w:r>
        <w:rPr/>
        <w:t>via</w:t>
      </w:r>
      <w:r>
        <w:rPr>
          <w:spacing w:val="-15"/>
        </w:rPr>
        <w:t> </w:t>
      </w:r>
      <w:r>
        <w:rPr/>
        <w:t>Allocate</w:t>
      </w:r>
      <w:r>
        <w:rPr>
          <w:spacing w:val="-15"/>
        </w:rPr>
        <w:t> </w:t>
      </w:r>
      <w:r>
        <w:rPr/>
        <w:t>Plus</w:t>
      </w:r>
      <w:r>
        <w:rPr>
          <w:spacing w:val="-15"/>
        </w:rPr>
        <w:t> </w:t>
      </w:r>
      <w:r>
        <w:rPr/>
        <w:t>went</w:t>
      </w:r>
      <w:r>
        <w:rPr>
          <w:spacing w:val="-15"/>
        </w:rPr>
        <w:t> </w:t>
      </w:r>
      <w:r>
        <w:rPr/>
        <w:t>live </w:t>
      </w:r>
      <w:r>
        <w:rPr>
          <w:w w:val="95"/>
        </w:rPr>
        <w:t>in </w:t>
      </w:r>
      <w:r>
        <w:rPr>
          <w:w w:val="99"/>
        </w:rPr>
        <w:t>Autumn </w:t>
      </w:r>
      <w:r>
        <w:rPr>
          <w:spacing w:val="2"/>
          <w:w w:val="85"/>
        </w:rPr>
        <w:t>2016.</w:t>
      </w:r>
      <w:r>
        <w:rPr>
          <w:w w:val="85"/>
        </w:rPr>
        <w:t> </w:t>
      </w:r>
      <w:r>
        <w:rPr>
          <w:spacing w:val="1"/>
          <w:w w:val="98"/>
        </w:rPr>
        <w:t>Students</w:t>
      </w:r>
      <w:r>
        <w:rPr>
          <w:w w:val="98"/>
        </w:rPr>
        <w:t> </w:t>
      </w:r>
      <w:r>
        <w:rPr>
          <w:spacing w:val="1"/>
          <w:w w:val="97"/>
        </w:rPr>
        <w:t>can</w:t>
      </w:r>
      <w:r>
        <w:rPr>
          <w:w w:val="97"/>
        </w:rPr>
        <w:t> </w:t>
      </w:r>
      <w:r>
        <w:rPr>
          <w:w w:val="99"/>
        </w:rPr>
        <w:t>now </w:t>
      </w:r>
      <w:r>
        <w:rPr>
          <w:spacing w:val="1"/>
          <w:w w:val="97"/>
        </w:rPr>
        <w:t>access</w:t>
      </w:r>
      <w:r>
        <w:rPr>
          <w:w w:val="97"/>
        </w:rPr>
        <w:t> </w:t>
      </w:r>
      <w:r>
        <w:rPr/>
        <w:t>class</w:t>
      </w:r>
      <w:r>
        <w:rPr>
          <w:spacing w:val="-17"/>
        </w:rPr>
        <w:t> </w:t>
      </w:r>
      <w:r>
        <w:rPr/>
        <w:t>timetables</w:t>
      </w:r>
      <w:r>
        <w:rPr>
          <w:spacing w:val="-17"/>
        </w:rPr>
        <w:t> </w:t>
      </w:r>
      <w:r>
        <w:rPr/>
        <w:t>and</w:t>
      </w:r>
      <w:r>
        <w:rPr>
          <w:spacing w:val="-17"/>
        </w:rPr>
        <w:t> </w:t>
      </w:r>
      <w:r>
        <w:rPr/>
        <w:t>exam</w:t>
      </w:r>
      <w:r>
        <w:rPr>
          <w:spacing w:val="-17"/>
        </w:rPr>
        <w:t> </w:t>
      </w:r>
      <w:r>
        <w:rPr/>
        <w:t>timetables</w:t>
      </w:r>
    </w:p>
    <w:p>
      <w:pPr>
        <w:pStyle w:val="BodyText"/>
        <w:spacing w:line="249" w:lineRule="auto"/>
        <w:ind w:left="305" w:right="-6"/>
      </w:pPr>
      <w:r>
        <w:rPr/>
        <w:t>in one place. This was implemented for </w:t>
      </w:r>
      <w:r>
        <w:rPr>
          <w:w w:val="97"/>
        </w:rPr>
        <w:t>students </w:t>
      </w:r>
      <w:r>
        <w:rPr>
          <w:w w:val="97"/>
        </w:rPr>
        <w:t>across </w:t>
      </w:r>
      <w:r>
        <w:rPr>
          <w:w w:val="93"/>
        </w:rPr>
        <w:t>Autumn/1H, </w:t>
      </w:r>
      <w:r>
        <w:rPr>
          <w:w w:val="96"/>
        </w:rPr>
        <w:t>Spring/2H, </w:t>
      </w:r>
      <w:r>
        <w:rPr/>
        <w:t>Summer and The College term exams.</w:t>
      </w:r>
    </w:p>
    <w:p>
      <w:pPr>
        <w:pStyle w:val="BodyText"/>
      </w:pPr>
    </w:p>
    <w:p>
      <w:pPr>
        <w:spacing w:before="136"/>
        <w:ind w:left="107" w:right="-6" w:firstLine="0"/>
        <w:jc w:val="left"/>
        <w:rPr>
          <w:rFonts w:ascii="Gotham Narrow Bold"/>
          <w:b/>
          <w:sz w:val="24"/>
        </w:rPr>
      </w:pPr>
      <w:r>
        <w:rPr>
          <w:rFonts w:ascii="Gotham Narrow Bold"/>
          <w:b/>
          <w:w w:val="95"/>
          <w:sz w:val="24"/>
        </w:rPr>
        <w:t>CAMPUS SAFETY &amp; SECURITY</w:t>
      </w:r>
    </w:p>
    <w:p>
      <w:pPr>
        <w:pStyle w:val="BodyText"/>
        <w:spacing w:line="249" w:lineRule="auto" w:before="95"/>
        <w:ind w:left="107" w:right="247"/>
      </w:pPr>
      <w:r>
        <w:rPr/>
        <w:t>Campus Safety &amp; Security continued to provide a safe, secure and accessible environment for students, staff members </w:t>
      </w:r>
      <w:r>
        <w:rPr>
          <w:w w:val="97"/>
        </w:rPr>
        <w:t>and </w:t>
      </w:r>
      <w:r>
        <w:rPr>
          <w:w w:val="97"/>
        </w:rPr>
        <w:t>visitors </w:t>
      </w:r>
      <w:r>
        <w:rPr>
          <w:w w:val="95"/>
        </w:rPr>
        <w:t>in </w:t>
      </w:r>
      <w:r>
        <w:rPr>
          <w:w w:val="85"/>
        </w:rPr>
        <w:t>2016. </w:t>
      </w:r>
      <w:r>
        <w:rPr>
          <w:w w:val="94"/>
        </w:rPr>
        <w:t>The </w:t>
      </w:r>
      <w:r>
        <w:rPr>
          <w:w w:val="98"/>
        </w:rPr>
        <w:t>following </w:t>
      </w:r>
      <w:r>
        <w:rPr>
          <w:w w:val="98"/>
        </w:rPr>
        <w:t>key </w:t>
      </w:r>
      <w:r>
        <w:rPr>
          <w:w w:val="97"/>
        </w:rPr>
        <w:t>highlights </w:t>
      </w:r>
      <w:r>
        <w:rPr>
          <w:w w:val="98"/>
        </w:rPr>
        <w:t>occurred </w:t>
      </w:r>
      <w:r>
        <w:rPr>
          <w:w w:val="95"/>
        </w:rPr>
        <w:t>in </w:t>
      </w:r>
      <w:r>
        <w:rPr>
          <w:w w:val="84"/>
        </w:rPr>
        <w:t>2016:</w:t>
      </w:r>
    </w:p>
    <w:p>
      <w:pPr>
        <w:pStyle w:val="BodyText"/>
        <w:spacing w:line="247" w:lineRule="auto" w:before="55"/>
        <w:ind w:left="305" w:right="459" w:hanging="199"/>
      </w:pPr>
      <w:r>
        <w:rPr>
          <w:rFonts w:ascii="Century Gothic" w:hAnsi="Century Gothic"/>
          <w:b/>
          <w:w w:val="115"/>
        </w:rPr>
        <w:t>≥ </w:t>
      </w:r>
      <w:r>
        <w:rPr/>
        <w:t>consultation with builders about the security design features installed in the new Parramatta City campus</w:t>
      </w:r>
    </w:p>
    <w:p>
      <w:pPr>
        <w:pStyle w:val="BodyText"/>
        <w:spacing w:line="247" w:lineRule="auto" w:before="57"/>
        <w:ind w:left="305" w:right="24" w:hanging="199"/>
      </w:pPr>
      <w:r>
        <w:rPr>
          <w:rFonts w:ascii="Century Gothic" w:hAnsi="Century Gothic"/>
          <w:b/>
          <w:w w:val="115"/>
        </w:rPr>
        <w:t>≥ </w:t>
      </w:r>
      <w:r>
        <w:rPr/>
        <w:t>improvements to reporting processes in support of the national university sector’s ‘Respect. Now. Always.’ initiative</w:t>
      </w:r>
    </w:p>
    <w:p>
      <w:pPr>
        <w:pStyle w:val="BodyText"/>
        <w:spacing w:line="247" w:lineRule="auto" w:before="57"/>
        <w:ind w:left="305" w:right="-6" w:hanging="199"/>
      </w:pPr>
      <w:r>
        <w:rPr>
          <w:rFonts w:ascii="Century Gothic" w:hAnsi="Century Gothic"/>
          <w:b/>
          <w:w w:val="115"/>
        </w:rPr>
        <w:t>≥ </w:t>
      </w:r>
      <w:r>
        <w:rPr/>
        <w:t>development of a revised crisis management</w:t>
      </w:r>
      <w:r>
        <w:rPr>
          <w:spacing w:val="-19"/>
        </w:rPr>
        <w:t> </w:t>
      </w:r>
      <w:r>
        <w:rPr/>
        <w:t>plan,</w:t>
      </w:r>
      <w:r>
        <w:rPr>
          <w:spacing w:val="-19"/>
        </w:rPr>
        <w:t> </w:t>
      </w:r>
      <w:r>
        <w:rPr/>
        <w:t>which</w:t>
      </w:r>
      <w:r>
        <w:rPr>
          <w:spacing w:val="-19"/>
        </w:rPr>
        <w:t> </w:t>
      </w:r>
      <w:r>
        <w:rPr/>
        <w:t>was</w:t>
      </w:r>
      <w:r>
        <w:rPr>
          <w:spacing w:val="-19"/>
        </w:rPr>
        <w:t> </w:t>
      </w:r>
      <w:r>
        <w:rPr/>
        <w:t>presented</w:t>
      </w:r>
      <w:r>
        <w:rPr>
          <w:spacing w:val="-19"/>
        </w:rPr>
        <w:t> </w:t>
      </w:r>
      <w:r>
        <w:rPr/>
        <w:t>to the Executive Committee using a desktop exercise in</w:t>
      </w:r>
      <w:r>
        <w:rPr>
          <w:spacing w:val="-38"/>
        </w:rPr>
        <w:t> </w:t>
      </w:r>
      <w:r>
        <w:rPr/>
        <w:t>November</w:t>
      </w:r>
    </w:p>
    <w:p>
      <w:pPr>
        <w:pStyle w:val="BodyText"/>
        <w:spacing w:line="247" w:lineRule="auto" w:before="57"/>
        <w:ind w:left="305" w:right="-6" w:hanging="199"/>
      </w:pPr>
      <w:r>
        <w:rPr>
          <w:rFonts w:ascii="Century Gothic" w:hAnsi="Century Gothic"/>
          <w:b/>
          <w:w w:val="115"/>
        </w:rPr>
        <w:t>≥ </w:t>
      </w:r>
      <w:r>
        <w:rPr/>
        <w:t>on-ground presence at each host city of the University Games for support and assistance, if required, by participating students, and</w:t>
      </w:r>
    </w:p>
    <w:p>
      <w:pPr>
        <w:pStyle w:val="BodyText"/>
        <w:spacing w:line="244" w:lineRule="auto" w:before="57"/>
        <w:ind w:left="305" w:right="452" w:hanging="199"/>
      </w:pPr>
      <w:r>
        <w:rPr>
          <w:rFonts w:ascii="Century Gothic" w:hAnsi="Century Gothic"/>
          <w:b/>
          <w:w w:val="115"/>
        </w:rPr>
        <w:t>≥</w:t>
      </w:r>
      <w:r>
        <w:rPr>
          <w:rFonts w:ascii="Century Gothic" w:hAnsi="Century Gothic"/>
          <w:b/>
          <w:spacing w:val="-10"/>
          <w:w w:val="115"/>
        </w:rPr>
        <w:t> </w:t>
      </w:r>
      <w:r>
        <w:rPr>
          <w:w w:val="105"/>
        </w:rPr>
        <w:t>improved</w:t>
      </w:r>
      <w:r>
        <w:rPr>
          <w:spacing w:val="-30"/>
          <w:w w:val="105"/>
        </w:rPr>
        <w:t> </w:t>
      </w:r>
      <w:r>
        <w:rPr>
          <w:w w:val="105"/>
        </w:rPr>
        <w:t>shuttle</w:t>
      </w:r>
      <w:r>
        <w:rPr>
          <w:spacing w:val="-30"/>
          <w:w w:val="105"/>
        </w:rPr>
        <w:t> </w:t>
      </w:r>
      <w:r>
        <w:rPr>
          <w:w w:val="105"/>
        </w:rPr>
        <w:t>bus</w:t>
      </w:r>
      <w:r>
        <w:rPr>
          <w:spacing w:val="-30"/>
          <w:w w:val="105"/>
        </w:rPr>
        <w:t> </w:t>
      </w:r>
      <w:r>
        <w:rPr>
          <w:w w:val="105"/>
        </w:rPr>
        <w:t>frequency</w:t>
      </w:r>
      <w:r>
        <w:rPr>
          <w:spacing w:val="-30"/>
          <w:w w:val="105"/>
        </w:rPr>
        <w:t> </w:t>
      </w:r>
      <w:r>
        <w:rPr>
          <w:w w:val="105"/>
        </w:rPr>
        <w:t>and </w:t>
      </w:r>
      <w:r>
        <w:rPr>
          <w:spacing w:val="2"/>
        </w:rPr>
        <w:t>GPS </w:t>
      </w:r>
      <w:r>
        <w:rPr/>
        <w:t>tracking</w:t>
      </w:r>
      <w:r>
        <w:rPr>
          <w:spacing w:val="-36"/>
        </w:rPr>
        <w:t> </w:t>
      </w:r>
      <w:r>
        <w:rPr/>
        <w:t>software.</w:t>
      </w:r>
    </w:p>
    <w:p>
      <w:pPr>
        <w:pStyle w:val="BodyText"/>
        <w:spacing w:before="4"/>
        <w:rPr>
          <w:sz w:val="14"/>
        </w:rPr>
      </w:pPr>
    </w:p>
    <w:p>
      <w:pPr>
        <w:pStyle w:val="BodyText"/>
        <w:spacing w:line="249" w:lineRule="auto"/>
        <w:ind w:left="107" w:right="454"/>
        <w:jc w:val="both"/>
      </w:pPr>
      <w:r>
        <w:rPr/>
        <w:t>Campus</w:t>
      </w:r>
      <w:r>
        <w:rPr>
          <w:spacing w:val="-13"/>
        </w:rPr>
        <w:t> </w:t>
      </w:r>
      <w:r>
        <w:rPr/>
        <w:t>Safety</w:t>
      </w:r>
      <w:r>
        <w:rPr>
          <w:spacing w:val="-13"/>
        </w:rPr>
        <w:t> </w:t>
      </w:r>
      <w:r>
        <w:rPr/>
        <w:t>&amp;</w:t>
      </w:r>
      <w:r>
        <w:rPr>
          <w:spacing w:val="-13"/>
        </w:rPr>
        <w:t> </w:t>
      </w:r>
      <w:r>
        <w:rPr/>
        <w:t>Security</w:t>
      </w:r>
      <w:r>
        <w:rPr>
          <w:spacing w:val="-13"/>
        </w:rPr>
        <w:t> </w:t>
      </w:r>
      <w:r>
        <w:rPr/>
        <w:t>continued</w:t>
      </w:r>
      <w:r>
        <w:rPr>
          <w:spacing w:val="-13"/>
        </w:rPr>
        <w:t> </w:t>
      </w:r>
      <w:r>
        <w:rPr/>
        <w:t>to participate</w:t>
      </w:r>
      <w:r>
        <w:rPr>
          <w:spacing w:val="-11"/>
        </w:rPr>
        <w:t> </w:t>
      </w:r>
      <w:r>
        <w:rPr/>
        <w:t>in</w:t>
      </w:r>
      <w:r>
        <w:rPr>
          <w:spacing w:val="-11"/>
        </w:rPr>
        <w:t> </w:t>
      </w:r>
      <w:r>
        <w:rPr/>
        <w:t>the</w:t>
      </w:r>
      <w:r>
        <w:rPr>
          <w:spacing w:val="-11"/>
        </w:rPr>
        <w:t> </w:t>
      </w:r>
      <w:r>
        <w:rPr/>
        <w:t>NSW</w:t>
      </w:r>
      <w:r>
        <w:rPr>
          <w:spacing w:val="-11"/>
        </w:rPr>
        <w:t> </w:t>
      </w:r>
      <w:r>
        <w:rPr/>
        <w:t>tertiary</w:t>
      </w:r>
      <w:r>
        <w:rPr>
          <w:spacing w:val="-11"/>
        </w:rPr>
        <w:t> </w:t>
      </w:r>
      <w:r>
        <w:rPr/>
        <w:t>sector’s security</w:t>
      </w:r>
      <w:r>
        <w:rPr>
          <w:spacing w:val="-17"/>
        </w:rPr>
        <w:t> </w:t>
      </w:r>
      <w:r>
        <w:rPr/>
        <w:t>network</w:t>
      </w:r>
      <w:r>
        <w:rPr>
          <w:spacing w:val="-17"/>
        </w:rPr>
        <w:t> </w:t>
      </w:r>
      <w:r>
        <w:rPr/>
        <w:t>forum</w:t>
      </w:r>
      <w:r>
        <w:rPr>
          <w:spacing w:val="-17"/>
        </w:rPr>
        <w:t> </w:t>
      </w:r>
      <w:r>
        <w:rPr/>
        <w:t>(TERSEC).</w:t>
      </w:r>
    </w:p>
    <w:p>
      <w:pPr>
        <w:pStyle w:val="BodyText"/>
      </w:pPr>
    </w:p>
    <w:p>
      <w:pPr>
        <w:pStyle w:val="BodyText"/>
        <w:spacing w:before="1"/>
        <w:rPr>
          <w:sz w:val="13"/>
        </w:rPr>
      </w:pPr>
    </w:p>
    <w:p>
      <w:pPr>
        <w:pStyle w:val="Heading5"/>
        <w:spacing w:line="260" w:lineRule="exact"/>
        <w:ind w:right="365"/>
      </w:pPr>
      <w:bookmarkStart w:name="_TOC_250032" w:id="22"/>
      <w:bookmarkEnd w:id="22"/>
      <w:r>
        <w:rPr>
          <w:w w:val="95"/>
        </w:rPr>
        <w:t>STUDENT PARTICIPATION AND SUCCESS</w:t>
      </w:r>
    </w:p>
    <w:p>
      <w:pPr>
        <w:pStyle w:val="Heading7"/>
        <w:spacing w:before="164"/>
        <w:ind w:right="377"/>
      </w:pPr>
      <w:r>
        <w:rPr>
          <w:w w:val="95"/>
        </w:rPr>
        <w:t>WIDENING PARTICIPATION</w:t>
      </w:r>
    </w:p>
    <w:p>
      <w:pPr>
        <w:pStyle w:val="BodyText"/>
        <w:spacing w:line="249" w:lineRule="auto" w:before="58"/>
        <w:ind w:left="107" w:right="127"/>
      </w:pPr>
      <w:r>
        <w:rPr/>
        <w:t>Widening participation in higher education is a crucial part of the University’s mission. It is strongly aligned with the Australian Government’s agenda of increasing undergraduate level higher education enrolments of people from a low socio-</w:t>
      </w:r>
    </w:p>
    <w:p>
      <w:pPr>
        <w:pStyle w:val="BodyText"/>
        <w:spacing w:line="249" w:lineRule="auto"/>
        <w:ind w:left="107" w:right="-10"/>
      </w:pPr>
      <w:r>
        <w:rPr/>
        <w:t>economic status (SES) background to 20 per cent by 2020. At Western Sydney University,</w:t>
      </w:r>
    </w:p>
    <w:p>
      <w:pPr>
        <w:pStyle w:val="BodyText"/>
        <w:spacing w:before="9"/>
      </w:pPr>
      <w:r>
        <w:rPr/>
        <w:br w:type="column"/>
      </w:r>
      <w:r>
        <w:rPr/>
      </w:r>
    </w:p>
    <w:p>
      <w:pPr>
        <w:pStyle w:val="BodyText"/>
        <w:spacing w:line="249" w:lineRule="auto" w:before="1"/>
        <w:ind w:left="107" w:right="341"/>
      </w:pPr>
      <w:r>
        <w:rPr/>
        <w:t>approximately 25 per cent of students are from low-SES backgrounds.</w:t>
      </w:r>
    </w:p>
    <w:p>
      <w:pPr>
        <w:pStyle w:val="BodyText"/>
        <w:rPr>
          <w:sz w:val="14"/>
        </w:rPr>
      </w:pPr>
    </w:p>
    <w:p>
      <w:pPr>
        <w:pStyle w:val="BodyText"/>
        <w:spacing w:line="249" w:lineRule="auto"/>
        <w:ind w:left="107" w:right="115"/>
      </w:pPr>
      <w:r>
        <w:rPr/>
        <w:t>This aim is achieved by outreach programs into local schools and emerging communities experiencing socio-economic and educational disadvantage. The higher aim is to increase opportunity of access to, and successful participation in, higher education, together with retention programs to support</w:t>
      </w:r>
    </w:p>
    <w:p>
      <w:pPr>
        <w:pStyle w:val="BodyText"/>
        <w:spacing w:line="192" w:lineRule="exact"/>
        <w:ind w:left="107"/>
      </w:pPr>
      <w:r>
        <w:rPr/>
        <w:t>students toward successful completion.</w:t>
      </w:r>
    </w:p>
    <w:p>
      <w:pPr>
        <w:pStyle w:val="BodyText"/>
        <w:spacing w:before="7"/>
        <w:rPr>
          <w:sz w:val="14"/>
        </w:rPr>
      </w:pPr>
    </w:p>
    <w:p>
      <w:pPr>
        <w:pStyle w:val="BodyText"/>
        <w:spacing w:line="249" w:lineRule="auto" w:before="1"/>
        <w:ind w:left="107" w:right="111"/>
      </w:pPr>
      <w:r>
        <w:rPr>
          <w:w w:val="80"/>
        </w:rPr>
        <w:t>In </w:t>
      </w:r>
      <w:r>
        <w:rPr>
          <w:w w:val="85"/>
        </w:rPr>
        <w:t>2016, </w:t>
      </w:r>
      <w:r>
        <w:rPr>
          <w:w w:val="97"/>
        </w:rPr>
        <w:t>the </w:t>
      </w:r>
      <w:r>
        <w:rPr>
          <w:w w:val="97"/>
        </w:rPr>
        <w:t>University </w:t>
      </w:r>
      <w:r>
        <w:rPr>
          <w:w w:val="98"/>
        </w:rPr>
        <w:t>achieved </w:t>
      </w:r>
      <w:r>
        <w:rPr>
          <w:w w:val="96"/>
        </w:rPr>
        <w:t>these </w:t>
      </w:r>
      <w:r>
        <w:rPr/>
        <w:t>objectives by providing:</w:t>
      </w:r>
    </w:p>
    <w:p>
      <w:pPr>
        <w:pStyle w:val="BodyText"/>
        <w:spacing w:line="247" w:lineRule="auto" w:before="55"/>
        <w:ind w:left="305" w:right="218" w:hanging="199"/>
      </w:pPr>
      <w:r>
        <w:rPr>
          <w:rFonts w:ascii="Century Gothic" w:hAnsi="Century Gothic"/>
          <w:b/>
          <w:w w:val="115"/>
        </w:rPr>
        <w:t>≥ </w:t>
      </w:r>
      <w:r>
        <w:rPr/>
        <w:t>experiences, both on and off campus, that promoted awareness aspiration, and contributed towards achievement levels</w:t>
      </w:r>
    </w:p>
    <w:p>
      <w:pPr>
        <w:pStyle w:val="BodyText"/>
        <w:spacing w:line="247" w:lineRule="auto" w:before="57"/>
        <w:ind w:left="305" w:right="27" w:hanging="199"/>
      </w:pPr>
      <w:r>
        <w:rPr>
          <w:rFonts w:ascii="Century Gothic" w:hAnsi="Century Gothic"/>
          <w:b/>
          <w:w w:val="115"/>
        </w:rPr>
        <w:t>≥ </w:t>
      </w:r>
      <w:r>
        <w:rPr/>
        <w:t>targeted engagement activities and strategies to meet the needs of a wide range of learners and prospective higher education students in primary and secondary schools and community settings</w:t>
      </w:r>
    </w:p>
    <w:p>
      <w:pPr>
        <w:pStyle w:val="BodyText"/>
        <w:spacing w:line="247" w:lineRule="auto" w:before="57"/>
        <w:ind w:left="305" w:right="116" w:hanging="199"/>
      </w:pPr>
      <w:r>
        <w:rPr>
          <w:rFonts w:ascii="Century Gothic" w:hAnsi="Century Gothic"/>
          <w:b/>
          <w:w w:val="115"/>
        </w:rPr>
        <w:t>≥ </w:t>
      </w:r>
      <w:r>
        <w:rPr/>
        <w:t>information, support and links to activities for education facilitators, including teachers, lecturers, careers advisors, pastoral guidance staff, training providers, community workers, parents and carers.</w:t>
      </w:r>
    </w:p>
    <w:p>
      <w:pPr>
        <w:pStyle w:val="BodyText"/>
        <w:spacing w:before="2"/>
        <w:rPr>
          <w:sz w:val="14"/>
        </w:rPr>
      </w:pPr>
    </w:p>
    <w:p>
      <w:pPr>
        <w:pStyle w:val="BodyText"/>
        <w:spacing w:line="249" w:lineRule="auto"/>
        <w:ind w:left="107" w:right="264"/>
      </w:pPr>
      <w:r>
        <w:rPr/>
        <w:t>The elements listed below form the cornerstone of the University’s approach to this work:</w:t>
      </w:r>
    </w:p>
    <w:p>
      <w:pPr>
        <w:spacing w:before="55"/>
        <w:ind w:left="305" w:right="404" w:hanging="199"/>
        <w:jc w:val="left"/>
        <w:rPr>
          <w:sz w:val="16"/>
        </w:rPr>
      </w:pPr>
      <w:r>
        <w:rPr>
          <w:rFonts w:ascii="Century Gothic" w:hAnsi="Century Gothic"/>
          <w:b/>
          <w:w w:val="115"/>
          <w:sz w:val="16"/>
        </w:rPr>
        <w:t>≥</w:t>
      </w:r>
      <w:r>
        <w:rPr>
          <w:rFonts w:ascii="Century Gothic" w:hAnsi="Century Gothic"/>
          <w:b/>
          <w:spacing w:val="-24"/>
          <w:w w:val="115"/>
          <w:sz w:val="16"/>
        </w:rPr>
        <w:t> </w:t>
      </w:r>
      <w:r>
        <w:rPr>
          <w:rFonts w:ascii="Gotham Narrow Bold" w:hAnsi="Gotham Narrow Bold"/>
          <w:b/>
          <w:w w:val="105"/>
          <w:sz w:val="16"/>
        </w:rPr>
        <w:t>Targeting</w:t>
      </w:r>
      <w:r>
        <w:rPr>
          <w:rFonts w:ascii="Gotham Narrow Bold" w:hAnsi="Gotham Narrow Bold"/>
          <w:b/>
          <w:spacing w:val="-29"/>
          <w:w w:val="105"/>
          <w:sz w:val="16"/>
        </w:rPr>
        <w:t> </w:t>
      </w:r>
      <w:r>
        <w:rPr>
          <w:rFonts w:ascii="Gotham Narrow Bold" w:hAnsi="Gotham Narrow Bold"/>
          <w:b/>
          <w:w w:val="105"/>
          <w:sz w:val="16"/>
        </w:rPr>
        <w:t>to</w:t>
      </w:r>
      <w:r>
        <w:rPr>
          <w:rFonts w:ascii="Gotham Narrow Bold" w:hAnsi="Gotham Narrow Bold"/>
          <w:b/>
          <w:spacing w:val="-29"/>
          <w:w w:val="105"/>
          <w:sz w:val="16"/>
        </w:rPr>
        <w:t> </w:t>
      </w:r>
      <w:r>
        <w:rPr>
          <w:rFonts w:ascii="Gotham Narrow Bold" w:hAnsi="Gotham Narrow Bold"/>
          <w:b/>
          <w:w w:val="105"/>
          <w:sz w:val="16"/>
        </w:rPr>
        <w:t>succeed:</w:t>
      </w:r>
      <w:r>
        <w:rPr>
          <w:rFonts w:ascii="Gotham Narrow Bold" w:hAnsi="Gotham Narrow Bold"/>
          <w:b/>
          <w:spacing w:val="-27"/>
          <w:w w:val="105"/>
          <w:sz w:val="16"/>
        </w:rPr>
        <w:t> </w:t>
      </w:r>
      <w:r>
        <w:rPr>
          <w:w w:val="105"/>
          <w:sz w:val="16"/>
        </w:rPr>
        <w:t>Activities</w:t>
      </w:r>
      <w:r>
        <w:rPr>
          <w:spacing w:val="-38"/>
          <w:w w:val="105"/>
          <w:sz w:val="16"/>
        </w:rPr>
        <w:t> </w:t>
      </w:r>
      <w:r>
        <w:rPr>
          <w:w w:val="105"/>
          <w:sz w:val="16"/>
        </w:rPr>
        <w:t>target </w:t>
      </w:r>
      <w:r>
        <w:rPr>
          <w:sz w:val="16"/>
        </w:rPr>
        <w:t>schools</w:t>
      </w:r>
      <w:r>
        <w:rPr>
          <w:spacing w:val="-15"/>
          <w:sz w:val="16"/>
        </w:rPr>
        <w:t> </w:t>
      </w:r>
      <w:r>
        <w:rPr>
          <w:sz w:val="16"/>
        </w:rPr>
        <w:t>and</w:t>
      </w:r>
      <w:r>
        <w:rPr>
          <w:spacing w:val="-15"/>
          <w:sz w:val="16"/>
        </w:rPr>
        <w:t> </w:t>
      </w:r>
      <w:r>
        <w:rPr>
          <w:sz w:val="16"/>
        </w:rPr>
        <w:t>communities</w:t>
      </w:r>
      <w:r>
        <w:rPr>
          <w:spacing w:val="-15"/>
          <w:sz w:val="16"/>
        </w:rPr>
        <w:t> </w:t>
      </w:r>
      <w:r>
        <w:rPr>
          <w:sz w:val="16"/>
        </w:rPr>
        <w:t>identified</w:t>
      </w:r>
    </w:p>
    <w:p>
      <w:pPr>
        <w:pStyle w:val="BodyText"/>
        <w:spacing w:line="249" w:lineRule="auto" w:before="7"/>
        <w:ind w:left="305"/>
      </w:pPr>
      <w:r>
        <w:rPr/>
        <w:t>as disadvantaged on multiple socio- economic indicators. A second level of targeting occurs within schools to reach students from low-SES and non traditional backgrounds who have the potential</w:t>
      </w:r>
    </w:p>
    <w:p>
      <w:pPr>
        <w:pStyle w:val="BodyText"/>
        <w:spacing w:line="249" w:lineRule="auto"/>
        <w:ind w:left="305" w:right="443"/>
      </w:pPr>
      <w:r>
        <w:rPr/>
        <w:t>to benefit from studying at the higher education level.</w:t>
      </w:r>
    </w:p>
    <w:p>
      <w:pPr>
        <w:pStyle w:val="BodyText"/>
        <w:spacing w:line="247" w:lineRule="auto" w:before="55"/>
        <w:ind w:left="305" w:right="112" w:hanging="199"/>
      </w:pPr>
      <w:r>
        <w:rPr>
          <w:rFonts w:ascii="Century Gothic" w:hAnsi="Century Gothic"/>
          <w:b/>
          <w:w w:val="115"/>
        </w:rPr>
        <w:t>≥ </w:t>
      </w:r>
      <w:r>
        <w:rPr>
          <w:rFonts w:ascii="Gotham Narrow Bold" w:hAnsi="Gotham Narrow Bold"/>
          <w:b/>
        </w:rPr>
        <w:t>Evidence-based policy: </w:t>
      </w:r>
      <w:r>
        <w:rPr/>
        <w:t>Ongoing work to provide comprehensive data and detailed analysis forms a vital element of impact analysis. All modes of intervention are assessed against measures of success and reviewed on a regular basis.</w:t>
      </w:r>
    </w:p>
    <w:p>
      <w:pPr>
        <w:pStyle w:val="BodyText"/>
        <w:spacing w:line="247" w:lineRule="auto" w:before="57"/>
        <w:ind w:left="305" w:right="153" w:hanging="199"/>
      </w:pPr>
      <w:r>
        <w:rPr>
          <w:rFonts w:ascii="Century Gothic" w:hAnsi="Century Gothic"/>
          <w:b/>
          <w:w w:val="115"/>
        </w:rPr>
        <w:t>≥ </w:t>
      </w:r>
      <w:r>
        <w:rPr>
          <w:rFonts w:ascii="Gotham Narrow Bold" w:hAnsi="Gotham Narrow Bold"/>
          <w:b/>
        </w:rPr>
        <w:t>Early intervention: </w:t>
      </w:r>
      <w:r>
        <w:rPr/>
        <w:t>Research on widening participation consistently demonstrates that intervening with students at the youngest age possible raises their aspirations and academic motivation.</w:t>
      </w:r>
    </w:p>
    <w:p>
      <w:pPr>
        <w:spacing w:after="0" w:line="247" w:lineRule="auto"/>
        <w:sectPr>
          <w:type w:val="continuous"/>
          <w:pgSz w:w="11910" w:h="16840"/>
          <w:pgMar w:top="1580" w:bottom="280" w:left="800" w:right="800"/>
          <w:cols w:num="3" w:equalWidth="0">
            <w:col w:w="3320" w:space="119"/>
            <w:col w:w="3270" w:space="16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rPr>
          <w:sz w:val="20"/>
        </w:rPr>
      </w:pPr>
    </w:p>
    <w:p>
      <w:pPr>
        <w:spacing w:line="244" w:lineRule="auto" w:before="0"/>
        <w:ind w:left="305" w:right="-10" w:hanging="199"/>
        <w:jc w:val="left"/>
        <w:rPr>
          <w:sz w:val="16"/>
        </w:rPr>
      </w:pPr>
      <w:r>
        <w:rPr>
          <w:rFonts w:ascii="Century Gothic" w:hAnsi="Century Gothic"/>
          <w:b/>
          <w:w w:val="115"/>
          <w:sz w:val="16"/>
        </w:rPr>
        <w:t>≥</w:t>
      </w:r>
      <w:r>
        <w:rPr>
          <w:rFonts w:ascii="Century Gothic" w:hAnsi="Century Gothic"/>
          <w:b/>
          <w:spacing w:val="-17"/>
          <w:w w:val="115"/>
          <w:sz w:val="16"/>
        </w:rPr>
        <w:t> </w:t>
      </w:r>
      <w:r>
        <w:rPr>
          <w:rFonts w:ascii="Gotham Narrow Bold" w:hAnsi="Gotham Narrow Bold"/>
          <w:b/>
          <w:spacing w:val="2"/>
          <w:sz w:val="16"/>
        </w:rPr>
        <w:t>Long-term</w:t>
      </w:r>
      <w:r>
        <w:rPr>
          <w:rFonts w:ascii="Gotham Narrow Bold" w:hAnsi="Gotham Narrow Bold"/>
          <w:b/>
          <w:spacing w:val="-23"/>
          <w:sz w:val="16"/>
        </w:rPr>
        <w:t> </w:t>
      </w:r>
      <w:r>
        <w:rPr>
          <w:rFonts w:ascii="Gotham Narrow Bold" w:hAnsi="Gotham Narrow Bold"/>
          <w:b/>
          <w:sz w:val="16"/>
        </w:rPr>
        <w:t>investment</w:t>
      </w:r>
      <w:r>
        <w:rPr>
          <w:rFonts w:ascii="Gotham Narrow Bold" w:hAnsi="Gotham Narrow Bold"/>
          <w:b/>
          <w:spacing w:val="-23"/>
          <w:sz w:val="16"/>
        </w:rPr>
        <w:t> </w:t>
      </w:r>
      <w:r>
        <w:rPr>
          <w:rFonts w:ascii="Gotham Narrow Bold" w:hAnsi="Gotham Narrow Bold"/>
          <w:b/>
          <w:sz w:val="16"/>
        </w:rPr>
        <w:t>and</w:t>
      </w:r>
      <w:r>
        <w:rPr>
          <w:rFonts w:ascii="Gotham Narrow Bold" w:hAnsi="Gotham Narrow Bold"/>
          <w:b/>
          <w:spacing w:val="-23"/>
          <w:sz w:val="16"/>
        </w:rPr>
        <w:t> </w:t>
      </w:r>
      <w:r>
        <w:rPr>
          <w:rFonts w:ascii="Gotham Narrow Bold" w:hAnsi="Gotham Narrow Bold"/>
          <w:b/>
          <w:spacing w:val="2"/>
          <w:sz w:val="16"/>
        </w:rPr>
        <w:t>sustainability: </w:t>
      </w:r>
      <w:r>
        <w:rPr>
          <w:sz w:val="16"/>
        </w:rPr>
        <w:t>Since its inception, Western Sydney University</w:t>
      </w:r>
      <w:r>
        <w:rPr>
          <w:spacing w:val="-14"/>
          <w:sz w:val="16"/>
        </w:rPr>
        <w:t> </w:t>
      </w:r>
      <w:r>
        <w:rPr>
          <w:sz w:val="16"/>
        </w:rPr>
        <w:t>has</w:t>
      </w:r>
      <w:r>
        <w:rPr>
          <w:spacing w:val="-14"/>
          <w:sz w:val="16"/>
        </w:rPr>
        <w:t> </w:t>
      </w:r>
      <w:r>
        <w:rPr>
          <w:sz w:val="16"/>
        </w:rPr>
        <w:t>been</w:t>
      </w:r>
      <w:r>
        <w:rPr>
          <w:spacing w:val="-14"/>
          <w:sz w:val="16"/>
        </w:rPr>
        <w:t> </w:t>
      </w:r>
      <w:r>
        <w:rPr>
          <w:sz w:val="16"/>
        </w:rPr>
        <w:t>committed</w:t>
      </w:r>
      <w:r>
        <w:rPr>
          <w:spacing w:val="-14"/>
          <w:sz w:val="16"/>
        </w:rPr>
        <w:t> </w:t>
      </w:r>
      <w:r>
        <w:rPr>
          <w:sz w:val="16"/>
        </w:rPr>
        <w:t>to</w:t>
      </w:r>
    </w:p>
    <w:p>
      <w:pPr>
        <w:pStyle w:val="BodyText"/>
        <w:spacing w:line="249" w:lineRule="auto" w:before="3"/>
        <w:ind w:left="305" w:right="367"/>
      </w:pPr>
      <w:r>
        <w:rPr/>
        <w:t>widening participation. As a result, participation figures have continued to</w:t>
      </w:r>
      <w:r>
        <w:rPr>
          <w:spacing w:val="-18"/>
        </w:rPr>
        <w:t> </w:t>
      </w:r>
      <w:r>
        <w:rPr/>
        <w:t>rise,</w:t>
      </w:r>
      <w:r>
        <w:rPr>
          <w:spacing w:val="-18"/>
        </w:rPr>
        <w:t> </w:t>
      </w:r>
      <w:r>
        <w:rPr/>
        <w:t>which</w:t>
      </w:r>
      <w:r>
        <w:rPr>
          <w:spacing w:val="-18"/>
        </w:rPr>
        <w:t> </w:t>
      </w:r>
      <w:r>
        <w:rPr/>
        <w:t>results</w:t>
      </w:r>
      <w:r>
        <w:rPr>
          <w:spacing w:val="-18"/>
        </w:rPr>
        <w:t> </w:t>
      </w:r>
      <w:r>
        <w:rPr/>
        <w:t>in</w:t>
      </w:r>
      <w:r>
        <w:rPr>
          <w:spacing w:val="-18"/>
        </w:rPr>
        <w:t> </w:t>
      </w:r>
      <w:r>
        <w:rPr/>
        <w:t>more</w:t>
      </w:r>
      <w:r>
        <w:rPr>
          <w:spacing w:val="-18"/>
        </w:rPr>
        <w:t> </w:t>
      </w:r>
      <w:r>
        <w:rPr/>
        <w:t>students from non-traditional backgrounds studying</w:t>
      </w:r>
      <w:r>
        <w:rPr>
          <w:spacing w:val="-18"/>
        </w:rPr>
        <w:t> </w:t>
      </w:r>
      <w:r>
        <w:rPr/>
        <w:t>at</w:t>
      </w:r>
      <w:r>
        <w:rPr>
          <w:spacing w:val="-18"/>
        </w:rPr>
        <w:t> </w:t>
      </w:r>
      <w:r>
        <w:rPr/>
        <w:t>the</w:t>
      </w:r>
      <w:r>
        <w:rPr>
          <w:spacing w:val="-18"/>
        </w:rPr>
        <w:t> </w:t>
      </w:r>
      <w:r>
        <w:rPr/>
        <w:t>higher</w:t>
      </w:r>
      <w:r>
        <w:rPr>
          <w:spacing w:val="-18"/>
        </w:rPr>
        <w:t> </w:t>
      </w:r>
      <w:r>
        <w:rPr/>
        <w:t>education</w:t>
      </w:r>
      <w:r>
        <w:rPr>
          <w:spacing w:val="-18"/>
        </w:rPr>
        <w:t> </w:t>
      </w:r>
      <w:r>
        <w:rPr/>
        <w:t>level.</w:t>
      </w:r>
    </w:p>
    <w:p>
      <w:pPr>
        <w:pStyle w:val="BodyText"/>
        <w:spacing w:line="249" w:lineRule="auto"/>
        <w:ind w:left="305" w:right="193"/>
      </w:pPr>
      <w:r>
        <w:rPr/>
        <w:t>The most successful activities are those that create a generational impact.</w:t>
      </w:r>
    </w:p>
    <w:p>
      <w:pPr>
        <w:spacing w:line="247" w:lineRule="auto" w:before="55"/>
        <w:ind w:left="305" w:right="116" w:hanging="199"/>
        <w:jc w:val="left"/>
        <w:rPr>
          <w:sz w:val="16"/>
        </w:rPr>
      </w:pPr>
      <w:r>
        <w:rPr>
          <w:rFonts w:ascii="Century Gothic" w:hAnsi="Century Gothic"/>
          <w:b/>
          <w:w w:val="115"/>
          <w:sz w:val="16"/>
        </w:rPr>
        <w:t>≥ </w:t>
      </w:r>
      <w:r>
        <w:rPr>
          <w:rFonts w:ascii="Gotham Narrow Bold" w:hAnsi="Gotham Narrow Bold"/>
          <w:b/>
          <w:sz w:val="16"/>
        </w:rPr>
        <w:t>Building strong strategic partnerships: </w:t>
      </w:r>
      <w:r>
        <w:rPr>
          <w:sz w:val="16"/>
        </w:rPr>
        <w:t>All programs are based on strong and valued school, community and university partnerships with the aim of co-creation.</w:t>
      </w:r>
    </w:p>
    <w:p>
      <w:pPr>
        <w:pStyle w:val="BodyText"/>
        <w:spacing w:before="2"/>
        <w:rPr>
          <w:sz w:val="14"/>
        </w:rPr>
      </w:pPr>
    </w:p>
    <w:p>
      <w:pPr>
        <w:pStyle w:val="BodyText"/>
        <w:spacing w:line="249" w:lineRule="auto"/>
        <w:ind w:left="107" w:right="22"/>
      </w:pPr>
      <w:r>
        <w:rPr>
          <w:spacing w:val="1"/>
          <w:w w:val="80"/>
        </w:rPr>
        <w:t>In</w:t>
      </w:r>
      <w:r>
        <w:rPr>
          <w:w w:val="80"/>
        </w:rPr>
        <w:t> </w:t>
      </w:r>
      <w:r>
        <w:rPr>
          <w:spacing w:val="2"/>
          <w:w w:val="85"/>
        </w:rPr>
        <w:t>2016,</w:t>
      </w:r>
      <w:r>
        <w:rPr>
          <w:w w:val="85"/>
        </w:rPr>
        <w:t> </w:t>
      </w:r>
      <w:r>
        <w:rPr>
          <w:w w:val="98"/>
        </w:rPr>
        <w:t>approximately </w:t>
      </w:r>
      <w:r>
        <w:rPr>
          <w:spacing w:val="2"/>
          <w:w w:val="102"/>
        </w:rPr>
        <w:t>40,000</w:t>
      </w:r>
      <w:r>
        <w:rPr>
          <w:w w:val="102"/>
        </w:rPr>
        <w:t> </w:t>
      </w:r>
      <w:r>
        <w:rPr>
          <w:spacing w:val="1"/>
          <w:w w:val="98"/>
        </w:rPr>
        <w:t>school</w:t>
      </w:r>
      <w:r>
        <w:rPr>
          <w:w w:val="98"/>
        </w:rPr>
        <w:t> </w:t>
      </w:r>
      <w:r>
        <w:rPr>
          <w:spacing w:val="2"/>
          <w:w w:val="94"/>
        </w:rPr>
        <w:t>students,</w:t>
      </w:r>
      <w:r>
        <w:rPr>
          <w:w w:val="94"/>
        </w:rPr>
        <w:t> </w:t>
      </w:r>
      <w:r>
        <w:rPr>
          <w:w w:val="97"/>
        </w:rPr>
        <w:t>more </w:t>
      </w:r>
      <w:r>
        <w:rPr>
          <w:spacing w:val="1"/>
          <w:w w:val="97"/>
        </w:rPr>
        <w:t>than</w:t>
      </w:r>
      <w:r>
        <w:rPr>
          <w:w w:val="97"/>
        </w:rPr>
        <w:t> </w:t>
      </w:r>
      <w:r>
        <w:rPr>
          <w:spacing w:val="2"/>
          <w:w w:val="91"/>
        </w:rPr>
        <w:t>13,000</w:t>
      </w:r>
      <w:r>
        <w:rPr>
          <w:w w:val="91"/>
        </w:rPr>
        <w:t> </w:t>
      </w:r>
      <w:r>
        <w:rPr>
          <w:spacing w:val="1"/>
          <w:w w:val="97"/>
        </w:rPr>
        <w:t>parents</w:t>
      </w:r>
      <w:r>
        <w:rPr>
          <w:w w:val="97"/>
        </w:rPr>
        <w:t> </w:t>
      </w:r>
      <w:r>
        <w:rPr>
          <w:spacing w:val="1"/>
          <w:w w:val="97"/>
        </w:rPr>
        <w:t>and</w:t>
      </w:r>
      <w:r>
        <w:rPr>
          <w:w w:val="97"/>
        </w:rPr>
        <w:t> </w:t>
      </w:r>
      <w:r>
        <w:rPr/>
        <w:t>community members, and </w:t>
      </w:r>
      <w:r>
        <w:rPr>
          <w:spacing w:val="3"/>
        </w:rPr>
        <w:t>3,800 </w:t>
      </w:r>
      <w:r>
        <w:rPr/>
        <w:t>teachers and</w:t>
      </w:r>
      <w:r>
        <w:rPr>
          <w:spacing w:val="-17"/>
        </w:rPr>
        <w:t> </w:t>
      </w:r>
      <w:r>
        <w:rPr/>
        <w:t>higher</w:t>
      </w:r>
      <w:r>
        <w:rPr>
          <w:spacing w:val="-17"/>
        </w:rPr>
        <w:t> </w:t>
      </w:r>
      <w:r>
        <w:rPr/>
        <w:t>education</w:t>
      </w:r>
      <w:r>
        <w:rPr>
          <w:spacing w:val="-17"/>
        </w:rPr>
        <w:t> </w:t>
      </w:r>
      <w:r>
        <w:rPr/>
        <w:t>student</w:t>
      </w:r>
      <w:r>
        <w:rPr>
          <w:spacing w:val="-17"/>
        </w:rPr>
        <w:t> </w:t>
      </w:r>
      <w:r>
        <w:rPr/>
        <w:t>volunteers</w:t>
      </w:r>
      <w:r>
        <w:rPr>
          <w:spacing w:val="-17"/>
        </w:rPr>
        <w:t> </w:t>
      </w:r>
      <w:r>
        <w:rPr/>
        <w:t>were involved</w:t>
      </w:r>
      <w:r>
        <w:rPr>
          <w:spacing w:val="-16"/>
        </w:rPr>
        <w:t> </w:t>
      </w:r>
      <w:r>
        <w:rPr/>
        <w:t>in</w:t>
      </w:r>
      <w:r>
        <w:rPr>
          <w:spacing w:val="-16"/>
        </w:rPr>
        <w:t> </w:t>
      </w:r>
      <w:r>
        <w:rPr/>
        <w:t>widening</w:t>
      </w:r>
      <w:r>
        <w:rPr>
          <w:spacing w:val="-16"/>
        </w:rPr>
        <w:t> </w:t>
      </w:r>
      <w:r>
        <w:rPr/>
        <w:t>participation</w:t>
      </w:r>
      <w:r>
        <w:rPr>
          <w:spacing w:val="-16"/>
        </w:rPr>
        <w:t> </w:t>
      </w:r>
      <w:r>
        <w:rPr/>
        <w:t>programs.</w:t>
      </w:r>
    </w:p>
    <w:p>
      <w:pPr>
        <w:pStyle w:val="BodyText"/>
        <w:spacing w:before="3"/>
        <w:rPr>
          <w:sz w:val="19"/>
        </w:rPr>
      </w:pPr>
    </w:p>
    <w:p>
      <w:pPr>
        <w:pStyle w:val="Heading7"/>
        <w:ind w:right="-10"/>
      </w:pPr>
      <w:r>
        <w:rPr/>
        <w:t>CAREERS</w:t>
      </w:r>
    </w:p>
    <w:p>
      <w:pPr>
        <w:pStyle w:val="BodyText"/>
        <w:spacing w:line="249" w:lineRule="auto" w:before="58"/>
        <w:ind w:left="107" w:right="-10"/>
      </w:pPr>
      <w:r>
        <w:rPr/>
        <w:t>Western Sydney University graduates generally</w:t>
      </w:r>
      <w:r>
        <w:rPr>
          <w:spacing w:val="-17"/>
        </w:rPr>
        <w:t> </w:t>
      </w:r>
      <w:r>
        <w:rPr/>
        <w:t>enjoy</w:t>
      </w:r>
      <w:r>
        <w:rPr>
          <w:spacing w:val="-17"/>
        </w:rPr>
        <w:t> </w:t>
      </w:r>
      <w:r>
        <w:rPr/>
        <w:t>strong</w:t>
      </w:r>
      <w:r>
        <w:rPr>
          <w:spacing w:val="-17"/>
        </w:rPr>
        <w:t> </w:t>
      </w:r>
      <w:r>
        <w:rPr/>
        <w:t>employment</w:t>
      </w:r>
      <w:r>
        <w:rPr>
          <w:spacing w:val="-17"/>
        </w:rPr>
        <w:t> </w:t>
      </w:r>
      <w:r>
        <w:rPr/>
        <w:t>outcomes compared with non-graduates in the region, particularly</w:t>
      </w:r>
      <w:r>
        <w:rPr>
          <w:spacing w:val="-15"/>
        </w:rPr>
        <w:t> </w:t>
      </w:r>
      <w:r>
        <w:rPr/>
        <w:t>when</w:t>
      </w:r>
      <w:r>
        <w:rPr>
          <w:spacing w:val="-15"/>
        </w:rPr>
        <w:t> </w:t>
      </w:r>
      <w:r>
        <w:rPr/>
        <w:t>taking</w:t>
      </w:r>
      <w:r>
        <w:rPr>
          <w:spacing w:val="-15"/>
        </w:rPr>
        <w:t> </w:t>
      </w:r>
      <w:r>
        <w:rPr/>
        <w:t>into</w:t>
      </w:r>
      <w:r>
        <w:rPr>
          <w:spacing w:val="-15"/>
        </w:rPr>
        <w:t> </w:t>
      </w:r>
      <w:r>
        <w:rPr/>
        <w:t>account</w:t>
      </w:r>
    </w:p>
    <w:p>
      <w:pPr>
        <w:pStyle w:val="BodyText"/>
        <w:spacing w:line="249" w:lineRule="auto"/>
        <w:ind w:left="107" w:right="51"/>
      </w:pPr>
      <w:r>
        <w:rPr/>
        <w:t>general economic and regional influences that initially appear to impact employment opportunities. Due to the University’s focus on preparing and empowering students for their future careers, graduates of Western Sydney University demonstrate better employment and salary outcomes (Graduate</w:t>
      </w:r>
    </w:p>
    <w:p>
      <w:pPr>
        <w:pStyle w:val="BodyText"/>
        <w:spacing w:line="249" w:lineRule="auto"/>
        <w:ind w:left="107" w:right="4"/>
      </w:pPr>
      <w:r>
        <w:rPr/>
        <w:t>Careers</w:t>
      </w:r>
      <w:r>
        <w:rPr>
          <w:spacing w:val="-19"/>
        </w:rPr>
        <w:t> </w:t>
      </w:r>
      <w:r>
        <w:rPr/>
        <w:t>Australia).</w:t>
      </w:r>
      <w:r>
        <w:rPr>
          <w:spacing w:val="-19"/>
        </w:rPr>
        <w:t> </w:t>
      </w:r>
      <w:r>
        <w:rPr/>
        <w:t>Preparing</w:t>
      </w:r>
      <w:r>
        <w:rPr>
          <w:spacing w:val="-19"/>
        </w:rPr>
        <w:t> </w:t>
      </w:r>
      <w:r>
        <w:rPr/>
        <w:t>and</w:t>
      </w:r>
      <w:r>
        <w:rPr>
          <w:spacing w:val="-19"/>
        </w:rPr>
        <w:t> </w:t>
      </w:r>
      <w:r>
        <w:rPr/>
        <w:t>empowering students continues to be a key University </w:t>
      </w:r>
      <w:r>
        <w:rPr>
          <w:spacing w:val="1"/>
          <w:w w:val="98"/>
        </w:rPr>
        <w:t>focus</w:t>
      </w:r>
      <w:r>
        <w:rPr>
          <w:w w:val="98"/>
        </w:rPr>
        <w:t> </w:t>
      </w:r>
      <w:r>
        <w:rPr>
          <w:spacing w:val="1"/>
          <w:w w:val="90"/>
        </w:rPr>
        <w:t>and,</w:t>
      </w:r>
      <w:r>
        <w:rPr>
          <w:w w:val="90"/>
        </w:rPr>
        <w:t> </w:t>
      </w:r>
      <w:r>
        <w:rPr>
          <w:w w:val="95"/>
        </w:rPr>
        <w:t>in </w:t>
      </w:r>
      <w:r>
        <w:rPr>
          <w:spacing w:val="2"/>
          <w:w w:val="85"/>
        </w:rPr>
        <w:t>2016,</w:t>
      </w:r>
      <w:r>
        <w:rPr>
          <w:w w:val="85"/>
        </w:rPr>
        <w:t> </w:t>
      </w:r>
      <w:r>
        <w:rPr>
          <w:w w:val="97"/>
        </w:rPr>
        <w:t>the </w:t>
      </w:r>
      <w:r>
        <w:rPr>
          <w:spacing w:val="1"/>
          <w:w w:val="96"/>
        </w:rPr>
        <w:t>Careers</w:t>
      </w:r>
      <w:r>
        <w:rPr>
          <w:spacing w:val="-22"/>
          <w:w w:val="96"/>
        </w:rPr>
        <w:t> </w:t>
      </w:r>
      <w:r>
        <w:rPr>
          <w:spacing w:val="1"/>
          <w:w w:val="97"/>
        </w:rPr>
        <w:t>service</w:t>
      </w:r>
    </w:p>
    <w:p>
      <w:pPr>
        <w:pStyle w:val="BodyText"/>
        <w:spacing w:line="249" w:lineRule="auto"/>
        <w:ind w:left="107" w:right="-10"/>
      </w:pPr>
      <w:r>
        <w:rPr/>
        <w:t>worked</w:t>
      </w:r>
      <w:r>
        <w:rPr>
          <w:spacing w:val="-18"/>
        </w:rPr>
        <w:t> </w:t>
      </w:r>
      <w:r>
        <w:rPr/>
        <w:t>in</w:t>
      </w:r>
      <w:r>
        <w:rPr>
          <w:spacing w:val="-18"/>
        </w:rPr>
        <w:t> </w:t>
      </w:r>
      <w:r>
        <w:rPr/>
        <w:t>partnership</w:t>
      </w:r>
      <w:r>
        <w:rPr>
          <w:spacing w:val="-18"/>
        </w:rPr>
        <w:t> </w:t>
      </w:r>
      <w:r>
        <w:rPr/>
        <w:t>with</w:t>
      </w:r>
      <w:r>
        <w:rPr>
          <w:spacing w:val="-18"/>
        </w:rPr>
        <w:t> </w:t>
      </w:r>
      <w:r>
        <w:rPr/>
        <w:t>students,</w:t>
      </w:r>
      <w:r>
        <w:rPr>
          <w:spacing w:val="-18"/>
        </w:rPr>
        <w:t> </w:t>
      </w:r>
      <w:r>
        <w:rPr/>
        <w:t>Schools, employers, and industry and professional bodies to build on the achievements of previous years and provide a number of key initiatives</w:t>
      </w:r>
      <w:r>
        <w:rPr>
          <w:spacing w:val="-23"/>
        </w:rPr>
        <w:t> </w:t>
      </w:r>
      <w:r>
        <w:rPr/>
        <w:t>and</w:t>
      </w:r>
      <w:r>
        <w:rPr>
          <w:spacing w:val="-23"/>
        </w:rPr>
        <w:t> </w:t>
      </w:r>
      <w:r>
        <w:rPr/>
        <w:t>programs.</w:t>
      </w:r>
      <w:r>
        <w:rPr>
          <w:spacing w:val="-23"/>
        </w:rPr>
        <w:t> </w:t>
      </w:r>
      <w:r>
        <w:rPr/>
        <w:t>Projects</w:t>
      </w:r>
      <w:r>
        <w:rPr>
          <w:spacing w:val="-23"/>
        </w:rPr>
        <w:t> </w:t>
      </w:r>
      <w:r>
        <w:rPr/>
        <w:t>included:</w:t>
      </w:r>
    </w:p>
    <w:p>
      <w:pPr>
        <w:pStyle w:val="BodyText"/>
        <w:spacing w:line="244" w:lineRule="auto" w:before="55"/>
        <w:ind w:left="305" w:right="387" w:hanging="199"/>
      </w:pPr>
      <w:r>
        <w:rPr>
          <w:rFonts w:ascii="Century Gothic" w:hAnsi="Century Gothic"/>
          <w:b/>
          <w:w w:val="115"/>
        </w:rPr>
        <w:t>≥</w:t>
      </w:r>
      <w:r>
        <w:rPr>
          <w:rFonts w:ascii="Century Gothic" w:hAnsi="Century Gothic"/>
          <w:b/>
          <w:spacing w:val="-11"/>
          <w:w w:val="115"/>
        </w:rPr>
        <w:t> </w:t>
      </w:r>
      <w:r>
        <w:rPr>
          <w:w w:val="105"/>
        </w:rPr>
        <w:t>introducing</w:t>
      </w:r>
      <w:r>
        <w:rPr>
          <w:spacing w:val="-31"/>
          <w:w w:val="105"/>
        </w:rPr>
        <w:t> </w:t>
      </w:r>
      <w:r>
        <w:rPr>
          <w:w w:val="105"/>
        </w:rPr>
        <w:t>a</w:t>
      </w:r>
      <w:r>
        <w:rPr>
          <w:spacing w:val="-31"/>
          <w:w w:val="105"/>
        </w:rPr>
        <w:t> </w:t>
      </w:r>
      <w:r>
        <w:rPr>
          <w:w w:val="105"/>
        </w:rPr>
        <w:t>hotline</w:t>
      </w:r>
      <w:r>
        <w:rPr>
          <w:spacing w:val="-31"/>
          <w:w w:val="105"/>
        </w:rPr>
        <w:t> </w:t>
      </w:r>
      <w:r>
        <w:rPr>
          <w:w w:val="105"/>
        </w:rPr>
        <w:t>to</w:t>
      </w:r>
      <w:r>
        <w:rPr>
          <w:spacing w:val="-31"/>
          <w:w w:val="105"/>
        </w:rPr>
        <w:t> </w:t>
      </w:r>
      <w:r>
        <w:rPr>
          <w:w w:val="105"/>
        </w:rPr>
        <w:t>provide</w:t>
      </w:r>
      <w:r>
        <w:rPr>
          <w:spacing w:val="-31"/>
          <w:w w:val="105"/>
        </w:rPr>
        <w:t> </w:t>
      </w:r>
      <w:r>
        <w:rPr>
          <w:w w:val="105"/>
        </w:rPr>
        <w:t>easier access</w:t>
      </w:r>
      <w:r>
        <w:rPr>
          <w:spacing w:val="-37"/>
          <w:w w:val="105"/>
        </w:rPr>
        <w:t> </w:t>
      </w:r>
      <w:r>
        <w:rPr>
          <w:w w:val="105"/>
        </w:rPr>
        <w:t>to</w:t>
      </w:r>
      <w:r>
        <w:rPr>
          <w:spacing w:val="-37"/>
          <w:w w:val="105"/>
        </w:rPr>
        <w:t> </w:t>
      </w:r>
      <w:r>
        <w:rPr>
          <w:w w:val="105"/>
        </w:rPr>
        <w:t>services</w:t>
      </w:r>
      <w:r>
        <w:rPr>
          <w:spacing w:val="-37"/>
          <w:w w:val="105"/>
        </w:rPr>
        <w:t> </w:t>
      </w:r>
      <w:r>
        <w:rPr>
          <w:w w:val="105"/>
        </w:rPr>
        <w:t>for</w:t>
      </w:r>
      <w:r>
        <w:rPr>
          <w:spacing w:val="-37"/>
          <w:w w:val="105"/>
        </w:rPr>
        <w:t> </w:t>
      </w:r>
      <w:r>
        <w:rPr>
          <w:w w:val="105"/>
        </w:rPr>
        <w:t>those</w:t>
      </w:r>
      <w:r>
        <w:rPr>
          <w:spacing w:val="-37"/>
          <w:w w:val="105"/>
        </w:rPr>
        <w:t> </w:t>
      </w:r>
      <w:r>
        <w:rPr>
          <w:w w:val="105"/>
        </w:rPr>
        <w:t>who</w:t>
      </w:r>
    </w:p>
    <w:p>
      <w:pPr>
        <w:pStyle w:val="BodyText"/>
        <w:spacing w:line="249" w:lineRule="auto" w:before="3"/>
        <w:ind w:left="305" w:right="367"/>
      </w:pPr>
      <w:r>
        <w:rPr/>
        <w:t>find it difficult to attend face-to-face appointments. More than 800 calls were logged.</w:t>
      </w:r>
    </w:p>
    <w:p>
      <w:pPr>
        <w:pStyle w:val="BodyText"/>
        <w:spacing w:line="247" w:lineRule="auto" w:before="55"/>
        <w:ind w:left="305" w:right="20" w:hanging="199"/>
      </w:pPr>
      <w:r>
        <w:rPr>
          <w:rFonts w:ascii="Century Gothic" w:hAnsi="Century Gothic"/>
          <w:b/>
          <w:w w:val="115"/>
        </w:rPr>
        <w:t>≥ </w:t>
      </w:r>
      <w:r>
        <w:rPr/>
        <w:t>the new Student Recruitment Service, which is designed to connect regional industry partners and employers with talented students for paid part time and full-time positions. The program is gaining interest and had placed more than 80 </w:t>
      </w:r>
      <w:r>
        <w:rPr>
          <w:w w:val="97"/>
        </w:rPr>
        <w:t>students </w:t>
      </w:r>
      <w:r>
        <w:rPr>
          <w:w w:val="94"/>
        </w:rPr>
        <w:t>as </w:t>
      </w:r>
      <w:r>
        <w:rPr>
          <w:w w:val="98"/>
        </w:rPr>
        <w:t>at </w:t>
      </w:r>
      <w:r>
        <w:rPr>
          <w:w w:val="73"/>
        </w:rPr>
        <w:t>21 </w:t>
      </w:r>
      <w:r>
        <w:rPr>
          <w:w w:val="98"/>
        </w:rPr>
        <w:t>December </w:t>
      </w:r>
      <w:r>
        <w:rPr>
          <w:w w:val="85"/>
        </w:rPr>
        <w:t>2016.</w:t>
      </w:r>
    </w:p>
    <w:p>
      <w:pPr>
        <w:pStyle w:val="BodyText"/>
        <w:rPr>
          <w:sz w:val="20"/>
        </w:rPr>
      </w:pPr>
      <w:r>
        <w:rPr/>
        <w:br w:type="column"/>
      </w:r>
      <w:r>
        <w:rPr>
          <w:sz w:val="20"/>
        </w:rPr>
      </w:r>
    </w:p>
    <w:p>
      <w:pPr>
        <w:pStyle w:val="BodyText"/>
        <w:spacing w:line="247" w:lineRule="auto"/>
        <w:ind w:left="305" w:right="24" w:hanging="199"/>
      </w:pPr>
      <w:r>
        <w:rPr>
          <w:rFonts w:ascii="Century Gothic" w:hAnsi="Century Gothic"/>
          <w:b/>
          <w:w w:val="115"/>
        </w:rPr>
        <w:t>≥ </w:t>
      </w:r>
      <w:r>
        <w:rPr/>
        <w:t>refining and growing targeted programs such as JOC and Women in Science and Engineering (WiSE). The JOC program connects hiring units and students at Western Sydney University, enabling students to access paid work on campus </w:t>
      </w:r>
      <w:r>
        <w:rPr>
          <w:w w:val="96"/>
        </w:rPr>
        <w:t>while </w:t>
      </w:r>
      <w:r>
        <w:rPr>
          <w:w w:val="98"/>
        </w:rPr>
        <w:t>they </w:t>
      </w:r>
      <w:r>
        <w:rPr>
          <w:w w:val="94"/>
        </w:rPr>
        <w:t>study. </w:t>
      </w:r>
      <w:r>
        <w:rPr>
          <w:w w:val="80"/>
        </w:rPr>
        <w:t>In </w:t>
      </w:r>
      <w:r>
        <w:rPr>
          <w:w w:val="85"/>
        </w:rPr>
        <w:t>2016, </w:t>
      </w:r>
      <w:r>
        <w:rPr>
          <w:w w:val="103"/>
        </w:rPr>
        <w:t>JOC </w:t>
      </w:r>
      <w:r>
        <w:rPr>
          <w:w w:val="98"/>
        </w:rPr>
        <w:t>advertised </w:t>
      </w:r>
      <w:r>
        <w:rPr/>
        <w:t>more than 600 opportunities for students. WiSE is specifically targeted to women who are studying in the non-traditional disciplines of science and engineering.</w:t>
      </w:r>
    </w:p>
    <w:p>
      <w:pPr>
        <w:pStyle w:val="BodyText"/>
        <w:spacing w:line="249" w:lineRule="auto" w:before="1"/>
        <w:ind w:left="305" w:right="-5"/>
      </w:pPr>
      <w:r>
        <w:rPr/>
        <w:t>Now in its second year, WiSE has seen the number of students participating in the </w:t>
      </w:r>
      <w:r>
        <w:rPr>
          <w:w w:val="98"/>
        </w:rPr>
        <w:t>program </w:t>
      </w:r>
      <w:r>
        <w:rPr>
          <w:w w:val="96"/>
        </w:rPr>
        <w:t>increase </w:t>
      </w:r>
      <w:r>
        <w:rPr>
          <w:w w:val="95"/>
        </w:rPr>
        <w:t>dramatically, </w:t>
      </w:r>
      <w:r>
        <w:rPr>
          <w:w w:val="98"/>
        </w:rPr>
        <w:t>from </w:t>
      </w:r>
      <w:r>
        <w:rPr>
          <w:w w:val="88"/>
        </w:rPr>
        <w:t>160 </w:t>
      </w:r>
      <w:r>
        <w:rPr>
          <w:w w:val="95"/>
        </w:rPr>
        <w:t>in </w:t>
      </w:r>
      <w:r>
        <w:rPr>
          <w:w w:val="88"/>
        </w:rPr>
        <w:t>2015 </w:t>
      </w:r>
      <w:r>
        <w:rPr>
          <w:w w:val="101"/>
        </w:rPr>
        <w:t>to </w:t>
      </w:r>
      <w:r>
        <w:rPr>
          <w:w w:val="97"/>
        </w:rPr>
        <w:t>more </w:t>
      </w:r>
      <w:r>
        <w:rPr>
          <w:w w:val="97"/>
        </w:rPr>
        <w:t>than </w:t>
      </w:r>
      <w:r>
        <w:rPr>
          <w:w w:val="105"/>
        </w:rPr>
        <w:t>500 </w:t>
      </w:r>
      <w:r>
        <w:rPr>
          <w:w w:val="95"/>
        </w:rPr>
        <w:t>in </w:t>
      </w:r>
      <w:r>
        <w:rPr>
          <w:w w:val="85"/>
        </w:rPr>
        <w:t>2016. </w:t>
      </w:r>
      <w:r>
        <w:rPr>
          <w:w w:val="99"/>
        </w:rPr>
        <w:t>Of </w:t>
      </w:r>
      <w:r>
        <w:rPr>
          <w:w w:val="92"/>
        </w:rPr>
        <w:t>these, </w:t>
      </w:r>
      <w:r>
        <w:rPr/>
        <w:t>over 250 students have actively engaged in online activities, and more than 80 have qualified for a certificate of recognition.</w:t>
      </w:r>
    </w:p>
    <w:p>
      <w:pPr>
        <w:pStyle w:val="BodyText"/>
        <w:spacing w:line="247" w:lineRule="auto" w:before="55"/>
        <w:ind w:left="305" w:right="405" w:hanging="199"/>
        <w:jc w:val="both"/>
      </w:pPr>
      <w:r>
        <w:rPr>
          <w:rFonts w:ascii="Century Gothic" w:hAnsi="Century Gothic"/>
          <w:b/>
          <w:w w:val="115"/>
        </w:rPr>
        <w:t>≥ </w:t>
      </w:r>
      <w:r>
        <w:rPr/>
        <w:t>providing an </w:t>
      </w:r>
      <w:r>
        <w:rPr>
          <w:spacing w:val="2"/>
        </w:rPr>
        <w:t>e-careers </w:t>
      </w:r>
      <w:r>
        <w:rPr/>
        <w:t>program, with an</w:t>
      </w:r>
      <w:r>
        <w:rPr>
          <w:spacing w:val="-16"/>
        </w:rPr>
        <w:t> </w:t>
      </w:r>
      <w:r>
        <w:rPr/>
        <w:t>initial</w:t>
      </w:r>
      <w:r>
        <w:rPr>
          <w:spacing w:val="-16"/>
        </w:rPr>
        <w:t> </w:t>
      </w:r>
      <w:r>
        <w:rPr/>
        <w:t>focus</w:t>
      </w:r>
      <w:r>
        <w:rPr>
          <w:spacing w:val="-16"/>
        </w:rPr>
        <w:t> </w:t>
      </w:r>
      <w:r>
        <w:rPr/>
        <w:t>on</w:t>
      </w:r>
      <w:r>
        <w:rPr>
          <w:spacing w:val="-16"/>
        </w:rPr>
        <w:t> </w:t>
      </w:r>
      <w:r>
        <w:rPr/>
        <w:t>delivering</w:t>
      </w:r>
      <w:r>
        <w:rPr>
          <w:spacing w:val="-16"/>
        </w:rPr>
        <w:t> </w:t>
      </w:r>
      <w:r>
        <w:rPr/>
        <w:t>a</w:t>
      </w:r>
      <w:r>
        <w:rPr>
          <w:spacing w:val="-16"/>
        </w:rPr>
        <w:t> </w:t>
      </w:r>
      <w:r>
        <w:rPr/>
        <w:t>unique range</w:t>
      </w:r>
      <w:r>
        <w:rPr>
          <w:spacing w:val="-14"/>
        </w:rPr>
        <w:t> </w:t>
      </w:r>
      <w:r>
        <w:rPr/>
        <w:t>of</w:t>
      </w:r>
      <w:r>
        <w:rPr>
          <w:spacing w:val="-14"/>
        </w:rPr>
        <w:t> </w:t>
      </w:r>
      <w:r>
        <w:rPr/>
        <w:t>promotional</w:t>
      </w:r>
      <w:r>
        <w:rPr>
          <w:spacing w:val="-14"/>
        </w:rPr>
        <w:t> </w:t>
      </w:r>
      <w:r>
        <w:rPr/>
        <w:t>and</w:t>
      </w:r>
      <w:r>
        <w:rPr>
          <w:spacing w:val="-14"/>
        </w:rPr>
        <w:t> </w:t>
      </w:r>
      <w:r>
        <w:rPr/>
        <w:t>educational</w:t>
      </w:r>
    </w:p>
    <w:p>
      <w:pPr>
        <w:pStyle w:val="BodyText"/>
        <w:spacing w:line="249" w:lineRule="auto" w:before="1"/>
        <w:ind w:left="305" w:right="113"/>
      </w:pPr>
      <w:r>
        <w:rPr/>
        <w:t>videos</w:t>
      </w:r>
      <w:r>
        <w:rPr>
          <w:spacing w:val="-17"/>
        </w:rPr>
        <w:t> </w:t>
      </w:r>
      <w:r>
        <w:rPr/>
        <w:t>and</w:t>
      </w:r>
      <w:r>
        <w:rPr>
          <w:spacing w:val="-17"/>
        </w:rPr>
        <w:t> </w:t>
      </w:r>
      <w:r>
        <w:rPr/>
        <w:t>learning</w:t>
      </w:r>
      <w:r>
        <w:rPr>
          <w:spacing w:val="-17"/>
        </w:rPr>
        <w:t> </w:t>
      </w:r>
      <w:r>
        <w:rPr/>
        <w:t>resources,</w:t>
      </w:r>
      <w:r>
        <w:rPr>
          <w:spacing w:val="-17"/>
        </w:rPr>
        <w:t> </w:t>
      </w:r>
      <w:r>
        <w:rPr/>
        <w:t>supporting Careers programs and providing access to</w:t>
      </w:r>
      <w:r>
        <w:rPr>
          <w:spacing w:val="-13"/>
        </w:rPr>
        <w:t> </w:t>
      </w:r>
      <w:r>
        <w:rPr/>
        <w:t>a</w:t>
      </w:r>
      <w:r>
        <w:rPr>
          <w:spacing w:val="-13"/>
        </w:rPr>
        <w:t> </w:t>
      </w:r>
      <w:r>
        <w:rPr/>
        <w:t>range</w:t>
      </w:r>
      <w:r>
        <w:rPr>
          <w:spacing w:val="-13"/>
        </w:rPr>
        <w:t> </w:t>
      </w:r>
      <w:r>
        <w:rPr/>
        <w:t>of</w:t>
      </w:r>
      <w:r>
        <w:rPr>
          <w:spacing w:val="-13"/>
        </w:rPr>
        <w:t> </w:t>
      </w:r>
      <w:r>
        <w:rPr/>
        <w:t>products</w:t>
      </w:r>
      <w:r>
        <w:rPr>
          <w:spacing w:val="-13"/>
        </w:rPr>
        <w:t> </w:t>
      </w:r>
      <w:r>
        <w:rPr/>
        <w:t>that</w:t>
      </w:r>
      <w:r>
        <w:rPr>
          <w:spacing w:val="-13"/>
        </w:rPr>
        <w:t> </w:t>
      </w:r>
      <w:r>
        <w:rPr/>
        <w:t>supplement</w:t>
      </w:r>
    </w:p>
    <w:p>
      <w:pPr>
        <w:pStyle w:val="BodyText"/>
        <w:spacing w:line="249" w:lineRule="auto"/>
        <w:ind w:left="305" w:right="80"/>
      </w:pPr>
      <w:r>
        <w:rPr/>
        <w:t>traditional</w:t>
      </w:r>
      <w:r>
        <w:rPr>
          <w:spacing w:val="-20"/>
        </w:rPr>
        <w:t> </w:t>
      </w:r>
      <w:r>
        <w:rPr/>
        <w:t>Careers</w:t>
      </w:r>
      <w:r>
        <w:rPr>
          <w:spacing w:val="-20"/>
        </w:rPr>
        <w:t> </w:t>
      </w:r>
      <w:r>
        <w:rPr/>
        <w:t>offerings.</w:t>
      </w:r>
      <w:r>
        <w:rPr>
          <w:spacing w:val="-20"/>
        </w:rPr>
        <w:t> </w:t>
      </w:r>
      <w:r>
        <w:rPr/>
        <w:t>This</w:t>
      </w:r>
      <w:r>
        <w:rPr>
          <w:spacing w:val="-20"/>
        </w:rPr>
        <w:t> </w:t>
      </w:r>
      <w:r>
        <w:rPr/>
        <w:t>program translates traditional careers education into innovative online delivery and has contributed significantly to the 20 per cent increase in resources downloaded compared</w:t>
      </w:r>
      <w:r>
        <w:rPr>
          <w:spacing w:val="-21"/>
        </w:rPr>
        <w:t> </w:t>
      </w:r>
      <w:r>
        <w:rPr/>
        <w:t>to</w:t>
      </w:r>
      <w:r>
        <w:rPr>
          <w:spacing w:val="-21"/>
        </w:rPr>
        <w:t> </w:t>
      </w:r>
      <w:r>
        <w:rPr/>
        <w:t>last</w:t>
      </w:r>
      <w:r>
        <w:rPr>
          <w:spacing w:val="-21"/>
        </w:rPr>
        <w:t> </w:t>
      </w:r>
      <w:r>
        <w:rPr/>
        <w:t>year.</w:t>
      </w:r>
    </w:p>
    <w:p>
      <w:pPr>
        <w:pStyle w:val="BodyText"/>
        <w:spacing w:line="247" w:lineRule="auto" w:before="55"/>
        <w:ind w:left="305" w:right="157" w:hanging="199"/>
      </w:pPr>
      <w:r>
        <w:rPr>
          <w:rFonts w:ascii="Century Gothic" w:hAnsi="Century Gothic"/>
          <w:b/>
          <w:w w:val="115"/>
        </w:rPr>
        <w:t>≥ </w:t>
      </w:r>
      <w:r>
        <w:rPr/>
        <w:t>growing the international internship program, which gave 50 students the opportunity</w:t>
      </w:r>
      <w:r>
        <w:rPr>
          <w:spacing w:val="-11"/>
        </w:rPr>
        <w:t> </w:t>
      </w:r>
      <w:r>
        <w:rPr/>
        <w:t>to</w:t>
      </w:r>
      <w:r>
        <w:rPr>
          <w:spacing w:val="-11"/>
        </w:rPr>
        <w:t> </w:t>
      </w:r>
      <w:r>
        <w:rPr/>
        <w:t>connect</w:t>
      </w:r>
      <w:r>
        <w:rPr>
          <w:spacing w:val="-11"/>
        </w:rPr>
        <w:t> </w:t>
      </w:r>
      <w:r>
        <w:rPr/>
        <w:t>with</w:t>
      </w:r>
      <w:r>
        <w:rPr>
          <w:spacing w:val="-11"/>
        </w:rPr>
        <w:t> </w:t>
      </w:r>
      <w:r>
        <w:rPr/>
        <w:t>international organisations for short-term placements </w:t>
      </w:r>
      <w:r>
        <w:rPr>
          <w:w w:val="95"/>
        </w:rPr>
        <w:t>in </w:t>
      </w:r>
      <w:r>
        <w:rPr>
          <w:spacing w:val="2"/>
          <w:w w:val="85"/>
        </w:rPr>
        <w:t>2016.</w:t>
      </w:r>
      <w:r>
        <w:rPr>
          <w:w w:val="85"/>
        </w:rPr>
        <w:t> </w:t>
      </w:r>
      <w:r>
        <w:rPr>
          <w:spacing w:val="1"/>
          <w:w w:val="94"/>
        </w:rPr>
        <w:t>This</w:t>
      </w:r>
      <w:r>
        <w:rPr>
          <w:w w:val="94"/>
        </w:rPr>
        <w:t> </w:t>
      </w:r>
      <w:r>
        <w:rPr>
          <w:spacing w:val="1"/>
          <w:w w:val="98"/>
        </w:rPr>
        <w:t>program</w:t>
      </w:r>
      <w:r>
        <w:rPr>
          <w:w w:val="98"/>
        </w:rPr>
        <w:t> </w:t>
      </w:r>
      <w:r>
        <w:rPr>
          <w:spacing w:val="1"/>
          <w:w w:val="96"/>
        </w:rPr>
        <w:t>enables</w:t>
      </w:r>
      <w:r>
        <w:rPr>
          <w:w w:val="96"/>
        </w:rPr>
        <w:t> </w:t>
      </w:r>
      <w:r>
        <w:rPr>
          <w:spacing w:val="1"/>
          <w:w w:val="97"/>
        </w:rPr>
        <w:t>students</w:t>
      </w:r>
      <w:r>
        <w:rPr>
          <w:w w:val="97"/>
        </w:rPr>
        <w:t> </w:t>
      </w:r>
      <w:r>
        <w:rPr/>
        <w:t>to</w:t>
      </w:r>
      <w:r>
        <w:rPr>
          <w:spacing w:val="-17"/>
        </w:rPr>
        <w:t> </w:t>
      </w:r>
      <w:r>
        <w:rPr/>
        <w:t>build</w:t>
      </w:r>
      <w:r>
        <w:rPr>
          <w:spacing w:val="-17"/>
        </w:rPr>
        <w:t> </w:t>
      </w:r>
      <w:r>
        <w:rPr/>
        <w:t>their</w:t>
      </w:r>
      <w:r>
        <w:rPr>
          <w:spacing w:val="-17"/>
        </w:rPr>
        <w:t> </w:t>
      </w:r>
      <w:r>
        <w:rPr/>
        <w:t>discipline-related</w:t>
      </w:r>
      <w:r>
        <w:rPr>
          <w:spacing w:val="-17"/>
        </w:rPr>
        <w:t> </w:t>
      </w:r>
      <w:r>
        <w:rPr/>
        <w:t>skills</w:t>
      </w:r>
      <w:r>
        <w:rPr>
          <w:spacing w:val="-17"/>
        </w:rPr>
        <w:t> </w:t>
      </w:r>
      <w:r>
        <w:rPr/>
        <w:t>in</w:t>
      </w:r>
      <w:r>
        <w:rPr>
          <w:spacing w:val="-17"/>
        </w:rPr>
        <w:t> </w:t>
      </w:r>
      <w:r>
        <w:rPr/>
        <w:t>an international</w:t>
      </w:r>
      <w:r>
        <w:rPr>
          <w:spacing w:val="-19"/>
        </w:rPr>
        <w:t> </w:t>
      </w:r>
      <w:r>
        <w:rPr/>
        <w:t>context,</w:t>
      </w:r>
      <w:r>
        <w:rPr>
          <w:spacing w:val="-19"/>
        </w:rPr>
        <w:t> </w:t>
      </w:r>
      <w:r>
        <w:rPr/>
        <w:t>and</w:t>
      </w:r>
      <w:r>
        <w:rPr>
          <w:spacing w:val="-19"/>
        </w:rPr>
        <w:t> </w:t>
      </w:r>
      <w:r>
        <w:rPr/>
        <w:t>is</w:t>
      </w:r>
      <w:r>
        <w:rPr>
          <w:spacing w:val="-19"/>
        </w:rPr>
        <w:t> </w:t>
      </w:r>
      <w:r>
        <w:rPr/>
        <w:t>designed</w:t>
      </w:r>
      <w:r>
        <w:rPr>
          <w:spacing w:val="-19"/>
        </w:rPr>
        <w:t> </w:t>
      </w:r>
      <w:r>
        <w:rPr/>
        <w:t>to</w:t>
      </w:r>
    </w:p>
    <w:p>
      <w:pPr>
        <w:pStyle w:val="BodyText"/>
        <w:spacing w:line="249" w:lineRule="auto" w:before="1"/>
        <w:ind w:left="305" w:right="51"/>
      </w:pPr>
      <w:r>
        <w:rPr/>
        <w:t>help them become globally aware citizens of the future.</w:t>
      </w:r>
    </w:p>
    <w:p>
      <w:pPr>
        <w:pStyle w:val="BodyText"/>
        <w:rPr>
          <w:sz w:val="14"/>
        </w:rPr>
      </w:pPr>
    </w:p>
    <w:p>
      <w:pPr>
        <w:pStyle w:val="BodyText"/>
        <w:spacing w:line="249" w:lineRule="auto"/>
        <w:ind w:left="107" w:right="87"/>
      </w:pPr>
      <w:r>
        <w:rPr>
          <w:w w:val="80"/>
        </w:rPr>
        <w:t>In </w:t>
      </w:r>
      <w:r>
        <w:rPr>
          <w:w w:val="85"/>
        </w:rPr>
        <w:t>2016, </w:t>
      </w:r>
      <w:r>
        <w:rPr>
          <w:w w:val="97"/>
        </w:rPr>
        <w:t>more </w:t>
      </w:r>
      <w:r>
        <w:rPr>
          <w:w w:val="97"/>
        </w:rPr>
        <w:t>than </w:t>
      </w:r>
      <w:r>
        <w:rPr>
          <w:w w:val="91"/>
        </w:rPr>
        <w:t>17,000 </w:t>
      </w:r>
      <w:r>
        <w:rPr>
          <w:w w:val="97"/>
        </w:rPr>
        <w:t>individual </w:t>
      </w:r>
      <w:r>
        <w:rPr>
          <w:w w:val="97"/>
        </w:rPr>
        <w:t>students </w:t>
      </w:r>
      <w:r>
        <w:rPr/>
        <w:t>logged in to the CareerHub system, where they were able to access resources, book appointments and register for events. Some 2,514 students attended Careers events,</w:t>
      </w:r>
    </w:p>
    <w:p>
      <w:pPr>
        <w:pStyle w:val="BodyText"/>
        <w:spacing w:line="249" w:lineRule="auto"/>
        <w:ind w:left="107" w:right="-18"/>
      </w:pPr>
      <w:r>
        <w:rPr/>
        <w:t>and 635 students attended individual appointments.</w:t>
      </w:r>
      <w:r>
        <w:rPr>
          <w:spacing w:val="-23"/>
        </w:rPr>
        <w:t> </w:t>
      </w:r>
      <w:r>
        <w:rPr/>
        <w:t>International</w:t>
      </w:r>
      <w:r>
        <w:rPr>
          <w:spacing w:val="-23"/>
        </w:rPr>
        <w:t> </w:t>
      </w:r>
      <w:r>
        <w:rPr/>
        <w:t>students</w:t>
      </w:r>
      <w:r>
        <w:rPr>
          <w:spacing w:val="-23"/>
        </w:rPr>
        <w:t> </w:t>
      </w:r>
      <w:r>
        <w:rPr/>
        <w:t>made</w:t>
      </w:r>
      <w:r>
        <w:rPr>
          <w:spacing w:val="-23"/>
        </w:rPr>
        <w:t> </w:t>
      </w:r>
      <w:r>
        <w:rPr/>
        <w:t>up </w:t>
      </w:r>
      <w:r>
        <w:rPr>
          <w:spacing w:val="3"/>
          <w:w w:val="96"/>
        </w:rPr>
        <w:t>2,800</w:t>
      </w:r>
      <w:r>
        <w:rPr>
          <w:spacing w:val="-7"/>
          <w:w w:val="96"/>
        </w:rPr>
        <w:t> </w:t>
      </w:r>
      <w:r>
        <w:rPr>
          <w:w w:val="99"/>
        </w:rPr>
        <w:t>of</w:t>
      </w:r>
      <w:r>
        <w:rPr>
          <w:spacing w:val="-9"/>
          <w:w w:val="99"/>
        </w:rPr>
        <w:t> </w:t>
      </w:r>
      <w:r>
        <w:rPr>
          <w:w w:val="97"/>
        </w:rPr>
        <w:t>the</w:t>
      </w:r>
      <w:r>
        <w:rPr>
          <w:spacing w:val="-8"/>
          <w:w w:val="97"/>
        </w:rPr>
        <w:t> </w:t>
      </w:r>
      <w:r>
        <w:rPr>
          <w:w w:val="91"/>
        </w:rPr>
        <w:t>17,000</w:t>
      </w:r>
      <w:r>
        <w:rPr>
          <w:spacing w:val="-5"/>
          <w:w w:val="91"/>
        </w:rPr>
        <w:t> </w:t>
      </w:r>
      <w:r>
        <w:rPr>
          <w:spacing w:val="1"/>
          <w:w w:val="95"/>
        </w:rPr>
        <w:t>users</w:t>
      </w:r>
      <w:r>
        <w:rPr>
          <w:spacing w:val="-7"/>
          <w:w w:val="95"/>
        </w:rPr>
        <w:t> </w:t>
      </w:r>
      <w:r>
        <w:rPr>
          <w:spacing w:val="-5"/>
          <w:w w:val="95"/>
        </w:rPr>
        <w:t>(a</w:t>
      </w:r>
      <w:r>
        <w:rPr>
          <w:spacing w:val="-7"/>
          <w:w w:val="95"/>
        </w:rPr>
        <w:t> </w:t>
      </w:r>
      <w:r>
        <w:rPr>
          <w:spacing w:val="1"/>
          <w:w w:val="97"/>
        </w:rPr>
        <w:t>significant</w:t>
      </w:r>
      <w:r>
        <w:rPr>
          <w:spacing w:val="-8"/>
          <w:w w:val="97"/>
        </w:rPr>
        <w:t> </w:t>
      </w:r>
      <w:r>
        <w:rPr>
          <w:spacing w:val="1"/>
          <w:w w:val="99"/>
        </w:rPr>
        <w:t>portion</w:t>
      </w:r>
      <w:r>
        <w:rPr>
          <w:w w:val="99"/>
        </w:rPr>
        <w:t> </w:t>
      </w:r>
      <w:r>
        <w:rPr/>
        <w:t>of the currently enrolled international student population). Students used CareerHub to search for jobs (with more than </w:t>
      </w:r>
      <w:r>
        <w:rPr>
          <w:spacing w:val="3"/>
        </w:rPr>
        <w:t>254,000 </w:t>
      </w:r>
      <w:r>
        <w:rPr/>
        <w:t>job </w:t>
      </w:r>
      <w:r>
        <w:rPr>
          <w:w w:val="97"/>
        </w:rPr>
        <w:t>views </w:t>
      </w:r>
      <w:r>
        <w:rPr>
          <w:w w:val="95"/>
        </w:rPr>
        <w:t>in </w:t>
      </w:r>
      <w:r>
        <w:rPr>
          <w:spacing w:val="1"/>
          <w:w w:val="87"/>
        </w:rPr>
        <w:t>2016),</w:t>
      </w:r>
      <w:r>
        <w:rPr>
          <w:w w:val="87"/>
        </w:rPr>
        <w:t> </w:t>
      </w:r>
      <w:r>
        <w:rPr>
          <w:w w:val="98"/>
        </w:rPr>
        <w:t>view </w:t>
      </w:r>
      <w:r>
        <w:rPr>
          <w:spacing w:val="1"/>
          <w:w w:val="97"/>
        </w:rPr>
        <w:t>and</w:t>
      </w:r>
      <w:r>
        <w:rPr>
          <w:w w:val="97"/>
        </w:rPr>
        <w:t> </w:t>
      </w:r>
      <w:r>
        <w:rPr>
          <w:spacing w:val="1"/>
          <w:w w:val="99"/>
        </w:rPr>
        <w:t>download</w:t>
      </w:r>
      <w:r>
        <w:rPr>
          <w:w w:val="99"/>
        </w:rPr>
        <w:t> </w:t>
      </w:r>
      <w:r>
        <w:rPr>
          <w:spacing w:val="1"/>
          <w:w w:val="94"/>
        </w:rPr>
        <w:t>resources,</w:t>
      </w:r>
      <w:r>
        <w:rPr>
          <w:w w:val="94"/>
        </w:rPr>
        <w:t> </w:t>
      </w:r>
      <w:r>
        <w:rPr/>
        <w:t>and</w:t>
      </w:r>
      <w:r>
        <w:rPr>
          <w:spacing w:val="-17"/>
        </w:rPr>
        <w:t> </w:t>
      </w:r>
      <w:r>
        <w:rPr/>
        <w:t>find</w:t>
      </w:r>
      <w:r>
        <w:rPr>
          <w:spacing w:val="-17"/>
        </w:rPr>
        <w:t> </w:t>
      </w:r>
      <w:r>
        <w:rPr/>
        <w:t>links</w:t>
      </w:r>
      <w:r>
        <w:rPr>
          <w:spacing w:val="-17"/>
        </w:rPr>
        <w:t> </w:t>
      </w:r>
      <w:r>
        <w:rPr/>
        <w:t>to</w:t>
      </w:r>
      <w:r>
        <w:rPr>
          <w:spacing w:val="-17"/>
        </w:rPr>
        <w:t> </w:t>
      </w:r>
      <w:r>
        <w:rPr/>
        <w:t>relevant</w:t>
      </w:r>
      <w:r>
        <w:rPr>
          <w:spacing w:val="-17"/>
        </w:rPr>
        <w:t> </w:t>
      </w:r>
      <w:r>
        <w:rPr/>
        <w:t>websites</w:t>
      </w:r>
      <w:r>
        <w:rPr>
          <w:spacing w:val="-17"/>
        </w:rPr>
        <w:t> </w:t>
      </w:r>
      <w:r>
        <w:rPr/>
        <w:t>(with</w:t>
      </w:r>
      <w:r>
        <w:rPr>
          <w:spacing w:val="-17"/>
        </w:rPr>
        <w:t> </w:t>
      </w:r>
      <w:r>
        <w:rPr/>
        <w:t>more </w:t>
      </w:r>
      <w:r>
        <w:rPr>
          <w:spacing w:val="1"/>
          <w:w w:val="97"/>
        </w:rPr>
        <w:t>than</w:t>
      </w:r>
      <w:r>
        <w:rPr>
          <w:w w:val="97"/>
        </w:rPr>
        <w:t> </w:t>
      </w:r>
      <w:r>
        <w:rPr>
          <w:spacing w:val="2"/>
          <w:w w:val="91"/>
        </w:rPr>
        <w:t>21,000</w:t>
      </w:r>
      <w:r>
        <w:rPr>
          <w:w w:val="91"/>
        </w:rPr>
        <w:t> </w:t>
      </w:r>
      <w:r>
        <w:rPr>
          <w:w w:val="97"/>
        </w:rPr>
        <w:t>resource </w:t>
      </w:r>
      <w:r>
        <w:rPr>
          <w:w w:val="97"/>
        </w:rPr>
        <w:t>views </w:t>
      </w:r>
      <w:r>
        <w:rPr>
          <w:w w:val="95"/>
        </w:rPr>
        <w:t>in</w:t>
      </w:r>
      <w:r>
        <w:rPr>
          <w:spacing w:val="-20"/>
          <w:w w:val="95"/>
        </w:rPr>
        <w:t> </w:t>
      </w:r>
      <w:r>
        <w:rPr>
          <w:spacing w:val="1"/>
          <w:w w:val="87"/>
        </w:rPr>
        <w:t>2016).</w:t>
      </w:r>
    </w:p>
    <w:p>
      <w:pPr>
        <w:pStyle w:val="BodyText"/>
        <w:spacing w:before="7"/>
        <w:rPr>
          <w:sz w:val="20"/>
        </w:rPr>
      </w:pPr>
      <w:r>
        <w:rPr/>
        <w:br w:type="column"/>
      </w:r>
      <w:r>
        <w:rPr>
          <w:sz w:val="20"/>
        </w:rPr>
      </w:r>
    </w:p>
    <w:p>
      <w:pPr>
        <w:pStyle w:val="Heading7"/>
        <w:ind w:right="460"/>
      </w:pPr>
      <w:r>
        <w:rPr>
          <w:w w:val="95"/>
        </w:rPr>
        <w:t>SCHOOLS ENGAGEMENT</w:t>
      </w:r>
    </w:p>
    <w:p>
      <w:pPr>
        <w:pStyle w:val="BodyText"/>
        <w:spacing w:line="249" w:lineRule="auto" w:before="58"/>
        <w:ind w:left="107" w:right="313"/>
      </w:pPr>
      <w:r>
        <w:rPr/>
        <w:t>The</w:t>
      </w:r>
      <w:r>
        <w:rPr>
          <w:spacing w:val="-20"/>
        </w:rPr>
        <w:t> </w:t>
      </w:r>
      <w:r>
        <w:rPr/>
        <w:t>Schools</w:t>
      </w:r>
      <w:r>
        <w:rPr>
          <w:spacing w:val="-20"/>
        </w:rPr>
        <w:t> </w:t>
      </w:r>
      <w:r>
        <w:rPr/>
        <w:t>Engagement</w:t>
      </w:r>
      <w:r>
        <w:rPr>
          <w:spacing w:val="-20"/>
        </w:rPr>
        <w:t> </w:t>
      </w:r>
      <w:r>
        <w:rPr/>
        <w:t>Reference</w:t>
      </w:r>
      <w:r>
        <w:rPr>
          <w:spacing w:val="-20"/>
        </w:rPr>
        <w:t> </w:t>
      </w:r>
      <w:r>
        <w:rPr/>
        <w:t>Group, the</w:t>
      </w:r>
      <w:r>
        <w:rPr>
          <w:spacing w:val="-18"/>
        </w:rPr>
        <w:t> </w:t>
      </w:r>
      <w:r>
        <w:rPr/>
        <w:t>University’s</w:t>
      </w:r>
      <w:r>
        <w:rPr>
          <w:spacing w:val="-18"/>
        </w:rPr>
        <w:t> </w:t>
      </w:r>
      <w:r>
        <w:rPr/>
        <w:t>senior</w:t>
      </w:r>
      <w:r>
        <w:rPr>
          <w:spacing w:val="-18"/>
        </w:rPr>
        <w:t> </w:t>
      </w:r>
      <w:r>
        <w:rPr/>
        <w:t>external</w:t>
      </w:r>
      <w:r>
        <w:rPr>
          <w:spacing w:val="-18"/>
        </w:rPr>
        <w:t> </w:t>
      </w:r>
      <w:r>
        <w:rPr/>
        <w:t>stakeholder advisory group, reviewed the Schools </w:t>
      </w:r>
      <w:r>
        <w:rPr>
          <w:spacing w:val="1"/>
          <w:w w:val="98"/>
        </w:rPr>
        <w:t>Engagement</w:t>
      </w:r>
      <w:r>
        <w:rPr>
          <w:w w:val="98"/>
        </w:rPr>
        <w:t> </w:t>
      </w:r>
      <w:r>
        <w:rPr>
          <w:w w:val="98"/>
        </w:rPr>
        <w:t>Strategic </w:t>
      </w:r>
      <w:r>
        <w:rPr>
          <w:spacing w:val="1"/>
          <w:w w:val="97"/>
        </w:rPr>
        <w:t>Plan</w:t>
      </w:r>
      <w:r>
        <w:rPr>
          <w:w w:val="97"/>
        </w:rPr>
        <w:t> </w:t>
      </w:r>
      <w:r>
        <w:rPr>
          <w:spacing w:val="2"/>
          <w:w w:val="84"/>
        </w:rPr>
        <w:t>2014–16.</w:t>
      </w:r>
      <w:r>
        <w:rPr>
          <w:w w:val="84"/>
        </w:rPr>
        <w:t> </w:t>
      </w:r>
      <w:r>
        <w:rPr>
          <w:spacing w:val="2"/>
          <w:w w:val="103"/>
        </w:rPr>
        <w:t>As</w:t>
      </w:r>
      <w:r>
        <w:rPr>
          <w:w w:val="103"/>
        </w:rPr>
        <w:t> </w:t>
      </w:r>
      <w:r>
        <w:rPr/>
        <w:t>well as school sector representatives, key internal</w:t>
      </w:r>
      <w:r>
        <w:rPr>
          <w:spacing w:val="-20"/>
        </w:rPr>
        <w:t> </w:t>
      </w:r>
      <w:r>
        <w:rPr/>
        <w:t>stakeholders</w:t>
      </w:r>
      <w:r>
        <w:rPr>
          <w:spacing w:val="-20"/>
        </w:rPr>
        <w:t> </w:t>
      </w:r>
      <w:r>
        <w:rPr/>
        <w:t>also</w:t>
      </w:r>
      <w:r>
        <w:rPr>
          <w:spacing w:val="-20"/>
        </w:rPr>
        <w:t> </w:t>
      </w:r>
      <w:r>
        <w:rPr/>
        <w:t>contributed</w:t>
      </w:r>
    </w:p>
    <w:p>
      <w:pPr>
        <w:pStyle w:val="BodyText"/>
        <w:spacing w:line="249" w:lineRule="auto"/>
        <w:ind w:left="107" w:right="577"/>
      </w:pPr>
      <w:r>
        <w:rPr/>
        <w:t>to the review. The Reference Group agreed</w:t>
      </w:r>
      <w:r>
        <w:rPr>
          <w:spacing w:val="-14"/>
        </w:rPr>
        <w:t> </w:t>
      </w:r>
      <w:r>
        <w:rPr/>
        <w:t>the</w:t>
      </w:r>
      <w:r>
        <w:rPr>
          <w:spacing w:val="-14"/>
        </w:rPr>
        <w:t> </w:t>
      </w:r>
      <w:r>
        <w:rPr/>
        <w:t>plan</w:t>
      </w:r>
      <w:r>
        <w:rPr>
          <w:spacing w:val="-14"/>
        </w:rPr>
        <w:t> </w:t>
      </w:r>
      <w:r>
        <w:rPr/>
        <w:t>had</w:t>
      </w:r>
      <w:r>
        <w:rPr>
          <w:spacing w:val="-14"/>
        </w:rPr>
        <w:t> </w:t>
      </w:r>
      <w:r>
        <w:rPr/>
        <w:t>led</w:t>
      </w:r>
      <w:r>
        <w:rPr>
          <w:spacing w:val="-14"/>
        </w:rPr>
        <w:t> </w:t>
      </w:r>
      <w:r>
        <w:rPr/>
        <w:t>to</w:t>
      </w:r>
      <w:r>
        <w:rPr>
          <w:spacing w:val="-14"/>
        </w:rPr>
        <w:t> </w:t>
      </w:r>
      <w:r>
        <w:rPr/>
        <w:t>a</w:t>
      </w:r>
      <w:r>
        <w:rPr>
          <w:spacing w:val="-14"/>
        </w:rPr>
        <w:t> </w:t>
      </w:r>
      <w:r>
        <w:rPr/>
        <w:t>wide</w:t>
      </w:r>
      <w:r>
        <w:rPr>
          <w:spacing w:val="-14"/>
        </w:rPr>
        <w:t> </w:t>
      </w:r>
      <w:r>
        <w:rPr/>
        <w:t>range of</w:t>
      </w:r>
      <w:r>
        <w:rPr>
          <w:spacing w:val="-24"/>
        </w:rPr>
        <w:t> </w:t>
      </w:r>
      <w:r>
        <w:rPr/>
        <w:t>positive</w:t>
      </w:r>
      <w:r>
        <w:rPr>
          <w:spacing w:val="-24"/>
        </w:rPr>
        <w:t> </w:t>
      </w:r>
      <w:r>
        <w:rPr/>
        <w:t>outcomes,</w:t>
      </w:r>
      <w:r>
        <w:rPr>
          <w:spacing w:val="-24"/>
        </w:rPr>
        <w:t> </w:t>
      </w:r>
      <w:r>
        <w:rPr/>
        <w:t>including:</w:t>
      </w:r>
    </w:p>
    <w:p>
      <w:pPr>
        <w:pStyle w:val="BodyText"/>
        <w:spacing w:line="247" w:lineRule="auto" w:before="55"/>
        <w:ind w:left="305" w:right="197" w:hanging="199"/>
      </w:pPr>
      <w:r>
        <w:rPr>
          <w:rFonts w:ascii="Century Gothic" w:hAnsi="Century Gothic"/>
          <w:b/>
          <w:w w:val="115"/>
        </w:rPr>
        <w:t>≥ </w:t>
      </w:r>
      <w:r>
        <w:rPr/>
        <w:t>developing productive and cooperative relationships</w:t>
      </w:r>
      <w:r>
        <w:rPr>
          <w:spacing w:val="-19"/>
        </w:rPr>
        <w:t> </w:t>
      </w:r>
      <w:r>
        <w:rPr/>
        <w:t>across</w:t>
      </w:r>
      <w:r>
        <w:rPr>
          <w:spacing w:val="-19"/>
        </w:rPr>
        <w:t> </w:t>
      </w:r>
      <w:r>
        <w:rPr/>
        <w:t>and</w:t>
      </w:r>
      <w:r>
        <w:rPr>
          <w:spacing w:val="-19"/>
        </w:rPr>
        <w:t> </w:t>
      </w:r>
      <w:r>
        <w:rPr/>
        <w:t>within</w:t>
      </w:r>
      <w:r>
        <w:rPr>
          <w:spacing w:val="-19"/>
        </w:rPr>
        <w:t> </w:t>
      </w:r>
      <w:r>
        <w:rPr/>
        <w:t>all</w:t>
      </w:r>
      <w:r>
        <w:rPr>
          <w:spacing w:val="-19"/>
        </w:rPr>
        <w:t> </w:t>
      </w:r>
      <w:r>
        <w:rPr/>
        <w:t>levels</w:t>
      </w:r>
      <w:r>
        <w:rPr>
          <w:spacing w:val="-19"/>
        </w:rPr>
        <w:t> </w:t>
      </w:r>
      <w:r>
        <w:rPr/>
        <w:t>of the</w:t>
      </w:r>
      <w:r>
        <w:rPr>
          <w:spacing w:val="-18"/>
        </w:rPr>
        <w:t> </w:t>
      </w:r>
      <w:r>
        <w:rPr/>
        <w:t>school</w:t>
      </w:r>
      <w:r>
        <w:rPr>
          <w:spacing w:val="-18"/>
        </w:rPr>
        <w:t> </w:t>
      </w:r>
      <w:r>
        <w:rPr/>
        <w:t>sector,</w:t>
      </w:r>
      <w:r>
        <w:rPr>
          <w:spacing w:val="-18"/>
        </w:rPr>
        <w:t> </w:t>
      </w:r>
      <w:r>
        <w:rPr/>
        <w:t>and</w:t>
      </w:r>
      <w:r>
        <w:rPr>
          <w:spacing w:val="-18"/>
        </w:rPr>
        <w:t> </w:t>
      </w:r>
      <w:r>
        <w:rPr/>
        <w:t>agreement</w:t>
      </w:r>
      <w:r>
        <w:rPr>
          <w:spacing w:val="-18"/>
        </w:rPr>
        <w:t> </w:t>
      </w:r>
      <w:r>
        <w:rPr/>
        <w:t>with</w:t>
      </w:r>
      <w:r>
        <w:rPr>
          <w:spacing w:val="-18"/>
        </w:rPr>
        <w:t> </w:t>
      </w:r>
      <w:r>
        <w:rPr/>
        <w:t>the sector</w:t>
      </w:r>
      <w:r>
        <w:rPr>
          <w:spacing w:val="-12"/>
        </w:rPr>
        <w:t> </w:t>
      </w:r>
      <w:r>
        <w:rPr/>
        <w:t>on</w:t>
      </w:r>
      <w:r>
        <w:rPr>
          <w:spacing w:val="-12"/>
        </w:rPr>
        <w:t> </w:t>
      </w:r>
      <w:r>
        <w:rPr/>
        <w:t>directions</w:t>
      </w:r>
      <w:r>
        <w:rPr>
          <w:spacing w:val="-12"/>
        </w:rPr>
        <w:t> </w:t>
      </w:r>
      <w:r>
        <w:rPr/>
        <w:t>and</w:t>
      </w:r>
      <w:r>
        <w:rPr>
          <w:spacing w:val="-12"/>
        </w:rPr>
        <w:t> </w:t>
      </w:r>
      <w:r>
        <w:rPr/>
        <w:t>priorities</w:t>
      </w:r>
    </w:p>
    <w:p>
      <w:pPr>
        <w:pStyle w:val="BodyText"/>
        <w:spacing w:line="247" w:lineRule="auto" w:before="57"/>
        <w:ind w:left="305" w:right="197" w:hanging="199"/>
      </w:pPr>
      <w:r>
        <w:rPr>
          <w:rFonts w:ascii="Century Gothic" w:hAnsi="Century Gothic"/>
          <w:b/>
          <w:w w:val="115"/>
        </w:rPr>
        <w:t>≥ </w:t>
      </w:r>
      <w:r>
        <w:rPr/>
        <w:t>significantly increasing the number of school students, school staff members, sector administrators and schools linked with the University</w:t>
      </w:r>
    </w:p>
    <w:p>
      <w:pPr>
        <w:pStyle w:val="BodyText"/>
        <w:spacing w:line="247" w:lineRule="auto" w:before="57"/>
        <w:ind w:left="305" w:right="104" w:hanging="199"/>
      </w:pPr>
      <w:r>
        <w:rPr>
          <w:rFonts w:ascii="Century Gothic" w:hAnsi="Century Gothic"/>
          <w:b/>
          <w:w w:val="115"/>
        </w:rPr>
        <w:t>≥ </w:t>
      </w:r>
      <w:r>
        <w:rPr/>
        <w:t>substantially increasing highly rated academic enrichment and skill-building opportunities for school students (including</w:t>
      </w:r>
      <w:r>
        <w:rPr>
          <w:spacing w:val="-17"/>
        </w:rPr>
        <w:t> </w:t>
      </w:r>
      <w:r>
        <w:rPr/>
        <w:t>more</w:t>
      </w:r>
      <w:r>
        <w:rPr>
          <w:spacing w:val="-17"/>
        </w:rPr>
        <w:t> </w:t>
      </w:r>
      <w:r>
        <w:rPr/>
        <w:t>programs,</w:t>
      </w:r>
      <w:r>
        <w:rPr>
          <w:spacing w:val="-17"/>
        </w:rPr>
        <w:t> </w:t>
      </w:r>
      <w:r>
        <w:rPr/>
        <w:t>and</w:t>
      </w:r>
      <w:r>
        <w:rPr>
          <w:spacing w:val="-17"/>
        </w:rPr>
        <w:t> </w:t>
      </w:r>
      <w:r>
        <w:rPr/>
        <w:t>more</w:t>
      </w:r>
      <w:r>
        <w:rPr>
          <w:spacing w:val="-17"/>
        </w:rPr>
        <w:t> </w:t>
      </w:r>
      <w:r>
        <w:rPr/>
        <w:t>places in programs), enhancing students’ future options and</w:t>
      </w:r>
      <w:r>
        <w:rPr>
          <w:spacing w:val="-14"/>
        </w:rPr>
        <w:t> </w:t>
      </w:r>
      <w:r>
        <w:rPr/>
        <w:t>prospects</w:t>
      </w:r>
    </w:p>
    <w:p>
      <w:pPr>
        <w:pStyle w:val="BodyText"/>
        <w:spacing w:line="247" w:lineRule="auto" w:before="57"/>
        <w:ind w:left="305" w:right="352" w:hanging="199"/>
      </w:pPr>
      <w:r>
        <w:rPr>
          <w:rFonts w:ascii="Century Gothic" w:hAnsi="Century Gothic"/>
          <w:b/>
          <w:w w:val="115"/>
        </w:rPr>
        <w:t>≥ </w:t>
      </w:r>
      <w:r>
        <w:rPr/>
        <w:t>generating a high proportion of positive evaluations and feedback across the diverse range of activities</w:t>
      </w:r>
    </w:p>
    <w:p>
      <w:pPr>
        <w:pStyle w:val="BodyText"/>
        <w:spacing w:line="247" w:lineRule="auto" w:before="57"/>
        <w:ind w:left="305" w:right="222" w:hanging="199"/>
      </w:pPr>
      <w:r>
        <w:rPr>
          <w:rFonts w:ascii="Century Gothic" w:hAnsi="Century Gothic"/>
          <w:b/>
          <w:w w:val="115"/>
        </w:rPr>
        <w:t>≥ </w:t>
      </w:r>
      <w:r>
        <w:rPr/>
        <w:t>increasing and supporting educational aspirations</w:t>
      </w:r>
      <w:r>
        <w:rPr>
          <w:spacing w:val="-15"/>
        </w:rPr>
        <w:t> </w:t>
      </w:r>
      <w:r>
        <w:rPr/>
        <w:t>among</w:t>
      </w:r>
      <w:r>
        <w:rPr>
          <w:spacing w:val="-15"/>
        </w:rPr>
        <w:t> </w:t>
      </w:r>
      <w:r>
        <w:rPr/>
        <w:t>students</w:t>
      </w:r>
      <w:r>
        <w:rPr>
          <w:spacing w:val="-15"/>
        </w:rPr>
        <w:t> </w:t>
      </w:r>
      <w:r>
        <w:rPr/>
        <w:t>who</w:t>
      </w:r>
      <w:r>
        <w:rPr>
          <w:spacing w:val="-15"/>
        </w:rPr>
        <w:t> </w:t>
      </w:r>
      <w:r>
        <w:rPr/>
        <w:t>may</w:t>
      </w:r>
      <w:r>
        <w:rPr>
          <w:spacing w:val="-15"/>
        </w:rPr>
        <w:t> </w:t>
      </w:r>
      <w:r>
        <w:rPr/>
        <w:t>not otherwise have considered completing the</w:t>
      </w:r>
      <w:r>
        <w:rPr>
          <w:spacing w:val="-20"/>
        </w:rPr>
        <w:t> </w:t>
      </w:r>
      <w:r>
        <w:rPr/>
        <w:t>HSC</w:t>
      </w:r>
      <w:r>
        <w:rPr>
          <w:spacing w:val="-20"/>
        </w:rPr>
        <w:t> </w:t>
      </w:r>
      <w:r>
        <w:rPr/>
        <w:t>or</w:t>
      </w:r>
      <w:r>
        <w:rPr>
          <w:spacing w:val="-20"/>
        </w:rPr>
        <w:t> </w:t>
      </w:r>
      <w:r>
        <w:rPr/>
        <w:t>enrolling</w:t>
      </w:r>
      <w:r>
        <w:rPr>
          <w:spacing w:val="-20"/>
        </w:rPr>
        <w:t> </w:t>
      </w:r>
      <w:r>
        <w:rPr/>
        <w:t>at</w:t>
      </w:r>
      <w:r>
        <w:rPr>
          <w:spacing w:val="-20"/>
        </w:rPr>
        <w:t> </w:t>
      </w:r>
      <w:r>
        <w:rPr/>
        <w:t>university,</w:t>
      </w:r>
      <w:r>
        <w:rPr>
          <w:spacing w:val="-20"/>
        </w:rPr>
        <w:t> </w:t>
      </w:r>
      <w:r>
        <w:rPr/>
        <w:t>which</w:t>
      </w:r>
      <w:r>
        <w:rPr>
          <w:spacing w:val="-20"/>
        </w:rPr>
        <w:t> </w:t>
      </w:r>
      <w:r>
        <w:rPr/>
        <w:t>is</w:t>
      </w:r>
    </w:p>
    <w:p>
      <w:pPr>
        <w:pStyle w:val="BodyText"/>
        <w:spacing w:line="249" w:lineRule="auto" w:before="1"/>
        <w:ind w:left="305" w:right="147"/>
        <w:jc w:val="both"/>
      </w:pPr>
      <w:r>
        <w:rPr/>
        <w:t>demonstrated</w:t>
      </w:r>
      <w:r>
        <w:rPr>
          <w:spacing w:val="-17"/>
        </w:rPr>
        <w:t> </w:t>
      </w:r>
      <w:r>
        <w:rPr/>
        <w:t>by</w:t>
      </w:r>
      <w:r>
        <w:rPr>
          <w:spacing w:val="-17"/>
        </w:rPr>
        <w:t> </w:t>
      </w:r>
      <w:r>
        <w:rPr/>
        <w:t>the</w:t>
      </w:r>
      <w:r>
        <w:rPr>
          <w:spacing w:val="-17"/>
        </w:rPr>
        <w:t> </w:t>
      </w:r>
      <w:r>
        <w:rPr/>
        <w:t>expansion</w:t>
      </w:r>
      <w:r>
        <w:rPr>
          <w:spacing w:val="-17"/>
        </w:rPr>
        <w:t> </w:t>
      </w:r>
      <w:r>
        <w:rPr/>
        <w:t>of</w:t>
      </w:r>
      <w:r>
        <w:rPr>
          <w:spacing w:val="-17"/>
        </w:rPr>
        <w:t> </w:t>
      </w:r>
      <w:r>
        <w:rPr/>
        <w:t>relevant programs,</w:t>
      </w:r>
      <w:r>
        <w:rPr>
          <w:spacing w:val="-16"/>
        </w:rPr>
        <w:t> </w:t>
      </w:r>
      <w:r>
        <w:rPr>
          <w:spacing w:val="2"/>
        </w:rPr>
        <w:t>shifts</w:t>
      </w:r>
      <w:r>
        <w:rPr>
          <w:spacing w:val="-16"/>
        </w:rPr>
        <w:t> </w:t>
      </w:r>
      <w:r>
        <w:rPr/>
        <w:t>in</w:t>
      </w:r>
      <w:r>
        <w:rPr>
          <w:spacing w:val="-16"/>
        </w:rPr>
        <w:t> </w:t>
      </w:r>
      <w:r>
        <w:rPr/>
        <w:t>attitudes</w:t>
      </w:r>
      <w:r>
        <w:rPr>
          <w:spacing w:val="-16"/>
        </w:rPr>
        <w:t> </w:t>
      </w:r>
      <w:r>
        <w:rPr/>
        <w:t>to</w:t>
      </w:r>
      <w:r>
        <w:rPr>
          <w:spacing w:val="-16"/>
        </w:rPr>
        <w:t> </w:t>
      </w:r>
      <w:r>
        <w:rPr/>
        <w:t>post-school study</w:t>
      </w:r>
      <w:r>
        <w:rPr>
          <w:spacing w:val="-17"/>
        </w:rPr>
        <w:t> </w:t>
      </w:r>
      <w:r>
        <w:rPr/>
        <w:t>and</w:t>
      </w:r>
      <w:r>
        <w:rPr>
          <w:spacing w:val="-17"/>
        </w:rPr>
        <w:t> </w:t>
      </w:r>
      <w:r>
        <w:rPr/>
        <w:t>higher</w:t>
      </w:r>
      <w:r>
        <w:rPr>
          <w:spacing w:val="-17"/>
        </w:rPr>
        <w:t> </w:t>
      </w:r>
      <w:r>
        <w:rPr/>
        <w:t>than</w:t>
      </w:r>
      <w:r>
        <w:rPr>
          <w:spacing w:val="-17"/>
        </w:rPr>
        <w:t> </w:t>
      </w:r>
      <w:r>
        <w:rPr/>
        <w:t>average</w:t>
      </w:r>
      <w:r>
        <w:rPr>
          <w:spacing w:val="-17"/>
        </w:rPr>
        <w:t> </w:t>
      </w:r>
      <w:r>
        <w:rPr/>
        <w:t>enrolments at</w:t>
      </w:r>
      <w:r>
        <w:rPr>
          <w:spacing w:val="-16"/>
        </w:rPr>
        <w:t> </w:t>
      </w:r>
      <w:r>
        <w:rPr/>
        <w:t>the</w:t>
      </w:r>
      <w:r>
        <w:rPr>
          <w:spacing w:val="-16"/>
        </w:rPr>
        <w:t> </w:t>
      </w:r>
      <w:r>
        <w:rPr/>
        <w:t>University</w:t>
      </w:r>
      <w:r>
        <w:rPr>
          <w:spacing w:val="-16"/>
        </w:rPr>
        <w:t> </w:t>
      </w:r>
      <w:r>
        <w:rPr/>
        <w:t>and</w:t>
      </w:r>
      <w:r>
        <w:rPr>
          <w:spacing w:val="-16"/>
        </w:rPr>
        <w:t> </w:t>
      </w:r>
      <w:r>
        <w:rPr/>
        <w:t>The</w:t>
      </w:r>
      <w:r>
        <w:rPr>
          <w:spacing w:val="-16"/>
        </w:rPr>
        <w:t> </w:t>
      </w:r>
      <w:r>
        <w:rPr/>
        <w:t>College</w:t>
      </w:r>
    </w:p>
    <w:p>
      <w:pPr>
        <w:pStyle w:val="BodyText"/>
        <w:spacing w:line="247" w:lineRule="auto" w:before="55"/>
        <w:ind w:left="305" w:right="236" w:hanging="199"/>
      </w:pPr>
      <w:r>
        <w:rPr>
          <w:rFonts w:ascii="Century Gothic" w:hAnsi="Century Gothic"/>
          <w:b/>
          <w:w w:val="115"/>
        </w:rPr>
        <w:t>≥ </w:t>
      </w:r>
      <w:r>
        <w:rPr/>
        <w:t>delivering advances in the priority areas of Science, Technology, Engineering and Mathematics (STEM) and Indigenous Education, including new programs and events, a greater range of opportunities and more positive learning outcomes</w:t>
      </w:r>
    </w:p>
    <w:p>
      <w:pPr>
        <w:pStyle w:val="BodyText"/>
        <w:spacing w:line="247" w:lineRule="auto" w:before="57"/>
        <w:ind w:left="305" w:right="201" w:hanging="199"/>
      </w:pPr>
      <w:r>
        <w:rPr>
          <w:rFonts w:ascii="Century Gothic" w:hAnsi="Century Gothic"/>
          <w:b/>
          <w:w w:val="115"/>
        </w:rPr>
        <w:t>≥ </w:t>
      </w:r>
      <w:r>
        <w:rPr/>
        <w:t>contributing to knowledge and capacity in the region and beyond through providing teacher and school staff professional development, sharing resources and expertise, and conducting school-related research</w:t>
      </w:r>
    </w:p>
    <w:p>
      <w:pPr>
        <w:pStyle w:val="BodyText"/>
        <w:spacing w:line="244" w:lineRule="auto" w:before="57"/>
        <w:ind w:left="305" w:right="219" w:hanging="199"/>
      </w:pPr>
      <w:r>
        <w:rPr>
          <w:rFonts w:ascii="Century Gothic" w:hAnsi="Century Gothic"/>
          <w:b/>
          <w:w w:val="115"/>
        </w:rPr>
        <w:t>≥  </w:t>
      </w:r>
      <w:r>
        <w:rPr/>
        <w:t>giving University students a wide range of</w:t>
      </w:r>
      <w:r>
        <w:rPr>
          <w:spacing w:val="-18"/>
        </w:rPr>
        <w:t> </w:t>
      </w:r>
      <w:r>
        <w:rPr/>
        <w:t>volunteering,</w:t>
      </w:r>
      <w:r>
        <w:rPr>
          <w:spacing w:val="-18"/>
        </w:rPr>
        <w:t> </w:t>
      </w:r>
      <w:r>
        <w:rPr/>
        <w:t>paid</w:t>
      </w:r>
      <w:r>
        <w:rPr>
          <w:spacing w:val="-18"/>
        </w:rPr>
        <w:t> </w:t>
      </w:r>
      <w:r>
        <w:rPr/>
        <w:t>casual</w:t>
      </w:r>
      <w:r>
        <w:rPr>
          <w:spacing w:val="-18"/>
        </w:rPr>
        <w:t> </w:t>
      </w:r>
      <w:r>
        <w:rPr/>
        <w:t>and</w:t>
      </w:r>
      <w:r>
        <w:rPr>
          <w:spacing w:val="-18"/>
        </w:rPr>
        <w:t> </w:t>
      </w:r>
      <w:r>
        <w:rPr/>
        <w:t>academic</w:t>
      </w:r>
    </w:p>
    <w:p>
      <w:pPr>
        <w:pStyle w:val="BodyText"/>
        <w:spacing w:line="249" w:lineRule="auto" w:before="3"/>
        <w:ind w:left="305" w:right="28"/>
      </w:pPr>
      <w:r>
        <w:rPr/>
        <w:t>service learning options, helping them build professionally relevant and personal skills, and their networks</w:t>
      </w:r>
    </w:p>
    <w:p>
      <w:pPr>
        <w:spacing w:after="0" w:line="249" w:lineRule="auto"/>
        <w:sectPr>
          <w:type w:val="continuous"/>
          <w:pgSz w:w="11910" w:h="16840"/>
          <w:pgMar w:top="1580" w:bottom="280" w:left="800" w:right="800"/>
          <w:cols w:num="3" w:equalWidth="0">
            <w:col w:w="3314" w:space="125"/>
            <w:col w:w="3320" w:space="120"/>
            <w:col w:w="3431"/>
          </w:cols>
        </w:sectPr>
      </w:pPr>
    </w:p>
    <w:p>
      <w:pPr>
        <w:pStyle w:val="BodyText"/>
        <w:spacing w:before="9"/>
        <w:rPr>
          <w:sz w:val="28"/>
        </w:rPr>
      </w:pPr>
    </w:p>
    <w:p>
      <w:pPr>
        <w:pStyle w:val="Heading2"/>
        <w:ind w:right="7796"/>
        <w:rPr>
          <w:b w:val="0"/>
        </w:rPr>
      </w:pPr>
      <w:r>
        <w:rPr>
          <w:b w:val="0"/>
        </w:rPr>
        <w:t>People and Advancement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0"/>
        <w:rPr>
          <w:rFonts w:ascii="Chronicle Text G1"/>
          <w:b w:val="0"/>
        </w:rPr>
      </w:pPr>
    </w:p>
    <w:p>
      <w:pPr>
        <w:pStyle w:val="BodyText"/>
        <w:spacing w:line="247" w:lineRule="auto"/>
        <w:ind w:left="305" w:right="-7" w:hanging="199"/>
      </w:pPr>
      <w:r>
        <w:rPr>
          <w:rFonts w:ascii="Century Gothic" w:hAnsi="Century Gothic"/>
          <w:b/>
          <w:w w:val="115"/>
        </w:rPr>
        <w:t>≥ </w:t>
      </w:r>
      <w:r>
        <w:rPr/>
        <w:t>enhancing the University’s profile, visibility and attractiveness to school leavers, as evidenced by increases in first preferences and first decile preferences.</w:t>
      </w:r>
    </w:p>
    <w:p>
      <w:pPr>
        <w:pStyle w:val="BodyText"/>
        <w:spacing w:before="2"/>
        <w:rPr>
          <w:sz w:val="14"/>
        </w:rPr>
      </w:pPr>
    </w:p>
    <w:p>
      <w:pPr>
        <w:pStyle w:val="BodyText"/>
        <w:spacing w:line="249" w:lineRule="auto"/>
        <w:ind w:left="107" w:right="-2"/>
      </w:pPr>
      <w:r>
        <w:rPr>
          <w:spacing w:val="1"/>
          <w:w w:val="80"/>
        </w:rPr>
        <w:t>In</w:t>
      </w:r>
      <w:r>
        <w:rPr>
          <w:w w:val="80"/>
        </w:rPr>
        <w:t> </w:t>
      </w:r>
      <w:r>
        <w:rPr>
          <w:spacing w:val="2"/>
          <w:w w:val="85"/>
        </w:rPr>
        <w:t>2016,</w:t>
      </w:r>
      <w:r>
        <w:rPr>
          <w:w w:val="85"/>
        </w:rPr>
        <w:t> </w:t>
      </w:r>
      <w:r>
        <w:rPr>
          <w:w w:val="97"/>
        </w:rPr>
        <w:t>more </w:t>
      </w:r>
      <w:r>
        <w:rPr>
          <w:spacing w:val="1"/>
          <w:w w:val="97"/>
        </w:rPr>
        <w:t>than</w:t>
      </w:r>
      <w:r>
        <w:rPr>
          <w:w w:val="97"/>
        </w:rPr>
        <w:t> </w:t>
      </w:r>
      <w:r>
        <w:rPr>
          <w:spacing w:val="1"/>
          <w:w w:val="100"/>
        </w:rPr>
        <w:t>70,000</w:t>
      </w:r>
      <w:r>
        <w:rPr>
          <w:w w:val="100"/>
        </w:rPr>
        <w:t> </w:t>
      </w:r>
      <w:r>
        <w:rPr>
          <w:spacing w:val="1"/>
          <w:w w:val="98"/>
        </w:rPr>
        <w:t>school</w:t>
      </w:r>
      <w:r>
        <w:rPr>
          <w:w w:val="98"/>
        </w:rPr>
        <w:t> </w:t>
      </w:r>
      <w:r>
        <w:rPr>
          <w:spacing w:val="1"/>
          <w:w w:val="97"/>
        </w:rPr>
        <w:t>students</w:t>
      </w:r>
      <w:r>
        <w:rPr>
          <w:w w:val="97"/>
        </w:rPr>
        <w:t> </w:t>
      </w:r>
      <w:r>
        <w:rPr/>
        <w:t>benefited from Western Sydney University Schools Engagement activities, along with nearly 7,000 school staff members. There </w:t>
      </w:r>
      <w:r>
        <w:rPr>
          <w:w w:val="97"/>
        </w:rPr>
        <w:t>were </w:t>
      </w:r>
      <w:r>
        <w:rPr>
          <w:w w:val="97"/>
        </w:rPr>
        <w:t>more </w:t>
      </w:r>
      <w:r>
        <w:rPr>
          <w:spacing w:val="1"/>
          <w:w w:val="97"/>
        </w:rPr>
        <w:t>than</w:t>
      </w:r>
      <w:r>
        <w:rPr>
          <w:w w:val="97"/>
        </w:rPr>
        <w:t> </w:t>
      </w:r>
      <w:r>
        <w:rPr>
          <w:spacing w:val="3"/>
          <w:w w:val="88"/>
        </w:rPr>
        <w:t>1,800</w:t>
      </w:r>
      <w:r>
        <w:rPr>
          <w:w w:val="88"/>
        </w:rPr>
        <w:t> </w:t>
      </w:r>
      <w:r>
        <w:rPr>
          <w:spacing w:val="1"/>
          <w:w w:val="96"/>
        </w:rPr>
        <w:t>instances</w:t>
      </w:r>
      <w:r>
        <w:rPr>
          <w:w w:val="96"/>
        </w:rPr>
        <w:t> </w:t>
      </w:r>
      <w:r>
        <w:rPr>
          <w:w w:val="99"/>
        </w:rPr>
        <w:t>of </w:t>
      </w:r>
      <w:r>
        <w:rPr>
          <w:spacing w:val="1"/>
          <w:w w:val="97"/>
        </w:rPr>
        <w:t>University</w:t>
      </w:r>
      <w:r>
        <w:rPr>
          <w:w w:val="97"/>
        </w:rPr>
        <w:t> </w:t>
      </w:r>
      <w:r>
        <w:rPr/>
        <w:t>students</w:t>
      </w:r>
      <w:r>
        <w:rPr>
          <w:spacing w:val="-21"/>
        </w:rPr>
        <w:t> </w:t>
      </w:r>
      <w:r>
        <w:rPr/>
        <w:t>gaining</w:t>
      </w:r>
      <w:r>
        <w:rPr>
          <w:spacing w:val="-21"/>
        </w:rPr>
        <w:t> </w:t>
      </w:r>
      <w:r>
        <w:rPr/>
        <w:t>value</w:t>
      </w:r>
      <w:r>
        <w:rPr>
          <w:spacing w:val="-21"/>
        </w:rPr>
        <w:t> </w:t>
      </w:r>
      <w:r>
        <w:rPr/>
        <w:t>from</w:t>
      </w:r>
      <w:r>
        <w:rPr>
          <w:spacing w:val="-21"/>
        </w:rPr>
        <w:t> </w:t>
      </w:r>
      <w:r>
        <w:rPr/>
        <w:t>their</w:t>
      </w:r>
      <w:r>
        <w:rPr>
          <w:spacing w:val="-21"/>
        </w:rPr>
        <w:t> </w:t>
      </w:r>
      <w:r>
        <w:rPr/>
        <w:t>involvement.</w:t>
      </w:r>
    </w:p>
    <w:p>
      <w:pPr>
        <w:pStyle w:val="BodyText"/>
        <w:rPr>
          <w:sz w:val="14"/>
        </w:rPr>
      </w:pPr>
    </w:p>
    <w:p>
      <w:pPr>
        <w:pStyle w:val="BodyText"/>
        <w:spacing w:line="249" w:lineRule="auto"/>
        <w:ind w:left="107" w:right="527"/>
      </w:pPr>
      <w:r>
        <w:rPr/>
        <w:t>The findings of the review informed </w:t>
      </w:r>
      <w:r>
        <w:rPr>
          <w:w w:val="97"/>
        </w:rPr>
        <w:t>the </w:t>
      </w:r>
      <w:r>
        <w:rPr>
          <w:w w:val="98"/>
        </w:rPr>
        <w:t>development </w:t>
      </w:r>
      <w:r>
        <w:rPr>
          <w:w w:val="99"/>
        </w:rPr>
        <w:t>of </w:t>
      </w:r>
      <w:r>
        <w:rPr>
          <w:w w:val="94"/>
        </w:rPr>
        <w:t>a </w:t>
      </w:r>
      <w:r>
        <w:rPr>
          <w:w w:val="85"/>
        </w:rPr>
        <w:t>2017–19 </w:t>
      </w:r>
      <w:r>
        <w:rPr>
          <w:w w:val="98"/>
        </w:rPr>
        <w:t>Schools </w:t>
      </w:r>
      <w:r>
        <w:rPr/>
        <w:t>Engagement Strategic Plan under the aegis of the Reference Group.</w:t>
      </w:r>
    </w:p>
    <w:p>
      <w:pPr>
        <w:pStyle w:val="BodyText"/>
        <w:spacing w:before="3"/>
        <w:rPr>
          <w:sz w:val="19"/>
        </w:rPr>
      </w:pPr>
    </w:p>
    <w:p>
      <w:pPr>
        <w:pStyle w:val="Heading7"/>
      </w:pPr>
      <w:r>
        <w:rPr>
          <w:w w:val="95"/>
        </w:rPr>
        <w:t>STUDENT SUPPORT SERVICES</w:t>
      </w:r>
    </w:p>
    <w:p>
      <w:pPr>
        <w:pStyle w:val="BodyText"/>
        <w:spacing w:line="249" w:lineRule="auto" w:before="58"/>
        <w:ind w:left="107" w:right="98"/>
      </w:pPr>
      <w:r>
        <w:rPr/>
        <w:t>Western Sydney University is committed to supporting all enrolled students to optimise success. All support services are aimed at optimising student retention and involve developing strong partnerships with various areas within the University and external partners. Students and peers also have the opportunity to get involved in developing and delivering services and programs.</w:t>
      </w:r>
    </w:p>
    <w:p>
      <w:pPr>
        <w:pStyle w:val="BodyText"/>
        <w:spacing w:before="3"/>
        <w:rPr>
          <w:sz w:val="19"/>
        </w:rPr>
      </w:pPr>
    </w:p>
    <w:p>
      <w:pPr>
        <w:pStyle w:val="Heading7"/>
      </w:pPr>
      <w:r>
        <w:rPr>
          <w:w w:val="95"/>
        </w:rPr>
        <w:t>DEMAND FOR SERVICES</w:t>
      </w:r>
    </w:p>
    <w:p>
      <w:pPr>
        <w:pStyle w:val="BodyText"/>
        <w:spacing w:line="249" w:lineRule="auto" w:before="58"/>
        <w:ind w:left="107" w:right="64"/>
      </w:pPr>
      <w:r>
        <w:rPr>
          <w:spacing w:val="2"/>
          <w:w w:val="103"/>
        </w:rPr>
        <w:t>As</w:t>
      </w:r>
      <w:r>
        <w:rPr>
          <w:w w:val="103"/>
        </w:rPr>
        <w:t> </w:t>
      </w:r>
      <w:r>
        <w:rPr>
          <w:w w:val="98"/>
        </w:rPr>
        <w:t>at </w:t>
      </w:r>
      <w:r>
        <w:rPr>
          <w:spacing w:val="1"/>
          <w:w w:val="96"/>
        </w:rPr>
        <w:t>early</w:t>
      </w:r>
      <w:r>
        <w:rPr>
          <w:w w:val="96"/>
        </w:rPr>
        <w:t> </w:t>
      </w:r>
      <w:r>
        <w:rPr>
          <w:spacing w:val="1"/>
          <w:w w:val="98"/>
        </w:rPr>
        <w:t>December</w:t>
      </w:r>
      <w:r>
        <w:rPr>
          <w:w w:val="98"/>
        </w:rPr>
        <w:t> </w:t>
      </w:r>
      <w:r>
        <w:rPr>
          <w:spacing w:val="2"/>
          <w:w w:val="85"/>
        </w:rPr>
        <w:t>2016,</w:t>
      </w:r>
      <w:r>
        <w:rPr>
          <w:w w:val="85"/>
        </w:rPr>
        <w:t> </w:t>
      </w:r>
      <w:r>
        <w:rPr>
          <w:spacing w:val="-1"/>
          <w:w w:val="93"/>
        </w:rPr>
        <w:t>7,240</w:t>
      </w:r>
      <w:r>
        <w:rPr>
          <w:w w:val="93"/>
        </w:rPr>
        <w:t> </w:t>
      </w:r>
      <w:r>
        <w:rPr>
          <w:spacing w:val="1"/>
          <w:w w:val="97"/>
        </w:rPr>
        <w:t>individual</w:t>
      </w:r>
      <w:r>
        <w:rPr>
          <w:w w:val="97"/>
        </w:rPr>
        <w:t> </w:t>
      </w:r>
      <w:r>
        <w:rPr/>
        <w:t>students</w:t>
      </w:r>
      <w:r>
        <w:rPr>
          <w:spacing w:val="-14"/>
        </w:rPr>
        <w:t> </w:t>
      </w:r>
      <w:r>
        <w:rPr/>
        <w:t>had</w:t>
      </w:r>
      <w:r>
        <w:rPr>
          <w:spacing w:val="-14"/>
        </w:rPr>
        <w:t> </w:t>
      </w:r>
      <w:r>
        <w:rPr/>
        <w:t>accessed</w:t>
      </w:r>
      <w:r>
        <w:rPr>
          <w:spacing w:val="-14"/>
        </w:rPr>
        <w:t> </w:t>
      </w:r>
      <w:r>
        <w:rPr/>
        <w:t>Health</w:t>
      </w:r>
      <w:r>
        <w:rPr>
          <w:spacing w:val="-14"/>
        </w:rPr>
        <w:t> </w:t>
      </w:r>
      <w:r>
        <w:rPr/>
        <w:t>and</w:t>
      </w:r>
      <w:r>
        <w:rPr>
          <w:spacing w:val="-14"/>
        </w:rPr>
        <w:t> </w:t>
      </w:r>
      <w:r>
        <w:rPr/>
        <w:t>Wellbeing services</w:t>
      </w:r>
      <w:r>
        <w:rPr>
          <w:spacing w:val="-16"/>
        </w:rPr>
        <w:t> </w:t>
      </w:r>
      <w:r>
        <w:rPr/>
        <w:t>(including</w:t>
      </w:r>
      <w:r>
        <w:rPr>
          <w:spacing w:val="-16"/>
        </w:rPr>
        <w:t> </w:t>
      </w:r>
      <w:r>
        <w:rPr/>
        <w:t>counselling,</w:t>
      </w:r>
      <w:r>
        <w:rPr>
          <w:spacing w:val="-16"/>
        </w:rPr>
        <w:t> </w:t>
      </w:r>
      <w:r>
        <w:rPr/>
        <w:t>disability</w:t>
      </w:r>
      <w:r>
        <w:rPr>
          <w:spacing w:val="-16"/>
        </w:rPr>
        <w:t> </w:t>
      </w:r>
      <w:r>
        <w:rPr/>
        <w:t>and welfare). The Counselling Service provided </w:t>
      </w:r>
      <w:r>
        <w:rPr>
          <w:spacing w:val="1"/>
          <w:w w:val="96"/>
        </w:rPr>
        <w:t>assistance</w:t>
      </w:r>
      <w:r>
        <w:rPr>
          <w:w w:val="96"/>
        </w:rPr>
        <w:t> </w:t>
      </w:r>
      <w:r>
        <w:rPr>
          <w:spacing w:val="1"/>
          <w:w w:val="98"/>
        </w:rPr>
        <w:t>on</w:t>
      </w:r>
      <w:r>
        <w:rPr>
          <w:w w:val="98"/>
        </w:rPr>
        <w:t> </w:t>
      </w:r>
      <w:r>
        <w:rPr>
          <w:spacing w:val="-1"/>
          <w:w w:val="83"/>
        </w:rPr>
        <w:t>7,071</w:t>
      </w:r>
      <w:r>
        <w:rPr>
          <w:w w:val="83"/>
        </w:rPr>
        <w:t> </w:t>
      </w:r>
      <w:r>
        <w:rPr>
          <w:spacing w:val="1"/>
          <w:w w:val="95"/>
        </w:rPr>
        <w:t>occasions,</w:t>
      </w:r>
      <w:r>
        <w:rPr>
          <w:w w:val="95"/>
        </w:rPr>
        <w:t> </w:t>
      </w:r>
      <w:r>
        <w:rPr>
          <w:spacing w:val="1"/>
          <w:w w:val="97"/>
        </w:rPr>
        <w:t>and</w:t>
      </w:r>
      <w:r>
        <w:rPr>
          <w:w w:val="97"/>
        </w:rPr>
        <w:t> </w:t>
      </w:r>
      <w:r>
        <w:rPr>
          <w:w w:val="97"/>
        </w:rPr>
        <w:t>the </w:t>
      </w:r>
      <w:r>
        <w:rPr/>
        <w:t>Student Welfare Service provided assistance on </w:t>
      </w:r>
      <w:r>
        <w:rPr>
          <w:spacing w:val="2"/>
        </w:rPr>
        <w:t>6,711 </w:t>
      </w:r>
      <w:r>
        <w:rPr/>
        <w:t>occasions. The number of new Academic</w:t>
      </w:r>
      <w:r>
        <w:rPr>
          <w:spacing w:val="-17"/>
        </w:rPr>
        <w:t> </w:t>
      </w:r>
      <w:r>
        <w:rPr/>
        <w:t>Integration</w:t>
      </w:r>
      <w:r>
        <w:rPr>
          <w:spacing w:val="-17"/>
        </w:rPr>
        <w:t> </w:t>
      </w:r>
      <w:r>
        <w:rPr/>
        <w:t>Plans</w:t>
      </w:r>
      <w:r>
        <w:rPr>
          <w:spacing w:val="-17"/>
        </w:rPr>
        <w:t> </w:t>
      </w:r>
      <w:r>
        <w:rPr/>
        <w:t>(AIPs)</w:t>
      </w:r>
      <w:r>
        <w:rPr>
          <w:spacing w:val="-17"/>
        </w:rPr>
        <w:t> </w:t>
      </w:r>
      <w:r>
        <w:rPr/>
        <w:t>completed </w:t>
      </w:r>
      <w:r>
        <w:rPr>
          <w:spacing w:val="1"/>
          <w:w w:val="97"/>
        </w:rPr>
        <w:t>increased</w:t>
      </w:r>
      <w:r>
        <w:rPr>
          <w:w w:val="97"/>
        </w:rPr>
        <w:t> </w:t>
      </w:r>
      <w:r>
        <w:rPr>
          <w:spacing w:val="-1"/>
          <w:w w:val="102"/>
        </w:rPr>
        <w:t>by</w:t>
      </w:r>
      <w:r>
        <w:rPr>
          <w:w w:val="102"/>
        </w:rPr>
        <w:t> </w:t>
      </w:r>
      <w:r>
        <w:rPr>
          <w:spacing w:val="2"/>
          <w:w w:val="81"/>
        </w:rPr>
        <w:t>15.52</w:t>
      </w:r>
      <w:r>
        <w:rPr>
          <w:w w:val="81"/>
        </w:rPr>
        <w:t> </w:t>
      </w:r>
      <w:r>
        <w:rPr>
          <w:spacing w:val="1"/>
          <w:w w:val="97"/>
        </w:rPr>
        <w:t>per</w:t>
      </w:r>
      <w:r>
        <w:rPr>
          <w:w w:val="97"/>
        </w:rPr>
        <w:t> </w:t>
      </w:r>
      <w:r>
        <w:rPr>
          <w:w w:val="99"/>
        </w:rPr>
        <w:t>cent </w:t>
      </w:r>
      <w:r>
        <w:rPr>
          <w:w w:val="95"/>
        </w:rPr>
        <w:t>in </w:t>
      </w:r>
      <w:r>
        <w:rPr>
          <w:spacing w:val="2"/>
          <w:w w:val="85"/>
        </w:rPr>
        <w:t>2016.</w:t>
      </w:r>
      <w:r>
        <w:rPr>
          <w:w w:val="85"/>
        </w:rPr>
        <w:t> </w:t>
      </w:r>
      <w:r>
        <w:rPr>
          <w:w w:val="98"/>
        </w:rPr>
        <w:t>Physical </w:t>
      </w:r>
      <w:r>
        <w:rPr/>
        <w:t>or</w:t>
      </w:r>
      <w:r>
        <w:rPr>
          <w:spacing w:val="-15"/>
        </w:rPr>
        <w:t> </w:t>
      </w:r>
      <w:r>
        <w:rPr/>
        <w:t>mobility</w:t>
      </w:r>
      <w:r>
        <w:rPr>
          <w:spacing w:val="-15"/>
        </w:rPr>
        <w:t> </w:t>
      </w:r>
      <w:r>
        <w:rPr/>
        <w:t>disability</w:t>
      </w:r>
      <w:r>
        <w:rPr>
          <w:spacing w:val="-15"/>
        </w:rPr>
        <w:t> </w:t>
      </w:r>
      <w:r>
        <w:rPr/>
        <w:t>and</w:t>
      </w:r>
      <w:r>
        <w:rPr>
          <w:spacing w:val="-15"/>
        </w:rPr>
        <w:t> </w:t>
      </w:r>
      <w:r>
        <w:rPr/>
        <w:t>mental</w:t>
      </w:r>
      <w:r>
        <w:rPr>
          <w:spacing w:val="-15"/>
        </w:rPr>
        <w:t> </w:t>
      </w:r>
      <w:r>
        <w:rPr/>
        <w:t>health</w:t>
      </w:r>
      <w:r>
        <w:rPr>
          <w:spacing w:val="-15"/>
        </w:rPr>
        <w:t> </w:t>
      </w:r>
      <w:r>
        <w:rPr/>
        <w:t>issues</w:t>
      </w:r>
    </w:p>
    <w:p>
      <w:pPr>
        <w:pStyle w:val="BodyText"/>
        <w:spacing w:line="249" w:lineRule="auto"/>
        <w:ind w:left="107" w:right="-3"/>
      </w:pPr>
      <w:r>
        <w:rPr/>
        <w:t>represented</w:t>
      </w:r>
      <w:r>
        <w:rPr>
          <w:spacing w:val="-28"/>
        </w:rPr>
        <w:t> </w:t>
      </w:r>
      <w:r>
        <w:rPr>
          <w:spacing w:val="2"/>
        </w:rPr>
        <w:t>25.16</w:t>
      </w:r>
      <w:r>
        <w:rPr>
          <w:spacing w:val="-28"/>
        </w:rPr>
        <w:t> </w:t>
      </w:r>
      <w:r>
        <w:rPr/>
        <w:t>per</w:t>
      </w:r>
      <w:r>
        <w:rPr>
          <w:spacing w:val="-28"/>
        </w:rPr>
        <w:t> </w:t>
      </w:r>
      <w:r>
        <w:rPr/>
        <w:t>cent</w:t>
      </w:r>
      <w:r>
        <w:rPr>
          <w:spacing w:val="-28"/>
        </w:rPr>
        <w:t> </w:t>
      </w:r>
      <w:r>
        <w:rPr/>
        <w:t>and</w:t>
      </w:r>
      <w:r>
        <w:rPr>
          <w:spacing w:val="-28"/>
        </w:rPr>
        <w:t> </w:t>
      </w:r>
      <w:r>
        <w:rPr>
          <w:spacing w:val="4"/>
        </w:rPr>
        <w:t>44.84</w:t>
      </w:r>
      <w:r>
        <w:rPr>
          <w:spacing w:val="-28"/>
        </w:rPr>
        <w:t> </w:t>
      </w:r>
      <w:r>
        <w:rPr/>
        <w:t>per</w:t>
      </w:r>
      <w:r>
        <w:rPr>
          <w:spacing w:val="-28"/>
        </w:rPr>
        <w:t> </w:t>
      </w:r>
      <w:r>
        <w:rPr/>
        <w:t>cent, </w:t>
      </w:r>
      <w:r>
        <w:rPr>
          <w:w w:val="96"/>
        </w:rPr>
        <w:t>respectively, </w:t>
      </w:r>
      <w:r>
        <w:rPr>
          <w:w w:val="99"/>
        </w:rPr>
        <w:t>of </w:t>
      </w:r>
      <w:r>
        <w:rPr>
          <w:w w:val="95"/>
        </w:rPr>
        <w:t>all </w:t>
      </w:r>
      <w:r>
        <w:rPr>
          <w:w w:val="97"/>
        </w:rPr>
        <w:t>new </w:t>
      </w:r>
      <w:r>
        <w:rPr>
          <w:spacing w:val="2"/>
          <w:w w:val="94"/>
        </w:rPr>
        <w:t>AIPs</w:t>
      </w:r>
      <w:r>
        <w:rPr>
          <w:w w:val="94"/>
        </w:rPr>
        <w:t> </w:t>
      </w:r>
      <w:r>
        <w:rPr>
          <w:w w:val="98"/>
        </w:rPr>
        <w:t>created </w:t>
      </w:r>
      <w:r>
        <w:rPr>
          <w:w w:val="95"/>
        </w:rPr>
        <w:t>in</w:t>
      </w:r>
      <w:r>
        <w:rPr>
          <w:spacing w:val="-33"/>
          <w:w w:val="95"/>
        </w:rPr>
        <w:t> </w:t>
      </w:r>
      <w:r>
        <w:rPr>
          <w:spacing w:val="2"/>
          <w:w w:val="85"/>
        </w:rPr>
        <w:t>2016.</w:t>
      </w:r>
    </w:p>
    <w:p>
      <w:pPr>
        <w:pStyle w:val="BodyText"/>
        <w:rPr>
          <w:sz w:val="14"/>
        </w:rPr>
      </w:pPr>
    </w:p>
    <w:p>
      <w:pPr>
        <w:pStyle w:val="BodyText"/>
        <w:spacing w:line="249" w:lineRule="auto"/>
        <w:ind w:left="107" w:right="169"/>
      </w:pPr>
      <w:r>
        <w:rPr/>
        <w:t>All services are provided in multi modal delivery including face-to-face, telephone, Skype and online. The opportunity to offer </w:t>
      </w:r>
      <w:r>
        <w:rPr>
          <w:w w:val="94"/>
        </w:rPr>
        <w:t>a </w:t>
      </w:r>
      <w:r>
        <w:rPr>
          <w:w w:val="95"/>
        </w:rPr>
        <w:t>real </w:t>
      </w:r>
      <w:r>
        <w:rPr>
          <w:spacing w:val="1"/>
          <w:w w:val="92"/>
        </w:rPr>
        <w:t>time,</w:t>
      </w:r>
      <w:r>
        <w:rPr>
          <w:w w:val="92"/>
        </w:rPr>
        <w:t> </w:t>
      </w:r>
      <w:r>
        <w:rPr>
          <w:spacing w:val="-1"/>
          <w:w w:val="97"/>
        </w:rPr>
        <w:t>live</w:t>
      </w:r>
      <w:r>
        <w:rPr>
          <w:w w:val="97"/>
        </w:rPr>
        <w:t> </w:t>
      </w:r>
      <w:r>
        <w:rPr>
          <w:w w:val="98"/>
        </w:rPr>
        <w:t>chat </w:t>
      </w:r>
      <w:r>
        <w:rPr>
          <w:spacing w:val="1"/>
          <w:w w:val="97"/>
        </w:rPr>
        <w:t>service</w:t>
      </w:r>
      <w:r>
        <w:rPr>
          <w:w w:val="97"/>
        </w:rPr>
        <w:t> </w:t>
      </w:r>
      <w:r>
        <w:rPr>
          <w:w w:val="95"/>
        </w:rPr>
        <w:t>in </w:t>
      </w:r>
      <w:r>
        <w:rPr>
          <w:w w:val="87"/>
        </w:rPr>
        <w:t>2017 </w:t>
      </w:r>
      <w:r>
        <w:rPr>
          <w:w w:val="95"/>
        </w:rPr>
        <w:t>is </w:t>
      </w:r>
      <w:r>
        <w:rPr>
          <w:spacing w:val="1"/>
          <w:w w:val="98"/>
        </w:rPr>
        <w:t>being</w:t>
      </w:r>
      <w:r>
        <w:rPr>
          <w:w w:val="98"/>
        </w:rPr>
        <w:t> </w:t>
      </w:r>
      <w:r>
        <w:rPr/>
        <w:t>explored.</w:t>
      </w:r>
      <w:r>
        <w:rPr>
          <w:spacing w:val="-18"/>
        </w:rPr>
        <w:t> </w:t>
      </w:r>
      <w:r>
        <w:rPr/>
        <w:t>Same</w:t>
      </w:r>
      <w:r>
        <w:rPr>
          <w:spacing w:val="-18"/>
        </w:rPr>
        <w:t> </w:t>
      </w:r>
      <w:r>
        <w:rPr/>
        <w:t>day</w:t>
      </w:r>
      <w:r>
        <w:rPr>
          <w:spacing w:val="-18"/>
        </w:rPr>
        <w:t> </w:t>
      </w:r>
      <w:r>
        <w:rPr/>
        <w:t>appointments</w:t>
      </w:r>
      <w:r>
        <w:rPr>
          <w:spacing w:val="-18"/>
        </w:rPr>
        <w:t> </w:t>
      </w:r>
      <w:r>
        <w:rPr/>
        <w:t>across</w:t>
      </w:r>
      <w:r>
        <w:rPr>
          <w:spacing w:val="-18"/>
        </w:rPr>
        <w:t> </w:t>
      </w:r>
      <w:r>
        <w:rPr/>
        <w:t>all</w:t>
      </w:r>
    </w:p>
    <w:p>
      <w:pPr>
        <w:pStyle w:val="BodyText"/>
        <w:spacing w:line="249" w:lineRule="auto"/>
        <w:ind w:left="107" w:right="119"/>
        <w:jc w:val="both"/>
      </w:pPr>
      <w:r>
        <w:rPr>
          <w:spacing w:val="2"/>
          <w:w w:val="97"/>
        </w:rPr>
        <w:t>campuses</w:t>
      </w:r>
      <w:r>
        <w:rPr>
          <w:spacing w:val="-10"/>
          <w:w w:val="97"/>
        </w:rPr>
        <w:t> </w:t>
      </w:r>
      <w:r>
        <w:rPr>
          <w:w w:val="97"/>
        </w:rPr>
        <w:t>were</w:t>
      </w:r>
      <w:r>
        <w:rPr>
          <w:spacing w:val="-9"/>
          <w:w w:val="97"/>
        </w:rPr>
        <w:t> </w:t>
      </w:r>
      <w:r>
        <w:rPr>
          <w:spacing w:val="1"/>
          <w:w w:val="97"/>
        </w:rPr>
        <w:t>increased</w:t>
      </w:r>
      <w:r>
        <w:rPr>
          <w:spacing w:val="-9"/>
          <w:w w:val="97"/>
        </w:rPr>
        <w:t> </w:t>
      </w:r>
      <w:r>
        <w:rPr>
          <w:w w:val="95"/>
        </w:rPr>
        <w:t>in</w:t>
      </w:r>
      <w:r>
        <w:rPr>
          <w:spacing w:val="-9"/>
          <w:w w:val="95"/>
        </w:rPr>
        <w:t> </w:t>
      </w:r>
      <w:r>
        <w:rPr>
          <w:spacing w:val="1"/>
          <w:w w:val="90"/>
        </w:rPr>
        <w:t>2016</w:t>
      </w:r>
      <w:r>
        <w:rPr>
          <w:spacing w:val="-6"/>
          <w:w w:val="90"/>
        </w:rPr>
        <w:t> </w:t>
      </w:r>
      <w:r>
        <w:rPr>
          <w:spacing w:val="-1"/>
          <w:w w:val="101"/>
        </w:rPr>
        <w:t>to</w:t>
      </w:r>
      <w:r>
        <w:rPr>
          <w:spacing w:val="-12"/>
          <w:w w:val="101"/>
        </w:rPr>
        <w:t> </w:t>
      </w:r>
      <w:r>
        <w:rPr>
          <w:spacing w:val="1"/>
          <w:w w:val="96"/>
        </w:rPr>
        <w:t>increase</w:t>
      </w:r>
      <w:r>
        <w:rPr>
          <w:w w:val="96"/>
        </w:rPr>
        <w:t> </w:t>
      </w:r>
      <w:r>
        <w:rPr/>
        <w:t>responsiveness</w:t>
      </w:r>
      <w:r>
        <w:rPr>
          <w:spacing w:val="-17"/>
        </w:rPr>
        <w:t> </w:t>
      </w:r>
      <w:r>
        <w:rPr/>
        <w:t>and</w:t>
      </w:r>
      <w:r>
        <w:rPr>
          <w:spacing w:val="-17"/>
        </w:rPr>
        <w:t> </w:t>
      </w:r>
      <w:r>
        <w:rPr/>
        <w:t>reduce</w:t>
      </w:r>
      <w:r>
        <w:rPr>
          <w:spacing w:val="-17"/>
        </w:rPr>
        <w:t> </w:t>
      </w:r>
      <w:r>
        <w:rPr/>
        <w:t>waiting</w:t>
      </w:r>
      <w:r>
        <w:rPr>
          <w:spacing w:val="-17"/>
        </w:rPr>
        <w:t> </w:t>
      </w:r>
      <w:r>
        <w:rPr/>
        <w:t>times</w:t>
      </w:r>
      <w:r>
        <w:rPr>
          <w:spacing w:val="-17"/>
        </w:rPr>
        <w:t> </w:t>
      </w:r>
      <w:r>
        <w:rPr/>
        <w:t>for new</w:t>
      </w:r>
      <w:r>
        <w:rPr>
          <w:spacing w:val="-22"/>
        </w:rPr>
        <w:t> </w:t>
      </w:r>
      <w:r>
        <w:rPr/>
        <w:t>and</w:t>
      </w:r>
      <w:r>
        <w:rPr>
          <w:spacing w:val="-22"/>
        </w:rPr>
        <w:t> </w:t>
      </w:r>
      <w:r>
        <w:rPr/>
        <w:t>urgent</w:t>
      </w:r>
      <w:r>
        <w:rPr>
          <w:spacing w:val="-22"/>
        </w:rPr>
        <w:t> </w:t>
      </w:r>
      <w:r>
        <w:rPr/>
        <w:t>clients.</w:t>
      </w:r>
    </w:p>
    <w:p>
      <w:pPr>
        <w:pStyle w:val="BodyText"/>
        <w:rPr>
          <w:sz w:val="14"/>
        </w:rPr>
      </w:pPr>
    </w:p>
    <w:p>
      <w:pPr>
        <w:pStyle w:val="BodyText"/>
        <w:spacing w:line="249" w:lineRule="auto"/>
        <w:ind w:left="107" w:right="-2"/>
      </w:pPr>
      <w:r>
        <w:rPr/>
        <w:t>The Peer Assisted Study Sessions (PASS) program reached a total of </w:t>
      </w:r>
      <w:r>
        <w:rPr>
          <w:spacing w:val="3"/>
        </w:rPr>
        <w:t>23,553 </w:t>
      </w:r>
      <w:r>
        <w:rPr/>
        <w:t>contact hours</w:t>
      </w:r>
      <w:r>
        <w:rPr>
          <w:spacing w:val="-18"/>
        </w:rPr>
        <w:t> </w:t>
      </w:r>
      <w:r>
        <w:rPr/>
        <w:t>across</w:t>
      </w:r>
      <w:r>
        <w:rPr>
          <w:spacing w:val="-18"/>
        </w:rPr>
        <w:t> </w:t>
      </w:r>
      <w:r>
        <w:rPr/>
        <w:t>the</w:t>
      </w:r>
      <w:r>
        <w:rPr>
          <w:spacing w:val="-18"/>
        </w:rPr>
        <w:t> </w:t>
      </w:r>
      <w:r>
        <w:rPr/>
        <w:t>three</w:t>
      </w:r>
      <w:r>
        <w:rPr>
          <w:spacing w:val="-18"/>
        </w:rPr>
        <w:t> </w:t>
      </w:r>
      <w:r>
        <w:rPr/>
        <w:t>programs</w:t>
      </w:r>
      <w:r>
        <w:rPr>
          <w:spacing w:val="-18"/>
        </w:rPr>
        <w:t> </w:t>
      </w:r>
      <w:r>
        <w:rPr/>
        <w:t>for</w:t>
      </w:r>
      <w:r>
        <w:rPr>
          <w:spacing w:val="-18"/>
        </w:rPr>
        <w:t> </w:t>
      </w:r>
      <w:r>
        <w:rPr/>
        <w:t>Summer</w:t>
      </w:r>
    </w:p>
    <w:p>
      <w:pPr>
        <w:pStyle w:val="BodyText"/>
        <w:spacing w:before="9"/>
      </w:pPr>
      <w:r>
        <w:rPr/>
        <w:br w:type="column"/>
      </w:r>
      <w:r>
        <w:rPr/>
      </w:r>
    </w:p>
    <w:p>
      <w:pPr>
        <w:pStyle w:val="BodyText"/>
        <w:spacing w:line="249" w:lineRule="auto" w:before="1"/>
        <w:ind w:left="107" w:right="149"/>
      </w:pPr>
      <w:r>
        <w:rPr>
          <w:w w:val="89"/>
        </w:rPr>
        <w:t>2015/2016, </w:t>
      </w:r>
      <w:r>
        <w:rPr>
          <w:w w:val="99"/>
        </w:rPr>
        <w:t>Autumn </w:t>
      </w:r>
      <w:r>
        <w:rPr>
          <w:w w:val="90"/>
        </w:rPr>
        <w:t>2016 </w:t>
      </w:r>
      <w:r>
        <w:rPr>
          <w:w w:val="97"/>
        </w:rPr>
        <w:t>and </w:t>
      </w:r>
      <w:r>
        <w:rPr>
          <w:w w:val="98"/>
        </w:rPr>
        <w:t>Spring </w:t>
      </w:r>
      <w:r>
        <w:rPr>
          <w:w w:val="85"/>
        </w:rPr>
        <w:t>2016. </w:t>
      </w:r>
      <w:r>
        <w:rPr/>
        <w:t>Some 2,276 individual students attended </w:t>
      </w:r>
      <w:r>
        <w:rPr>
          <w:w w:val="97"/>
        </w:rPr>
        <w:t>the </w:t>
      </w:r>
      <w:r>
        <w:rPr>
          <w:w w:val="103"/>
        </w:rPr>
        <w:t>PASS </w:t>
      </w:r>
      <w:r>
        <w:rPr>
          <w:w w:val="99"/>
        </w:rPr>
        <w:t>Autumn </w:t>
      </w:r>
      <w:r>
        <w:rPr>
          <w:w w:val="90"/>
        </w:rPr>
        <w:t>2016 </w:t>
      </w:r>
      <w:r>
        <w:rPr>
          <w:w w:val="94"/>
        </w:rPr>
        <w:t>program, </w:t>
      </w:r>
      <w:r>
        <w:rPr>
          <w:w w:val="97"/>
        </w:rPr>
        <w:t>and </w:t>
      </w:r>
      <w:r>
        <w:rPr>
          <w:w w:val="94"/>
        </w:rPr>
        <w:t>a </w:t>
      </w:r>
      <w:r>
        <w:rPr>
          <w:w w:val="97"/>
        </w:rPr>
        <w:t>further </w:t>
      </w:r>
      <w:r>
        <w:rPr>
          <w:w w:val="85"/>
        </w:rPr>
        <w:t>1,830 </w:t>
      </w:r>
      <w:r>
        <w:rPr>
          <w:w w:val="97"/>
        </w:rPr>
        <w:t>individual </w:t>
      </w:r>
      <w:r>
        <w:rPr>
          <w:w w:val="97"/>
        </w:rPr>
        <w:t>students </w:t>
      </w:r>
      <w:r>
        <w:rPr>
          <w:w w:val="98"/>
        </w:rPr>
        <w:t>attended</w:t>
      </w:r>
    </w:p>
    <w:p>
      <w:pPr>
        <w:pStyle w:val="BodyText"/>
        <w:spacing w:line="249" w:lineRule="auto"/>
        <w:ind w:left="107" w:right="28"/>
      </w:pPr>
      <w:r>
        <w:rPr/>
        <w:t>throughout</w:t>
      </w:r>
      <w:r>
        <w:rPr>
          <w:spacing w:val="-28"/>
        </w:rPr>
        <w:t> </w:t>
      </w:r>
      <w:r>
        <w:rPr/>
        <w:t>Spring.</w:t>
      </w:r>
      <w:r>
        <w:rPr>
          <w:spacing w:val="-28"/>
        </w:rPr>
        <w:t> </w:t>
      </w:r>
      <w:r>
        <w:rPr/>
        <w:t>In</w:t>
      </w:r>
      <w:r>
        <w:rPr>
          <w:spacing w:val="-28"/>
        </w:rPr>
        <w:t> </w:t>
      </w:r>
      <w:r>
        <w:rPr/>
        <w:t>addition,</w:t>
      </w:r>
      <w:r>
        <w:rPr>
          <w:spacing w:val="-28"/>
        </w:rPr>
        <w:t> </w:t>
      </w:r>
      <w:r>
        <w:rPr>
          <w:spacing w:val="-3"/>
        </w:rPr>
        <w:t>17.7</w:t>
      </w:r>
      <w:r>
        <w:rPr>
          <w:spacing w:val="-28"/>
        </w:rPr>
        <w:t> </w:t>
      </w:r>
      <w:r>
        <w:rPr/>
        <w:t>per</w:t>
      </w:r>
      <w:r>
        <w:rPr>
          <w:spacing w:val="-28"/>
        </w:rPr>
        <w:t> </w:t>
      </w:r>
      <w:r>
        <w:rPr/>
        <w:t>cent</w:t>
      </w:r>
      <w:r>
        <w:rPr>
          <w:spacing w:val="-28"/>
        </w:rPr>
        <w:t> </w:t>
      </w:r>
      <w:r>
        <w:rPr/>
        <w:t>of Autumn</w:t>
      </w:r>
      <w:r>
        <w:rPr>
          <w:spacing w:val="-20"/>
        </w:rPr>
        <w:t> </w:t>
      </w:r>
      <w:r>
        <w:rPr/>
        <w:t>attendees</w:t>
      </w:r>
      <w:r>
        <w:rPr>
          <w:spacing w:val="-20"/>
        </w:rPr>
        <w:t> </w:t>
      </w:r>
      <w:r>
        <w:rPr/>
        <w:t>and</w:t>
      </w:r>
      <w:r>
        <w:rPr>
          <w:spacing w:val="-20"/>
        </w:rPr>
        <w:t> </w:t>
      </w:r>
      <w:r>
        <w:rPr/>
        <w:t>13.7</w:t>
      </w:r>
      <w:r>
        <w:rPr>
          <w:spacing w:val="-20"/>
        </w:rPr>
        <w:t> </w:t>
      </w:r>
      <w:r>
        <w:rPr/>
        <w:t>per</w:t>
      </w:r>
      <w:r>
        <w:rPr>
          <w:spacing w:val="-20"/>
        </w:rPr>
        <w:t> </w:t>
      </w:r>
      <w:r>
        <w:rPr/>
        <w:t>cent</w:t>
      </w:r>
      <w:r>
        <w:rPr>
          <w:spacing w:val="-20"/>
        </w:rPr>
        <w:t> </w:t>
      </w:r>
      <w:r>
        <w:rPr/>
        <w:t>of</w:t>
      </w:r>
      <w:r>
        <w:rPr>
          <w:spacing w:val="-20"/>
        </w:rPr>
        <w:t> </w:t>
      </w:r>
      <w:r>
        <w:rPr/>
        <w:t>Spring attendees used PASS for more than one unit of</w:t>
      </w:r>
      <w:r>
        <w:rPr>
          <w:spacing w:val="-17"/>
        </w:rPr>
        <w:t> </w:t>
      </w:r>
      <w:r>
        <w:rPr/>
        <w:t>study</w:t>
      </w:r>
      <w:r>
        <w:rPr>
          <w:spacing w:val="-17"/>
        </w:rPr>
        <w:t> </w:t>
      </w:r>
      <w:r>
        <w:rPr/>
        <w:t>in</w:t>
      </w:r>
      <w:r>
        <w:rPr>
          <w:spacing w:val="-17"/>
        </w:rPr>
        <w:t> </w:t>
      </w:r>
      <w:r>
        <w:rPr/>
        <w:t>the</w:t>
      </w:r>
      <w:r>
        <w:rPr>
          <w:spacing w:val="-17"/>
        </w:rPr>
        <w:t> </w:t>
      </w:r>
      <w:r>
        <w:rPr/>
        <w:t>reported</w:t>
      </w:r>
      <w:r>
        <w:rPr>
          <w:spacing w:val="-17"/>
        </w:rPr>
        <w:t> </w:t>
      </w:r>
      <w:r>
        <w:rPr/>
        <w:t>teaching</w:t>
      </w:r>
      <w:r>
        <w:rPr>
          <w:spacing w:val="-17"/>
        </w:rPr>
        <w:t> </w:t>
      </w:r>
      <w:r>
        <w:rPr/>
        <w:t>session.</w:t>
      </w:r>
    </w:p>
    <w:p>
      <w:pPr>
        <w:pStyle w:val="BodyText"/>
        <w:rPr>
          <w:sz w:val="14"/>
        </w:rPr>
      </w:pPr>
    </w:p>
    <w:p>
      <w:pPr>
        <w:pStyle w:val="BodyText"/>
        <w:spacing w:line="249" w:lineRule="auto"/>
        <w:ind w:left="107" w:right="-2"/>
      </w:pPr>
      <w:r>
        <w:rPr/>
        <w:t>Implementing new processes and enhancing facilitator support reduced the number of cancelled PASS sessions by 62 per cent in </w:t>
      </w:r>
      <w:r>
        <w:rPr>
          <w:w w:val="99"/>
        </w:rPr>
        <w:t>Autumn </w:t>
      </w:r>
      <w:r>
        <w:rPr>
          <w:w w:val="85"/>
        </w:rPr>
        <w:t>2016. </w:t>
      </w:r>
      <w:r>
        <w:rPr>
          <w:w w:val="80"/>
        </w:rPr>
        <w:t>In </w:t>
      </w:r>
      <w:r>
        <w:rPr>
          <w:w w:val="97"/>
        </w:rPr>
        <w:t>response </w:t>
      </w:r>
      <w:r>
        <w:rPr>
          <w:w w:val="101"/>
        </w:rPr>
        <w:t>to </w:t>
      </w:r>
      <w:r>
        <w:rPr>
          <w:w w:val="98"/>
        </w:rPr>
        <w:t>student </w:t>
      </w:r>
      <w:r>
        <w:rPr>
          <w:w w:val="93"/>
        </w:rPr>
        <w:t>requests, </w:t>
      </w:r>
      <w:r>
        <w:rPr/>
        <w:t>the University opened seven new weekly </w:t>
      </w:r>
      <w:r>
        <w:rPr>
          <w:w w:val="96"/>
        </w:rPr>
        <w:t>session </w:t>
      </w:r>
      <w:r>
        <w:rPr>
          <w:w w:val="97"/>
        </w:rPr>
        <w:t>times </w:t>
      </w:r>
      <w:r>
        <w:rPr>
          <w:w w:val="95"/>
        </w:rPr>
        <w:t>in </w:t>
      </w:r>
      <w:r>
        <w:rPr>
          <w:w w:val="98"/>
        </w:rPr>
        <w:t>Spring </w:t>
      </w:r>
      <w:r>
        <w:rPr>
          <w:w w:val="85"/>
        </w:rPr>
        <w:t>2016, </w:t>
      </w:r>
      <w:r>
        <w:rPr>
          <w:w w:val="97"/>
        </w:rPr>
        <w:t>and </w:t>
      </w:r>
      <w:r>
        <w:rPr>
          <w:w w:val="95"/>
        </w:rPr>
        <w:t>ran </w:t>
      </w:r>
      <w:r>
        <w:rPr>
          <w:w w:val="80"/>
        </w:rPr>
        <w:t>122 </w:t>
      </w:r>
      <w:r>
        <w:rPr/>
        <w:t>additional two-hour stuvac sessions across Autumn and Spring. In total, the University</w:t>
      </w:r>
    </w:p>
    <w:p>
      <w:pPr>
        <w:pStyle w:val="BodyText"/>
        <w:spacing w:line="249" w:lineRule="auto"/>
        <w:ind w:left="107" w:right="82"/>
      </w:pPr>
      <w:r>
        <w:rPr/>
        <w:t>ran 2,766 weekly PASS sessions throughout </w:t>
      </w:r>
      <w:r>
        <w:rPr>
          <w:spacing w:val="2"/>
          <w:w w:val="85"/>
        </w:rPr>
        <w:t>2016.</w:t>
      </w:r>
      <w:r>
        <w:rPr>
          <w:w w:val="85"/>
        </w:rPr>
        <w:t> </w:t>
      </w:r>
      <w:r>
        <w:rPr>
          <w:spacing w:val="1"/>
          <w:w w:val="94"/>
        </w:rPr>
        <w:t>This</w:t>
      </w:r>
      <w:r>
        <w:rPr>
          <w:w w:val="94"/>
        </w:rPr>
        <w:t> </w:t>
      </w:r>
      <w:r>
        <w:rPr>
          <w:w w:val="97"/>
        </w:rPr>
        <w:t>more </w:t>
      </w:r>
      <w:r>
        <w:rPr>
          <w:spacing w:val="1"/>
          <w:w w:val="96"/>
        </w:rPr>
        <w:t>reliable</w:t>
      </w:r>
      <w:r>
        <w:rPr>
          <w:w w:val="96"/>
        </w:rPr>
        <w:t> </w:t>
      </w:r>
      <w:r>
        <w:rPr>
          <w:spacing w:val="1"/>
          <w:w w:val="97"/>
        </w:rPr>
        <w:t>and</w:t>
      </w:r>
      <w:r>
        <w:rPr>
          <w:w w:val="97"/>
        </w:rPr>
        <w:t> </w:t>
      </w:r>
      <w:r>
        <w:rPr>
          <w:w w:val="97"/>
        </w:rPr>
        <w:t>responsive </w:t>
      </w:r>
      <w:r>
        <w:rPr/>
        <w:t>approach to sessions was well received by students, with a 16 per cent increase in the average session size, 17.2 per cent of the enrolled cohort attending and </w:t>
      </w:r>
      <w:r>
        <w:rPr>
          <w:spacing w:val="3"/>
        </w:rPr>
        <w:t>33.3 </w:t>
      </w:r>
      <w:r>
        <w:rPr/>
        <w:t>per cent of PASS attendees being retained for five or more sessions. These measures all illustrate both</w:t>
      </w:r>
      <w:r>
        <w:rPr>
          <w:spacing w:val="-13"/>
        </w:rPr>
        <w:t> </w:t>
      </w:r>
      <w:r>
        <w:rPr/>
        <w:t>a</w:t>
      </w:r>
      <w:r>
        <w:rPr>
          <w:spacing w:val="-13"/>
        </w:rPr>
        <w:t> </w:t>
      </w:r>
      <w:r>
        <w:rPr/>
        <w:t>growing</w:t>
      </w:r>
      <w:r>
        <w:rPr>
          <w:spacing w:val="-13"/>
        </w:rPr>
        <w:t> </w:t>
      </w:r>
      <w:r>
        <w:rPr/>
        <w:t>demand</w:t>
      </w:r>
      <w:r>
        <w:rPr>
          <w:spacing w:val="-13"/>
        </w:rPr>
        <w:t> </w:t>
      </w:r>
      <w:r>
        <w:rPr/>
        <w:t>for</w:t>
      </w:r>
      <w:r>
        <w:rPr>
          <w:spacing w:val="-13"/>
        </w:rPr>
        <w:t> </w:t>
      </w:r>
      <w:r>
        <w:rPr/>
        <w:t>the</w:t>
      </w:r>
      <w:r>
        <w:rPr>
          <w:spacing w:val="-13"/>
        </w:rPr>
        <w:t> </w:t>
      </w:r>
      <w:r>
        <w:rPr/>
        <w:t>program</w:t>
      </w:r>
      <w:r>
        <w:rPr>
          <w:spacing w:val="-13"/>
        </w:rPr>
        <w:t> </w:t>
      </w:r>
      <w:r>
        <w:rPr/>
        <w:t>and a</w:t>
      </w:r>
      <w:r>
        <w:rPr>
          <w:spacing w:val="-14"/>
        </w:rPr>
        <w:t> </w:t>
      </w:r>
      <w:r>
        <w:rPr/>
        <w:t>higher</w:t>
      </w:r>
      <w:r>
        <w:rPr>
          <w:spacing w:val="-14"/>
        </w:rPr>
        <w:t> </w:t>
      </w:r>
      <w:r>
        <w:rPr/>
        <w:t>level</w:t>
      </w:r>
      <w:r>
        <w:rPr>
          <w:spacing w:val="-14"/>
        </w:rPr>
        <w:t> </w:t>
      </w:r>
      <w:r>
        <w:rPr/>
        <w:t>of</w:t>
      </w:r>
      <w:r>
        <w:rPr>
          <w:spacing w:val="-14"/>
        </w:rPr>
        <w:t> </w:t>
      </w:r>
      <w:r>
        <w:rPr/>
        <w:t>engagement</w:t>
      </w:r>
      <w:r>
        <w:rPr>
          <w:spacing w:val="-14"/>
        </w:rPr>
        <w:t> </w:t>
      </w:r>
      <w:r>
        <w:rPr/>
        <w:t>with</w:t>
      </w:r>
      <w:r>
        <w:rPr>
          <w:spacing w:val="-14"/>
        </w:rPr>
        <w:t> </w:t>
      </w:r>
      <w:r>
        <w:rPr/>
        <w:t>PASS</w:t>
      </w:r>
      <w:r>
        <w:rPr>
          <w:spacing w:val="-14"/>
        </w:rPr>
        <w:t> </w:t>
      </w:r>
      <w:r>
        <w:rPr/>
        <w:t>from attending</w:t>
      </w:r>
      <w:r>
        <w:rPr>
          <w:spacing w:val="-25"/>
        </w:rPr>
        <w:t> </w:t>
      </w:r>
      <w:r>
        <w:rPr/>
        <w:t>students.</w:t>
      </w:r>
    </w:p>
    <w:p>
      <w:pPr>
        <w:pStyle w:val="BodyText"/>
        <w:spacing w:before="3"/>
        <w:rPr>
          <w:sz w:val="19"/>
        </w:rPr>
      </w:pPr>
    </w:p>
    <w:p>
      <w:pPr>
        <w:pStyle w:val="Heading7"/>
      </w:pPr>
      <w:r>
        <w:rPr>
          <w:w w:val="95"/>
        </w:rPr>
        <w:t>ACHIEVEMENTS AND KEY ACTIVITIES</w:t>
      </w:r>
    </w:p>
    <w:p>
      <w:pPr>
        <w:spacing w:before="64"/>
        <w:ind w:left="107" w:right="-2" w:firstLine="0"/>
        <w:jc w:val="left"/>
        <w:rPr>
          <w:rFonts w:ascii="Gotham Narrow Bold"/>
          <w:b/>
          <w:sz w:val="16"/>
        </w:rPr>
      </w:pPr>
      <w:r>
        <w:rPr>
          <w:rFonts w:ascii="Gotham Narrow Bold"/>
          <w:b/>
          <w:color w:val="615C58"/>
          <w:w w:val="95"/>
          <w:sz w:val="16"/>
        </w:rPr>
        <w:t>Respect. Now. Always. Campaign</w:t>
      </w:r>
    </w:p>
    <w:p>
      <w:pPr>
        <w:pStyle w:val="BodyText"/>
        <w:spacing w:line="249" w:lineRule="auto" w:before="86"/>
        <w:ind w:left="107" w:right="7"/>
      </w:pPr>
      <w:r>
        <w:rPr/>
        <w:t>Respect.</w:t>
      </w:r>
      <w:r>
        <w:rPr>
          <w:spacing w:val="-20"/>
        </w:rPr>
        <w:t> </w:t>
      </w:r>
      <w:r>
        <w:rPr/>
        <w:t>Now.</w:t>
      </w:r>
      <w:r>
        <w:rPr>
          <w:spacing w:val="-20"/>
        </w:rPr>
        <w:t> </w:t>
      </w:r>
      <w:r>
        <w:rPr/>
        <w:t>Always.</w:t>
      </w:r>
      <w:r>
        <w:rPr>
          <w:spacing w:val="-20"/>
        </w:rPr>
        <w:t> </w:t>
      </w:r>
      <w:r>
        <w:rPr/>
        <w:t>is</w:t>
      </w:r>
      <w:r>
        <w:rPr>
          <w:spacing w:val="-20"/>
        </w:rPr>
        <w:t> </w:t>
      </w:r>
      <w:r>
        <w:rPr/>
        <w:t>an</w:t>
      </w:r>
      <w:r>
        <w:rPr>
          <w:spacing w:val="-20"/>
        </w:rPr>
        <w:t> </w:t>
      </w:r>
      <w:r>
        <w:rPr/>
        <w:t>initiative</w:t>
      </w:r>
      <w:r>
        <w:rPr>
          <w:spacing w:val="-20"/>
        </w:rPr>
        <w:t> </w:t>
      </w:r>
      <w:r>
        <w:rPr/>
        <w:t>launched by Universities Australia to ensure university campuses</w:t>
      </w:r>
      <w:r>
        <w:rPr>
          <w:spacing w:val="-14"/>
        </w:rPr>
        <w:t> </w:t>
      </w:r>
      <w:r>
        <w:rPr/>
        <w:t>are</w:t>
      </w:r>
      <w:r>
        <w:rPr>
          <w:spacing w:val="-14"/>
        </w:rPr>
        <w:t> </w:t>
      </w:r>
      <w:r>
        <w:rPr/>
        <w:t>places</w:t>
      </w:r>
      <w:r>
        <w:rPr>
          <w:spacing w:val="-14"/>
        </w:rPr>
        <w:t> </w:t>
      </w:r>
      <w:r>
        <w:rPr/>
        <w:t>of</w:t>
      </w:r>
      <w:r>
        <w:rPr>
          <w:spacing w:val="-14"/>
        </w:rPr>
        <w:t> </w:t>
      </w:r>
      <w:r>
        <w:rPr/>
        <w:t>safety</w:t>
      </w:r>
      <w:r>
        <w:rPr>
          <w:spacing w:val="-14"/>
        </w:rPr>
        <w:t> </w:t>
      </w:r>
      <w:r>
        <w:rPr/>
        <w:t>and</w:t>
      </w:r>
      <w:r>
        <w:rPr>
          <w:spacing w:val="-14"/>
        </w:rPr>
        <w:t> </w:t>
      </w:r>
      <w:r>
        <w:rPr/>
        <w:t>respect</w:t>
      </w:r>
      <w:r>
        <w:rPr>
          <w:spacing w:val="-14"/>
        </w:rPr>
        <w:t> </w:t>
      </w:r>
      <w:r>
        <w:rPr/>
        <w:t>for all students and staff members. The Health and Wellbeing services – particularly the Counselling</w:t>
      </w:r>
      <w:r>
        <w:rPr>
          <w:spacing w:val="-18"/>
        </w:rPr>
        <w:t> </w:t>
      </w:r>
      <w:r>
        <w:rPr/>
        <w:t>Service</w:t>
      </w:r>
      <w:r>
        <w:rPr>
          <w:spacing w:val="-18"/>
        </w:rPr>
        <w:t> </w:t>
      </w:r>
      <w:r>
        <w:rPr/>
        <w:t>–</w:t>
      </w:r>
      <w:r>
        <w:rPr>
          <w:spacing w:val="-18"/>
        </w:rPr>
        <w:t> </w:t>
      </w:r>
      <w:r>
        <w:rPr/>
        <w:t>have</w:t>
      </w:r>
      <w:r>
        <w:rPr>
          <w:spacing w:val="-18"/>
        </w:rPr>
        <w:t> </w:t>
      </w:r>
      <w:r>
        <w:rPr/>
        <w:t>played</w:t>
      </w:r>
      <w:r>
        <w:rPr>
          <w:spacing w:val="-18"/>
        </w:rPr>
        <w:t> </w:t>
      </w:r>
      <w:r>
        <w:rPr/>
        <w:t>an</w:t>
      </w:r>
      <w:r>
        <w:rPr>
          <w:spacing w:val="-18"/>
        </w:rPr>
        <w:t> </w:t>
      </w:r>
      <w:r>
        <w:rPr/>
        <w:t>essential role in this awareness-raising campaign and have</w:t>
      </w:r>
      <w:r>
        <w:rPr>
          <w:spacing w:val="-26"/>
        </w:rPr>
        <w:t> </w:t>
      </w:r>
      <w:r>
        <w:rPr/>
        <w:t>achieved</w:t>
      </w:r>
      <w:r>
        <w:rPr>
          <w:spacing w:val="-26"/>
        </w:rPr>
        <w:t> </w:t>
      </w:r>
      <w:r>
        <w:rPr/>
        <w:t>the</w:t>
      </w:r>
      <w:r>
        <w:rPr>
          <w:spacing w:val="-26"/>
        </w:rPr>
        <w:t> </w:t>
      </w:r>
      <w:r>
        <w:rPr/>
        <w:t>following:</w:t>
      </w:r>
    </w:p>
    <w:p>
      <w:pPr>
        <w:pStyle w:val="BodyText"/>
        <w:spacing w:line="244" w:lineRule="auto" w:before="55"/>
        <w:ind w:left="305" w:right="55" w:hanging="199"/>
      </w:pPr>
      <w:r>
        <w:rPr>
          <w:rFonts w:ascii="Century Gothic" w:hAnsi="Century Gothic"/>
          <w:b/>
          <w:w w:val="115"/>
        </w:rPr>
        <w:t>≥ </w:t>
      </w:r>
      <w:r>
        <w:rPr/>
        <w:t>screened the documentary </w:t>
      </w:r>
      <w:r>
        <w:rPr>
          <w:rFonts w:ascii="Century Gothic" w:hAnsi="Century Gothic"/>
          <w:i/>
        </w:rPr>
        <w:t>The Hunting </w:t>
      </w:r>
      <w:r>
        <w:rPr>
          <w:rFonts w:ascii="Century Gothic" w:hAnsi="Century Gothic"/>
          <w:i/>
        </w:rPr>
        <w:t>Ground</w:t>
      </w:r>
      <w:r>
        <w:rPr>
          <w:rFonts w:ascii="Century Gothic" w:hAnsi="Century Gothic"/>
          <w:i/>
          <w:spacing w:val="-25"/>
        </w:rPr>
        <w:t> </w:t>
      </w:r>
      <w:r>
        <w:rPr/>
        <w:t>(about</w:t>
      </w:r>
      <w:r>
        <w:rPr>
          <w:spacing w:val="-30"/>
        </w:rPr>
        <w:t> </w:t>
      </w:r>
      <w:r>
        <w:rPr/>
        <w:t>sexual</w:t>
      </w:r>
      <w:r>
        <w:rPr>
          <w:spacing w:val="-30"/>
        </w:rPr>
        <w:t> </w:t>
      </w:r>
      <w:r>
        <w:rPr/>
        <w:t>assault</w:t>
      </w:r>
      <w:r>
        <w:rPr>
          <w:spacing w:val="-30"/>
        </w:rPr>
        <w:t> </w:t>
      </w:r>
      <w:r>
        <w:rPr/>
        <w:t>at</w:t>
      </w:r>
      <w:r>
        <w:rPr>
          <w:spacing w:val="-30"/>
        </w:rPr>
        <w:t> </w:t>
      </w:r>
      <w:r>
        <w:rPr/>
        <w:t>colleges</w:t>
      </w:r>
      <w:r>
        <w:rPr>
          <w:spacing w:val="-30"/>
        </w:rPr>
        <w:t> </w:t>
      </w:r>
      <w:r>
        <w:rPr/>
        <w:t>in the</w:t>
      </w:r>
      <w:r>
        <w:rPr>
          <w:spacing w:val="-16"/>
        </w:rPr>
        <w:t> </w:t>
      </w:r>
      <w:r>
        <w:rPr/>
        <w:t>US)</w:t>
      </w:r>
      <w:r>
        <w:rPr>
          <w:spacing w:val="-16"/>
        </w:rPr>
        <w:t> </w:t>
      </w:r>
      <w:r>
        <w:rPr/>
        <w:t>at</w:t>
      </w:r>
      <w:r>
        <w:rPr>
          <w:spacing w:val="-16"/>
        </w:rPr>
        <w:t> </w:t>
      </w:r>
      <w:r>
        <w:rPr/>
        <w:t>multiple</w:t>
      </w:r>
      <w:r>
        <w:rPr>
          <w:spacing w:val="-16"/>
        </w:rPr>
        <w:t> </w:t>
      </w:r>
      <w:r>
        <w:rPr/>
        <w:t>campuses</w:t>
      </w:r>
    </w:p>
    <w:p>
      <w:pPr>
        <w:pStyle w:val="BodyText"/>
        <w:spacing w:line="247" w:lineRule="auto" w:before="30"/>
        <w:ind w:left="305" w:right="-8" w:hanging="199"/>
      </w:pPr>
      <w:r>
        <w:rPr>
          <w:rFonts w:ascii="Century Gothic" w:hAnsi="Century Gothic"/>
          <w:b/>
          <w:w w:val="115"/>
        </w:rPr>
        <w:t>≥ </w:t>
      </w:r>
      <w:r>
        <w:rPr/>
        <w:t>developed Staff Procedures for Responding to Disclosures of Sexual Offences and briefed</w:t>
      </w:r>
      <w:r>
        <w:rPr>
          <w:spacing w:val="-15"/>
        </w:rPr>
        <w:t> </w:t>
      </w:r>
      <w:r>
        <w:rPr/>
        <w:t>staff</w:t>
      </w:r>
      <w:r>
        <w:rPr>
          <w:spacing w:val="-15"/>
        </w:rPr>
        <w:t> </w:t>
      </w:r>
      <w:r>
        <w:rPr/>
        <w:t>members</w:t>
      </w:r>
      <w:r>
        <w:rPr>
          <w:spacing w:val="-15"/>
        </w:rPr>
        <w:t> </w:t>
      </w:r>
      <w:r>
        <w:rPr/>
        <w:t>about</w:t>
      </w:r>
      <w:r>
        <w:rPr>
          <w:spacing w:val="-15"/>
        </w:rPr>
        <w:t> </w:t>
      </w:r>
      <w:r>
        <w:rPr/>
        <w:t>the</w:t>
      </w:r>
      <w:r>
        <w:rPr>
          <w:spacing w:val="-15"/>
        </w:rPr>
        <w:t> </w:t>
      </w:r>
      <w:r>
        <w:rPr/>
        <w:t>guidelines</w:t>
      </w:r>
    </w:p>
    <w:p>
      <w:pPr>
        <w:pStyle w:val="BodyText"/>
        <w:spacing w:line="247" w:lineRule="auto" w:before="28"/>
        <w:ind w:left="305" w:right="69" w:hanging="199"/>
      </w:pPr>
      <w:r>
        <w:rPr>
          <w:rFonts w:ascii="Century Gothic" w:hAnsi="Century Gothic"/>
          <w:b/>
          <w:w w:val="115"/>
        </w:rPr>
        <w:t>≥ </w:t>
      </w:r>
      <w:r>
        <w:rPr/>
        <w:t>facilitated ‘train the trainer’ sessions on Sex, Safety and Respect for nine staff members</w:t>
      </w:r>
    </w:p>
    <w:p>
      <w:pPr>
        <w:pStyle w:val="BodyText"/>
        <w:spacing w:line="247" w:lineRule="auto" w:before="28"/>
        <w:ind w:left="305" w:right="137" w:hanging="199"/>
      </w:pPr>
      <w:r>
        <w:rPr>
          <w:rFonts w:ascii="Century Gothic" w:hAnsi="Century Gothic"/>
          <w:b/>
          <w:w w:val="115"/>
        </w:rPr>
        <w:t>≥ </w:t>
      </w:r>
      <w:r>
        <w:rPr/>
        <w:t>trained key student groups (such as student leaders and residential advisors) on consent, bystander intervention and sexual ethics</w:t>
      </w:r>
    </w:p>
    <w:p>
      <w:pPr>
        <w:pStyle w:val="BodyText"/>
        <w:spacing w:before="8"/>
      </w:pPr>
      <w:r>
        <w:rPr/>
        <w:br w:type="column"/>
      </w:r>
      <w:r>
        <w:rPr/>
      </w:r>
    </w:p>
    <w:p>
      <w:pPr>
        <w:pStyle w:val="BodyText"/>
        <w:spacing w:line="247" w:lineRule="auto" w:before="1"/>
        <w:ind w:left="305" w:right="326" w:hanging="199"/>
      </w:pPr>
      <w:r>
        <w:rPr>
          <w:rFonts w:ascii="Century Gothic" w:hAnsi="Century Gothic"/>
          <w:b/>
          <w:w w:val="115"/>
        </w:rPr>
        <w:t>≥ </w:t>
      </w:r>
      <w:r>
        <w:rPr/>
        <w:t>held promotional activities to encourage student participation in the national prevalence survey to investigate the scale and nature of sexual assault and harassment among university students</w:t>
      </w:r>
    </w:p>
    <w:p>
      <w:pPr>
        <w:pStyle w:val="BodyText"/>
        <w:spacing w:line="244" w:lineRule="auto" w:before="28"/>
        <w:ind w:left="305" w:right="127" w:hanging="199"/>
      </w:pPr>
      <w:r>
        <w:rPr>
          <w:rFonts w:ascii="Century Gothic" w:hAnsi="Century Gothic"/>
          <w:b/>
          <w:w w:val="115"/>
        </w:rPr>
        <w:t>≥</w:t>
      </w:r>
      <w:r>
        <w:rPr>
          <w:rFonts w:ascii="Century Gothic" w:hAnsi="Century Gothic"/>
          <w:b/>
          <w:spacing w:val="-11"/>
          <w:w w:val="115"/>
        </w:rPr>
        <w:t> </w:t>
      </w:r>
      <w:r>
        <w:rPr>
          <w:w w:val="105"/>
        </w:rPr>
        <w:t>developed</w:t>
      </w:r>
      <w:r>
        <w:rPr>
          <w:spacing w:val="-31"/>
          <w:w w:val="105"/>
        </w:rPr>
        <w:t> </w:t>
      </w:r>
      <w:r>
        <w:rPr>
          <w:w w:val="105"/>
        </w:rPr>
        <w:t>content</w:t>
      </w:r>
      <w:r>
        <w:rPr>
          <w:spacing w:val="-31"/>
          <w:w w:val="105"/>
        </w:rPr>
        <w:t> </w:t>
      </w:r>
      <w:r>
        <w:rPr>
          <w:w w:val="105"/>
        </w:rPr>
        <w:t>for</w:t>
      </w:r>
      <w:r>
        <w:rPr>
          <w:spacing w:val="-31"/>
          <w:w w:val="105"/>
        </w:rPr>
        <w:t> </w:t>
      </w:r>
      <w:r>
        <w:rPr>
          <w:w w:val="105"/>
        </w:rPr>
        <w:t>a</w:t>
      </w:r>
      <w:r>
        <w:rPr>
          <w:spacing w:val="-31"/>
          <w:w w:val="105"/>
        </w:rPr>
        <w:t> </w:t>
      </w:r>
      <w:r>
        <w:rPr>
          <w:w w:val="105"/>
        </w:rPr>
        <w:t>website</w:t>
      </w:r>
      <w:r>
        <w:rPr>
          <w:spacing w:val="-31"/>
          <w:w w:val="105"/>
        </w:rPr>
        <w:t> </w:t>
      </w:r>
      <w:r>
        <w:rPr>
          <w:w w:val="105"/>
        </w:rPr>
        <w:t>promoting </w:t>
      </w:r>
      <w:r>
        <w:rPr/>
        <w:t>the</w:t>
      </w:r>
      <w:r>
        <w:rPr>
          <w:spacing w:val="-14"/>
        </w:rPr>
        <w:t> </w:t>
      </w:r>
      <w:r>
        <w:rPr/>
        <w:t>campaign</w:t>
      </w:r>
    </w:p>
    <w:p>
      <w:pPr>
        <w:pStyle w:val="BodyText"/>
        <w:spacing w:line="247" w:lineRule="auto" w:before="30"/>
        <w:ind w:left="305" w:right="464" w:hanging="199"/>
      </w:pPr>
      <w:r>
        <w:rPr>
          <w:rFonts w:ascii="Century Gothic" w:hAnsi="Century Gothic"/>
          <w:b/>
          <w:w w:val="115"/>
        </w:rPr>
        <w:t>≥</w:t>
      </w:r>
      <w:r>
        <w:rPr>
          <w:rFonts w:ascii="Century Gothic" w:hAnsi="Century Gothic"/>
          <w:b/>
          <w:spacing w:val="-23"/>
          <w:w w:val="115"/>
        </w:rPr>
        <w:t> </w:t>
      </w:r>
      <w:r>
        <w:rPr>
          <w:w w:val="105"/>
        </w:rPr>
        <w:t>supported</w:t>
      </w:r>
      <w:r>
        <w:rPr>
          <w:spacing w:val="-37"/>
          <w:w w:val="105"/>
        </w:rPr>
        <w:t> </w:t>
      </w:r>
      <w:r>
        <w:rPr>
          <w:w w:val="105"/>
        </w:rPr>
        <w:t>student-led</w:t>
      </w:r>
      <w:r>
        <w:rPr>
          <w:spacing w:val="-37"/>
          <w:w w:val="105"/>
        </w:rPr>
        <w:t> </w:t>
      </w:r>
      <w:r>
        <w:rPr>
          <w:w w:val="105"/>
        </w:rPr>
        <w:t>initiatives,</w:t>
      </w:r>
      <w:r>
        <w:rPr>
          <w:spacing w:val="-37"/>
          <w:w w:val="105"/>
        </w:rPr>
        <w:t> </w:t>
      </w:r>
      <w:r>
        <w:rPr>
          <w:w w:val="105"/>
        </w:rPr>
        <w:t>such as</w:t>
      </w:r>
      <w:r>
        <w:rPr>
          <w:spacing w:val="-31"/>
          <w:w w:val="105"/>
        </w:rPr>
        <w:t> </w:t>
      </w:r>
      <w:r>
        <w:rPr>
          <w:w w:val="105"/>
        </w:rPr>
        <w:t>events</w:t>
      </w:r>
      <w:r>
        <w:rPr>
          <w:spacing w:val="-31"/>
          <w:w w:val="105"/>
        </w:rPr>
        <w:t> </w:t>
      </w:r>
      <w:r>
        <w:rPr>
          <w:w w:val="105"/>
        </w:rPr>
        <w:t>organised</w:t>
      </w:r>
      <w:r>
        <w:rPr>
          <w:spacing w:val="-31"/>
          <w:w w:val="105"/>
        </w:rPr>
        <w:t> </w:t>
      </w:r>
      <w:r>
        <w:rPr>
          <w:w w:val="105"/>
        </w:rPr>
        <w:t>by</w:t>
      </w:r>
      <w:r>
        <w:rPr>
          <w:spacing w:val="-31"/>
          <w:w w:val="105"/>
        </w:rPr>
        <w:t> </w:t>
      </w:r>
      <w:r>
        <w:rPr>
          <w:w w:val="105"/>
        </w:rPr>
        <w:t>the</w:t>
      </w:r>
      <w:r>
        <w:rPr>
          <w:spacing w:val="-31"/>
          <w:w w:val="105"/>
        </w:rPr>
        <w:t> </w:t>
      </w:r>
      <w:r>
        <w:rPr>
          <w:w w:val="105"/>
        </w:rPr>
        <w:t>Women’s Collective</w:t>
      </w:r>
    </w:p>
    <w:p>
      <w:pPr>
        <w:pStyle w:val="BodyText"/>
        <w:spacing w:line="247" w:lineRule="auto" w:before="28"/>
        <w:ind w:left="305" w:right="215" w:hanging="199"/>
        <w:jc w:val="both"/>
      </w:pPr>
      <w:r>
        <w:rPr>
          <w:rFonts w:ascii="Century Gothic" w:hAnsi="Century Gothic"/>
          <w:b/>
          <w:w w:val="115"/>
        </w:rPr>
        <w:t>≥ </w:t>
      </w:r>
      <w:r>
        <w:rPr/>
        <w:t>developed general information brochures for</w:t>
      </w:r>
      <w:r>
        <w:rPr>
          <w:spacing w:val="-17"/>
        </w:rPr>
        <w:t> </w:t>
      </w:r>
      <w:r>
        <w:rPr/>
        <w:t>staff</w:t>
      </w:r>
      <w:r>
        <w:rPr>
          <w:spacing w:val="-17"/>
        </w:rPr>
        <w:t> </w:t>
      </w:r>
      <w:r>
        <w:rPr/>
        <w:t>members</w:t>
      </w:r>
      <w:r>
        <w:rPr>
          <w:spacing w:val="-17"/>
        </w:rPr>
        <w:t> </w:t>
      </w:r>
      <w:r>
        <w:rPr/>
        <w:t>and</w:t>
      </w:r>
      <w:r>
        <w:rPr>
          <w:spacing w:val="-17"/>
        </w:rPr>
        <w:t> </w:t>
      </w:r>
      <w:r>
        <w:rPr/>
        <w:t>students,</w:t>
      </w:r>
      <w:r>
        <w:rPr>
          <w:spacing w:val="-17"/>
        </w:rPr>
        <w:t> </w:t>
      </w:r>
      <w:r>
        <w:rPr/>
        <w:t>as</w:t>
      </w:r>
      <w:r>
        <w:rPr>
          <w:spacing w:val="-17"/>
        </w:rPr>
        <w:t> </w:t>
      </w:r>
      <w:r>
        <w:rPr/>
        <w:t>well</w:t>
      </w:r>
      <w:r>
        <w:rPr>
          <w:spacing w:val="-17"/>
        </w:rPr>
        <w:t> </w:t>
      </w:r>
      <w:r>
        <w:rPr/>
        <w:t>as resources</w:t>
      </w:r>
      <w:r>
        <w:rPr>
          <w:spacing w:val="-26"/>
        </w:rPr>
        <w:t> </w:t>
      </w:r>
      <w:r>
        <w:rPr/>
        <w:t>for</w:t>
      </w:r>
      <w:r>
        <w:rPr>
          <w:spacing w:val="-26"/>
        </w:rPr>
        <w:t> </w:t>
      </w:r>
      <w:r>
        <w:rPr/>
        <w:t>international</w:t>
      </w:r>
      <w:r>
        <w:rPr>
          <w:spacing w:val="-26"/>
        </w:rPr>
        <w:t> </w:t>
      </w:r>
      <w:r>
        <w:rPr/>
        <w:t>students.</w:t>
      </w:r>
    </w:p>
    <w:p>
      <w:pPr>
        <w:pStyle w:val="BodyText"/>
        <w:spacing w:before="8"/>
        <w:rPr>
          <w:sz w:val="14"/>
        </w:rPr>
      </w:pPr>
    </w:p>
    <w:p>
      <w:pPr>
        <w:pStyle w:val="Heading7"/>
        <w:spacing w:line="249" w:lineRule="auto"/>
        <w:ind w:right="212"/>
      </w:pPr>
      <w:r>
        <w:rPr>
          <w:color w:val="615C58"/>
          <w:w w:val="95"/>
        </w:rPr>
        <w:t>International Focus and Cultural Competency Development</w:t>
      </w:r>
    </w:p>
    <w:p>
      <w:pPr>
        <w:pStyle w:val="BodyText"/>
        <w:spacing w:line="249" w:lineRule="auto" w:before="79"/>
        <w:ind w:left="107" w:right="180"/>
      </w:pPr>
      <w:r>
        <w:rPr/>
        <w:t>English conversation groups are offered across</w:t>
      </w:r>
      <w:r>
        <w:rPr>
          <w:spacing w:val="-18"/>
        </w:rPr>
        <w:t> </w:t>
      </w:r>
      <w:r>
        <w:rPr/>
        <w:t>multiple</w:t>
      </w:r>
      <w:r>
        <w:rPr>
          <w:spacing w:val="-18"/>
        </w:rPr>
        <w:t> </w:t>
      </w:r>
      <w:r>
        <w:rPr/>
        <w:t>campuses</w:t>
      </w:r>
      <w:r>
        <w:rPr>
          <w:spacing w:val="-18"/>
        </w:rPr>
        <w:t> </w:t>
      </w:r>
      <w:r>
        <w:rPr/>
        <w:t>and</w:t>
      </w:r>
      <w:r>
        <w:rPr>
          <w:spacing w:val="-18"/>
        </w:rPr>
        <w:t> </w:t>
      </w:r>
      <w:r>
        <w:rPr/>
        <w:t>at</w:t>
      </w:r>
      <w:r>
        <w:rPr>
          <w:spacing w:val="-18"/>
        </w:rPr>
        <w:t> </w:t>
      </w:r>
      <w:r>
        <w:rPr/>
        <w:t>The</w:t>
      </w:r>
      <w:r>
        <w:rPr>
          <w:spacing w:val="-18"/>
        </w:rPr>
        <w:t> </w:t>
      </w:r>
      <w:r>
        <w:rPr/>
        <w:t>College. </w:t>
      </w:r>
      <w:r>
        <w:rPr>
          <w:spacing w:val="1"/>
          <w:w w:val="80"/>
        </w:rPr>
        <w:t>In</w:t>
      </w:r>
      <w:r>
        <w:rPr>
          <w:w w:val="80"/>
        </w:rPr>
        <w:t> </w:t>
      </w:r>
      <w:r>
        <w:rPr>
          <w:spacing w:val="2"/>
          <w:w w:val="85"/>
        </w:rPr>
        <w:t>2016,</w:t>
      </w:r>
      <w:r>
        <w:rPr>
          <w:w w:val="85"/>
        </w:rPr>
        <w:t> </w:t>
      </w:r>
      <w:r>
        <w:rPr>
          <w:w w:val="98"/>
        </w:rPr>
        <w:t>following </w:t>
      </w:r>
      <w:r>
        <w:rPr>
          <w:spacing w:val="1"/>
          <w:w w:val="95"/>
        </w:rPr>
        <w:t>an</w:t>
      </w:r>
      <w:r>
        <w:rPr>
          <w:w w:val="95"/>
        </w:rPr>
        <w:t> </w:t>
      </w:r>
      <w:r>
        <w:rPr>
          <w:w w:val="96"/>
        </w:rPr>
        <w:t>initial </w:t>
      </w:r>
      <w:r>
        <w:rPr>
          <w:w w:val="99"/>
        </w:rPr>
        <w:t>pilot </w:t>
      </w:r>
      <w:r>
        <w:rPr>
          <w:w w:val="95"/>
        </w:rPr>
        <w:t>in </w:t>
      </w:r>
      <w:r>
        <w:rPr>
          <w:spacing w:val="1"/>
          <w:w w:val="98"/>
        </w:rPr>
        <w:t>Spring</w:t>
      </w:r>
      <w:r>
        <w:rPr>
          <w:w w:val="98"/>
        </w:rPr>
        <w:t> </w:t>
      </w:r>
      <w:r>
        <w:rPr>
          <w:spacing w:val="1"/>
          <w:w w:val="84"/>
        </w:rPr>
        <w:t>2015,</w:t>
      </w:r>
      <w:r>
        <w:rPr>
          <w:w w:val="84"/>
        </w:rPr>
        <w:t> </w:t>
      </w:r>
      <w:r>
        <w:rPr>
          <w:w w:val="97"/>
        </w:rPr>
        <w:t>the </w:t>
      </w:r>
      <w:r>
        <w:rPr>
          <w:spacing w:val="1"/>
          <w:w w:val="97"/>
        </w:rPr>
        <w:t>University</w:t>
      </w:r>
      <w:r>
        <w:rPr>
          <w:w w:val="97"/>
        </w:rPr>
        <w:t> </w:t>
      </w:r>
      <w:r>
        <w:rPr>
          <w:w w:val="98"/>
        </w:rPr>
        <w:t>offered </w:t>
      </w:r>
      <w:r>
        <w:rPr>
          <w:spacing w:val="-1"/>
          <w:w w:val="78"/>
        </w:rPr>
        <w:t>41</w:t>
      </w:r>
      <w:r>
        <w:rPr>
          <w:w w:val="78"/>
        </w:rPr>
        <w:t> </w:t>
      </w:r>
      <w:r>
        <w:rPr>
          <w:w w:val="97"/>
        </w:rPr>
        <w:t>English </w:t>
      </w:r>
      <w:r>
        <w:rPr/>
        <w:t>conversation group sessions each week for five</w:t>
      </w:r>
      <w:r>
        <w:rPr>
          <w:spacing w:val="-13"/>
        </w:rPr>
        <w:t> </w:t>
      </w:r>
      <w:r>
        <w:rPr/>
        <w:t>weeks,</w:t>
      </w:r>
      <w:r>
        <w:rPr>
          <w:spacing w:val="-13"/>
        </w:rPr>
        <w:t> </w:t>
      </w:r>
      <w:r>
        <w:rPr/>
        <w:t>providing</w:t>
      </w:r>
      <w:r>
        <w:rPr>
          <w:spacing w:val="-13"/>
        </w:rPr>
        <w:t> </w:t>
      </w:r>
      <w:r>
        <w:rPr/>
        <w:t>the</w:t>
      </w:r>
      <w:r>
        <w:rPr>
          <w:spacing w:val="-13"/>
        </w:rPr>
        <w:t> </w:t>
      </w:r>
      <w:r>
        <w:rPr/>
        <w:t>opportunity</w:t>
      </w:r>
      <w:r>
        <w:rPr>
          <w:spacing w:val="-13"/>
        </w:rPr>
        <w:t> </w:t>
      </w:r>
      <w:r>
        <w:rPr/>
        <w:t>for</w:t>
      </w:r>
    </w:p>
    <w:p>
      <w:pPr>
        <w:pStyle w:val="BodyText"/>
        <w:spacing w:line="249" w:lineRule="auto"/>
        <w:ind w:left="107"/>
      </w:pPr>
      <w:r>
        <w:rPr/>
        <w:t>372 international students and commencing domestic students from culturally and linguistically diverse (CALD) backgrounds to practise their spoken English.</w:t>
      </w:r>
    </w:p>
    <w:p>
      <w:pPr>
        <w:pStyle w:val="BodyText"/>
        <w:rPr>
          <w:sz w:val="14"/>
        </w:rPr>
      </w:pPr>
    </w:p>
    <w:p>
      <w:pPr>
        <w:pStyle w:val="BodyText"/>
        <w:spacing w:line="249" w:lineRule="auto"/>
        <w:ind w:left="107" w:right="297"/>
      </w:pPr>
      <w:r>
        <w:rPr/>
        <w:t>English conversation groups also gave student facilitators the opportunity to develop</w:t>
      </w:r>
      <w:r>
        <w:rPr>
          <w:spacing w:val="-18"/>
        </w:rPr>
        <w:t> </w:t>
      </w:r>
      <w:r>
        <w:rPr/>
        <w:t>their</w:t>
      </w:r>
      <w:r>
        <w:rPr>
          <w:spacing w:val="-18"/>
        </w:rPr>
        <w:t> </w:t>
      </w:r>
      <w:r>
        <w:rPr/>
        <w:t>skills</w:t>
      </w:r>
      <w:r>
        <w:rPr>
          <w:spacing w:val="-18"/>
        </w:rPr>
        <w:t> </w:t>
      </w:r>
      <w:r>
        <w:rPr/>
        <w:t>in</w:t>
      </w:r>
      <w:r>
        <w:rPr>
          <w:spacing w:val="-18"/>
        </w:rPr>
        <w:t> </w:t>
      </w:r>
      <w:r>
        <w:rPr/>
        <w:t>teaching</w:t>
      </w:r>
      <w:r>
        <w:rPr>
          <w:spacing w:val="-18"/>
        </w:rPr>
        <w:t> </w:t>
      </w:r>
      <w:r>
        <w:rPr/>
        <w:t>English,</w:t>
      </w:r>
      <w:r>
        <w:rPr>
          <w:spacing w:val="-18"/>
        </w:rPr>
        <w:t> </w:t>
      </w:r>
      <w:r>
        <w:rPr/>
        <w:t>and the</w:t>
      </w:r>
      <w:r>
        <w:rPr>
          <w:spacing w:val="-13"/>
        </w:rPr>
        <w:t> </w:t>
      </w:r>
      <w:r>
        <w:rPr/>
        <w:t>program</w:t>
      </w:r>
      <w:r>
        <w:rPr>
          <w:spacing w:val="-13"/>
        </w:rPr>
        <w:t> </w:t>
      </w:r>
      <w:r>
        <w:rPr/>
        <w:t>allowed</w:t>
      </w:r>
      <w:r>
        <w:rPr>
          <w:spacing w:val="-13"/>
        </w:rPr>
        <w:t> </w:t>
      </w:r>
      <w:r>
        <w:rPr/>
        <w:t>students</w:t>
      </w:r>
      <w:r>
        <w:rPr>
          <w:spacing w:val="-13"/>
        </w:rPr>
        <w:t> </w:t>
      </w:r>
      <w:r>
        <w:rPr/>
        <w:t>studying</w:t>
      </w:r>
      <w:r>
        <w:rPr>
          <w:spacing w:val="-13"/>
        </w:rPr>
        <w:t> </w:t>
      </w:r>
      <w:r>
        <w:rPr/>
        <w:t>the Master of </w:t>
      </w:r>
      <w:r>
        <w:rPr>
          <w:spacing w:val="2"/>
        </w:rPr>
        <w:t>Arts </w:t>
      </w:r>
      <w:r>
        <w:rPr/>
        <w:t>(TESOL) degree to engage in</w:t>
      </w:r>
      <w:r>
        <w:rPr>
          <w:spacing w:val="-17"/>
        </w:rPr>
        <w:t> </w:t>
      </w:r>
      <w:r>
        <w:rPr/>
        <w:t>volunteer</w:t>
      </w:r>
      <w:r>
        <w:rPr>
          <w:spacing w:val="-17"/>
        </w:rPr>
        <w:t> </w:t>
      </w:r>
      <w:r>
        <w:rPr/>
        <w:t>hours</w:t>
      </w:r>
      <w:r>
        <w:rPr>
          <w:spacing w:val="-17"/>
        </w:rPr>
        <w:t> </w:t>
      </w:r>
      <w:r>
        <w:rPr/>
        <w:t>that</w:t>
      </w:r>
      <w:r>
        <w:rPr>
          <w:spacing w:val="-17"/>
        </w:rPr>
        <w:t> </w:t>
      </w:r>
      <w:r>
        <w:rPr/>
        <w:t>could</w:t>
      </w:r>
      <w:r>
        <w:rPr>
          <w:spacing w:val="-17"/>
        </w:rPr>
        <w:t> </w:t>
      </w:r>
      <w:r>
        <w:rPr/>
        <w:t>count</w:t>
      </w:r>
      <w:r>
        <w:rPr>
          <w:spacing w:val="-17"/>
        </w:rPr>
        <w:t> </w:t>
      </w:r>
      <w:r>
        <w:rPr/>
        <w:t>towards their</w:t>
      </w:r>
      <w:r>
        <w:rPr>
          <w:spacing w:val="-26"/>
        </w:rPr>
        <w:t> </w:t>
      </w:r>
      <w:r>
        <w:rPr/>
        <w:t>course</w:t>
      </w:r>
      <w:r>
        <w:rPr>
          <w:spacing w:val="-26"/>
        </w:rPr>
        <w:t> </w:t>
      </w:r>
      <w:r>
        <w:rPr/>
        <w:t>learning</w:t>
      </w:r>
      <w:r>
        <w:rPr>
          <w:spacing w:val="-26"/>
        </w:rPr>
        <w:t> </w:t>
      </w:r>
      <w:r>
        <w:rPr/>
        <w:t>requirements.</w:t>
      </w:r>
    </w:p>
    <w:p>
      <w:pPr>
        <w:pStyle w:val="BodyText"/>
        <w:rPr>
          <w:sz w:val="14"/>
        </w:rPr>
      </w:pPr>
    </w:p>
    <w:p>
      <w:pPr>
        <w:pStyle w:val="BodyText"/>
        <w:spacing w:line="249" w:lineRule="auto"/>
        <w:ind w:left="107" w:right="579"/>
      </w:pPr>
      <w:r>
        <w:rPr/>
        <w:t>The University again delivered Cultural Awareness Workshops to more than 500 student volunteers, leaders and</w:t>
      </w:r>
    </w:p>
    <w:p>
      <w:pPr>
        <w:pStyle w:val="BodyText"/>
        <w:spacing w:line="249" w:lineRule="auto"/>
        <w:ind w:left="107" w:right="381"/>
      </w:pPr>
      <w:r>
        <w:rPr/>
        <w:t>employees to improve cultural awareness and sensitivity. The workshops aim to increase support for diverse student groups. Topics covered included:</w:t>
      </w:r>
    </w:p>
    <w:p>
      <w:pPr>
        <w:pStyle w:val="BodyText"/>
        <w:spacing w:before="55"/>
        <w:ind w:left="107"/>
      </w:pPr>
      <w:r>
        <w:rPr>
          <w:rFonts w:ascii="Century Gothic" w:hAnsi="Century Gothic"/>
          <w:b/>
        </w:rPr>
        <w:t>≥  </w:t>
      </w:r>
      <w:r>
        <w:rPr/>
        <w:t>increasing self-awareness</w:t>
      </w:r>
    </w:p>
    <w:p>
      <w:pPr>
        <w:pStyle w:val="BodyText"/>
        <w:spacing w:line="244" w:lineRule="auto" w:before="60"/>
        <w:ind w:left="305" w:right="488" w:hanging="199"/>
      </w:pPr>
      <w:r>
        <w:rPr>
          <w:rFonts w:ascii="Century Gothic" w:hAnsi="Century Gothic"/>
          <w:b/>
          <w:w w:val="115"/>
        </w:rPr>
        <w:t>≥</w:t>
      </w:r>
      <w:r>
        <w:rPr>
          <w:rFonts w:ascii="Century Gothic" w:hAnsi="Century Gothic"/>
          <w:b/>
          <w:spacing w:val="-14"/>
          <w:w w:val="115"/>
        </w:rPr>
        <w:t> </w:t>
      </w:r>
      <w:r>
        <w:rPr>
          <w:w w:val="105"/>
        </w:rPr>
        <w:t>developing</w:t>
      </w:r>
      <w:r>
        <w:rPr>
          <w:spacing w:val="-32"/>
          <w:w w:val="105"/>
        </w:rPr>
        <w:t> </w:t>
      </w:r>
      <w:r>
        <w:rPr>
          <w:w w:val="105"/>
        </w:rPr>
        <w:t>skills</w:t>
      </w:r>
      <w:r>
        <w:rPr>
          <w:spacing w:val="-32"/>
          <w:w w:val="105"/>
        </w:rPr>
        <w:t> </w:t>
      </w:r>
      <w:r>
        <w:rPr>
          <w:w w:val="105"/>
        </w:rPr>
        <w:t>to</w:t>
      </w:r>
      <w:r>
        <w:rPr>
          <w:spacing w:val="-32"/>
          <w:w w:val="105"/>
        </w:rPr>
        <w:t> </w:t>
      </w:r>
      <w:r>
        <w:rPr>
          <w:w w:val="105"/>
        </w:rPr>
        <w:t>communicate</w:t>
      </w:r>
      <w:r>
        <w:rPr>
          <w:spacing w:val="-32"/>
          <w:w w:val="105"/>
        </w:rPr>
        <w:t> </w:t>
      </w:r>
      <w:r>
        <w:rPr>
          <w:w w:val="105"/>
        </w:rPr>
        <w:t>with </w:t>
      </w:r>
      <w:r>
        <w:rPr/>
        <w:t>cultural</w:t>
      </w:r>
      <w:r>
        <w:rPr>
          <w:spacing w:val="-21"/>
        </w:rPr>
        <w:t> </w:t>
      </w:r>
      <w:r>
        <w:rPr/>
        <w:t>sensitivity</w:t>
      </w:r>
    </w:p>
    <w:p>
      <w:pPr>
        <w:pStyle w:val="BodyText"/>
        <w:spacing w:before="58"/>
        <w:ind w:left="107"/>
      </w:pPr>
      <w:r>
        <w:rPr>
          <w:rFonts w:ascii="Century Gothic" w:hAnsi="Century Gothic"/>
          <w:b/>
          <w:w w:val="115"/>
        </w:rPr>
        <w:t>≥ </w:t>
      </w:r>
      <w:r>
        <w:rPr>
          <w:w w:val="105"/>
        </w:rPr>
        <w:t>building open and respectful attitudes.</w:t>
      </w:r>
    </w:p>
    <w:p>
      <w:pPr>
        <w:pStyle w:val="BodyText"/>
        <w:spacing w:before="5"/>
        <w:rPr>
          <w:sz w:val="14"/>
        </w:rPr>
      </w:pPr>
    </w:p>
    <w:p>
      <w:pPr>
        <w:pStyle w:val="BodyText"/>
        <w:spacing w:line="249" w:lineRule="auto"/>
        <w:ind w:left="107" w:right="224"/>
      </w:pPr>
      <w:r>
        <w:rPr/>
        <w:t>Cultural awareness training was identified as a critical component of skill development for student casuals and volunteers and will therefore be included in the online training modules that the Lead, Engage, Aspire, </w:t>
      </w:r>
      <w:r>
        <w:rPr>
          <w:w w:val="98"/>
        </w:rPr>
        <w:t>Develop </w:t>
      </w:r>
      <w:r>
        <w:rPr>
          <w:w w:val="101"/>
        </w:rPr>
        <w:t>(LEAD) </w:t>
      </w:r>
      <w:r>
        <w:rPr>
          <w:w w:val="97"/>
        </w:rPr>
        <w:t>team </w:t>
      </w:r>
      <w:r>
        <w:rPr>
          <w:w w:val="95"/>
        </w:rPr>
        <w:t>is </w:t>
      </w:r>
      <w:r>
        <w:rPr>
          <w:w w:val="98"/>
        </w:rPr>
        <w:t>developing </w:t>
      </w:r>
      <w:r>
        <w:rPr>
          <w:w w:val="95"/>
        </w:rPr>
        <w:t>in </w:t>
      </w:r>
      <w:r>
        <w:rPr>
          <w:w w:val="83"/>
        </w:rPr>
        <w:t>2017.</w:t>
      </w:r>
    </w:p>
    <w:p>
      <w:pPr>
        <w:spacing w:after="0" w:line="249" w:lineRule="auto"/>
        <w:sectPr>
          <w:type w:val="continuous"/>
          <w:pgSz w:w="11910" w:h="16840"/>
          <w:pgMar w:top="1580" w:bottom="280" w:left="800" w:right="800"/>
          <w:cols w:num="3" w:equalWidth="0">
            <w:col w:w="3320" w:space="119"/>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580" w:right="580"/>
        </w:sectPr>
      </w:pPr>
    </w:p>
    <w:p>
      <w:pPr>
        <w:pStyle w:val="BodyText"/>
        <w:spacing w:before="7"/>
        <w:rPr>
          <w:sz w:val="19"/>
        </w:rPr>
      </w:pPr>
    </w:p>
    <w:p>
      <w:pPr>
        <w:spacing w:line="274" w:lineRule="exact" w:before="0"/>
        <w:ind w:left="327" w:right="44" w:firstLine="0"/>
        <w:jc w:val="left"/>
        <w:rPr>
          <w:rFonts w:ascii="Gotham Narrow Bold"/>
          <w:b/>
          <w:sz w:val="24"/>
        </w:rPr>
      </w:pPr>
      <w:r>
        <w:rPr>
          <w:rFonts w:ascii="Gotham Narrow Bold"/>
          <w:b/>
          <w:w w:val="95"/>
          <w:sz w:val="24"/>
        </w:rPr>
        <w:t>OFFICE OF</w:t>
      </w:r>
    </w:p>
    <w:p>
      <w:pPr>
        <w:spacing w:line="274" w:lineRule="exact" w:before="0"/>
        <w:ind w:left="327" w:right="44" w:firstLine="0"/>
        <w:jc w:val="left"/>
        <w:rPr>
          <w:rFonts w:ascii="Gotham Narrow Bold"/>
          <w:b/>
          <w:sz w:val="24"/>
        </w:rPr>
      </w:pPr>
      <w:r>
        <w:rPr>
          <w:rFonts w:ascii="Gotham Narrow Bold"/>
          <w:b/>
          <w:w w:val="95"/>
          <w:sz w:val="24"/>
        </w:rPr>
        <w:t>HUMAN RESOURCES</w:t>
      </w:r>
    </w:p>
    <w:p>
      <w:pPr>
        <w:pStyle w:val="BodyText"/>
        <w:spacing w:line="249" w:lineRule="auto" w:before="95"/>
        <w:ind w:left="327" w:right="44"/>
      </w:pPr>
      <w:r>
        <w:rPr/>
        <w:t>The Office of Human Resources (OHR) is responsible</w:t>
      </w:r>
      <w:r>
        <w:rPr>
          <w:spacing w:val="-14"/>
        </w:rPr>
        <w:t> </w:t>
      </w:r>
      <w:r>
        <w:rPr/>
        <w:t>for</w:t>
      </w:r>
      <w:r>
        <w:rPr>
          <w:spacing w:val="-14"/>
        </w:rPr>
        <w:t> </w:t>
      </w:r>
      <w:r>
        <w:rPr/>
        <w:t>developing</w:t>
      </w:r>
      <w:r>
        <w:rPr>
          <w:spacing w:val="-14"/>
        </w:rPr>
        <w:t> </w:t>
      </w:r>
      <w:r>
        <w:rPr/>
        <w:t>and</w:t>
      </w:r>
      <w:r>
        <w:rPr>
          <w:spacing w:val="-14"/>
        </w:rPr>
        <w:t> </w:t>
      </w:r>
      <w:r>
        <w:rPr/>
        <w:t>implementing strategically aligned and effective human resource</w:t>
      </w:r>
      <w:r>
        <w:rPr>
          <w:spacing w:val="-21"/>
        </w:rPr>
        <w:t> </w:t>
      </w:r>
      <w:r>
        <w:rPr/>
        <w:t>policies,</w:t>
      </w:r>
      <w:r>
        <w:rPr>
          <w:spacing w:val="-21"/>
        </w:rPr>
        <w:t> </w:t>
      </w:r>
      <w:r>
        <w:rPr/>
        <w:t>practices</w:t>
      </w:r>
      <w:r>
        <w:rPr>
          <w:spacing w:val="-21"/>
        </w:rPr>
        <w:t> </w:t>
      </w:r>
      <w:r>
        <w:rPr/>
        <w:t>and</w:t>
      </w:r>
      <w:r>
        <w:rPr>
          <w:spacing w:val="-21"/>
        </w:rPr>
        <w:t> </w:t>
      </w:r>
      <w:r>
        <w:rPr>
          <w:spacing w:val="2"/>
        </w:rPr>
        <w:t>services.</w:t>
      </w:r>
      <w:r>
        <w:rPr>
          <w:spacing w:val="-21"/>
        </w:rPr>
        <w:t> </w:t>
      </w:r>
      <w:r>
        <w:rPr>
          <w:spacing w:val="2"/>
        </w:rPr>
        <w:t>OHR </w:t>
      </w:r>
      <w:r>
        <w:rPr/>
        <w:t>works</w:t>
      </w:r>
      <w:r>
        <w:rPr>
          <w:spacing w:val="-23"/>
        </w:rPr>
        <w:t> </w:t>
      </w:r>
      <w:r>
        <w:rPr/>
        <w:t>in</w:t>
      </w:r>
      <w:r>
        <w:rPr>
          <w:spacing w:val="-23"/>
        </w:rPr>
        <w:t> </w:t>
      </w:r>
      <w:r>
        <w:rPr/>
        <w:t>partnerships</w:t>
      </w:r>
      <w:r>
        <w:rPr>
          <w:spacing w:val="-23"/>
        </w:rPr>
        <w:t> </w:t>
      </w:r>
      <w:r>
        <w:rPr/>
        <w:t>with</w:t>
      </w:r>
      <w:r>
        <w:rPr>
          <w:spacing w:val="-23"/>
        </w:rPr>
        <w:t> </w:t>
      </w:r>
      <w:r>
        <w:rPr/>
        <w:t>Schools,</w:t>
      </w:r>
      <w:r>
        <w:rPr>
          <w:spacing w:val="-23"/>
        </w:rPr>
        <w:t> </w:t>
      </w:r>
      <w:r>
        <w:rPr/>
        <w:t>Institutes, Divisions and University management, to achieve</w:t>
      </w:r>
      <w:r>
        <w:rPr>
          <w:spacing w:val="-21"/>
        </w:rPr>
        <w:t> </w:t>
      </w:r>
      <w:r>
        <w:rPr/>
        <w:t>the</w:t>
      </w:r>
      <w:r>
        <w:rPr>
          <w:spacing w:val="-21"/>
        </w:rPr>
        <w:t> </w:t>
      </w:r>
      <w:r>
        <w:rPr/>
        <w:t>University’s</w:t>
      </w:r>
      <w:r>
        <w:rPr>
          <w:spacing w:val="-21"/>
        </w:rPr>
        <w:t> </w:t>
      </w:r>
      <w:r>
        <w:rPr/>
        <w:t>strategic</w:t>
      </w:r>
      <w:r>
        <w:rPr>
          <w:spacing w:val="-21"/>
        </w:rPr>
        <w:t> </w:t>
      </w:r>
      <w:r>
        <w:rPr/>
        <w:t>goals.</w:t>
      </w:r>
    </w:p>
    <w:p>
      <w:pPr>
        <w:pStyle w:val="BodyText"/>
        <w:rPr>
          <w:sz w:val="14"/>
        </w:rPr>
      </w:pPr>
    </w:p>
    <w:p>
      <w:pPr>
        <w:pStyle w:val="BodyText"/>
        <w:spacing w:line="249" w:lineRule="auto"/>
        <w:ind w:left="327" w:right="743"/>
      </w:pPr>
      <w:r>
        <w:rPr/>
        <w:t>OHR supports the University in the </w:t>
      </w:r>
      <w:r>
        <w:rPr>
          <w:w w:val="95"/>
        </w:rPr>
        <w:t>following areas:</w:t>
      </w:r>
    </w:p>
    <w:p>
      <w:pPr>
        <w:pStyle w:val="BodyText"/>
        <w:spacing w:before="55"/>
        <w:ind w:left="327" w:right="44"/>
      </w:pPr>
      <w:r>
        <w:rPr>
          <w:rFonts w:ascii="Century Gothic" w:hAnsi="Century Gothic"/>
          <w:b/>
          <w:w w:val="115"/>
        </w:rPr>
        <w:t>≥ </w:t>
      </w:r>
      <w:r>
        <w:rPr>
          <w:w w:val="105"/>
        </w:rPr>
        <w:t>HR Projects and Support Services</w:t>
      </w:r>
    </w:p>
    <w:p>
      <w:pPr>
        <w:pStyle w:val="BodyText"/>
        <w:spacing w:before="60"/>
        <w:ind w:left="327" w:right="44"/>
      </w:pPr>
      <w:r>
        <w:rPr>
          <w:rFonts w:ascii="Century Gothic" w:hAnsi="Century Gothic"/>
          <w:b/>
          <w:w w:val="105"/>
        </w:rPr>
        <w:t>≥ </w:t>
      </w:r>
      <w:r>
        <w:rPr>
          <w:w w:val="105"/>
        </w:rPr>
        <w:t>HR Partnerships</w:t>
      </w:r>
    </w:p>
    <w:p>
      <w:pPr>
        <w:pStyle w:val="BodyText"/>
        <w:spacing w:line="244" w:lineRule="auto" w:before="60"/>
        <w:ind w:left="525" w:right="34" w:hanging="199"/>
      </w:pPr>
      <w:r>
        <w:rPr>
          <w:rFonts w:ascii="Century Gothic" w:hAnsi="Century Gothic"/>
          <w:b/>
        </w:rPr>
        <w:t>≥ </w:t>
      </w:r>
      <w:r>
        <w:rPr/>
        <w:t>Payroll, Remuneration and Superannuation </w:t>
      </w:r>
      <w:r>
        <w:rPr>
          <w:w w:val="105"/>
        </w:rPr>
        <w:t>Services</w:t>
      </w:r>
    </w:p>
    <w:p>
      <w:pPr>
        <w:pStyle w:val="BodyText"/>
        <w:spacing w:before="58"/>
        <w:ind w:left="327" w:right="44"/>
      </w:pPr>
      <w:r>
        <w:rPr>
          <w:rFonts w:ascii="Century Gothic" w:hAnsi="Century Gothic"/>
          <w:b/>
          <w:w w:val="115"/>
        </w:rPr>
        <w:t>≥ </w:t>
      </w:r>
      <w:r>
        <w:rPr>
          <w:w w:val="105"/>
        </w:rPr>
        <w:t>HR Information Systems</w:t>
      </w:r>
    </w:p>
    <w:p>
      <w:pPr>
        <w:pStyle w:val="BodyText"/>
        <w:spacing w:before="60"/>
        <w:ind w:left="327" w:right="44"/>
      </w:pPr>
      <w:r>
        <w:rPr>
          <w:rFonts w:ascii="Century Gothic" w:hAnsi="Century Gothic"/>
          <w:b/>
          <w:w w:val="115"/>
        </w:rPr>
        <w:t>≥ </w:t>
      </w:r>
      <w:r>
        <w:rPr>
          <w:w w:val="105"/>
        </w:rPr>
        <w:t>Work Health and Safety</w:t>
      </w:r>
    </w:p>
    <w:p>
      <w:pPr>
        <w:pStyle w:val="BodyText"/>
        <w:spacing w:before="60"/>
        <w:ind w:left="327" w:right="44"/>
      </w:pPr>
      <w:r>
        <w:rPr>
          <w:rFonts w:ascii="Century Gothic" w:hAnsi="Century Gothic"/>
          <w:b/>
          <w:w w:val="105"/>
        </w:rPr>
        <w:t>≥ </w:t>
      </w:r>
      <w:r>
        <w:rPr>
          <w:w w:val="105"/>
        </w:rPr>
        <w:t>Workplace Relations</w:t>
      </w:r>
    </w:p>
    <w:p>
      <w:pPr>
        <w:pStyle w:val="BodyText"/>
        <w:spacing w:before="60"/>
        <w:ind w:left="327" w:right="44"/>
      </w:pPr>
      <w:r>
        <w:rPr>
          <w:rFonts w:ascii="Century Gothic" w:hAnsi="Century Gothic"/>
          <w:b/>
          <w:w w:val="110"/>
        </w:rPr>
        <w:t>≥ </w:t>
      </w:r>
      <w:r>
        <w:rPr>
          <w:w w:val="105"/>
        </w:rPr>
        <w:t>Talent and Leadership Development</w:t>
      </w:r>
    </w:p>
    <w:p>
      <w:pPr>
        <w:pStyle w:val="BodyText"/>
        <w:spacing w:before="5"/>
        <w:rPr>
          <w:sz w:val="14"/>
        </w:rPr>
      </w:pPr>
    </w:p>
    <w:p>
      <w:pPr>
        <w:pStyle w:val="BodyText"/>
        <w:spacing w:line="249" w:lineRule="auto"/>
        <w:ind w:left="327" w:right="-10"/>
      </w:pPr>
      <w:r>
        <w:rPr>
          <w:w w:val="80"/>
        </w:rPr>
        <w:t>In </w:t>
      </w:r>
      <w:r>
        <w:rPr>
          <w:w w:val="85"/>
        </w:rPr>
        <w:t>2016, </w:t>
      </w:r>
      <w:r>
        <w:rPr>
          <w:spacing w:val="1"/>
          <w:w w:val="99"/>
        </w:rPr>
        <w:t>OHR</w:t>
      </w:r>
      <w:r>
        <w:rPr>
          <w:w w:val="99"/>
        </w:rPr>
        <w:t> </w:t>
      </w:r>
      <w:r>
        <w:rPr>
          <w:spacing w:val="-1"/>
          <w:w w:val="98"/>
        </w:rPr>
        <w:t>continued</w:t>
      </w:r>
      <w:r>
        <w:rPr>
          <w:w w:val="98"/>
        </w:rPr>
        <w:t> </w:t>
      </w:r>
      <w:r>
        <w:rPr>
          <w:spacing w:val="-2"/>
          <w:w w:val="101"/>
        </w:rPr>
        <w:t>to</w:t>
      </w:r>
      <w:r>
        <w:rPr>
          <w:w w:val="101"/>
        </w:rPr>
        <w:t> </w:t>
      </w:r>
      <w:r>
        <w:rPr>
          <w:spacing w:val="-1"/>
          <w:w w:val="97"/>
        </w:rPr>
        <w:t>deliver</w:t>
      </w:r>
      <w:r>
        <w:rPr>
          <w:w w:val="97"/>
        </w:rPr>
        <w:t> </w:t>
      </w:r>
      <w:r>
        <w:rPr>
          <w:spacing w:val="-1"/>
          <w:w w:val="98"/>
        </w:rPr>
        <w:t>strategically</w:t>
      </w:r>
      <w:r>
        <w:rPr>
          <w:w w:val="98"/>
        </w:rPr>
        <w:t> </w:t>
      </w:r>
      <w:r>
        <w:rPr/>
        <w:t>aligned</w:t>
      </w:r>
      <w:r>
        <w:rPr>
          <w:spacing w:val="-26"/>
        </w:rPr>
        <w:t> </w:t>
      </w:r>
      <w:r>
        <w:rPr/>
        <w:t>programs</w:t>
      </w:r>
      <w:r>
        <w:rPr>
          <w:spacing w:val="-26"/>
        </w:rPr>
        <w:t> </w:t>
      </w:r>
      <w:r>
        <w:rPr/>
        <w:t>of</w:t>
      </w:r>
      <w:r>
        <w:rPr>
          <w:spacing w:val="-26"/>
        </w:rPr>
        <w:t> </w:t>
      </w:r>
      <w:r>
        <w:rPr/>
        <w:t>work,</w:t>
      </w:r>
      <w:r>
        <w:rPr>
          <w:spacing w:val="-26"/>
        </w:rPr>
        <w:t> </w:t>
      </w:r>
      <w:r>
        <w:rPr/>
        <w:t>including</w:t>
      </w:r>
      <w:r>
        <w:rPr>
          <w:spacing w:val="-26"/>
        </w:rPr>
        <w:t> </w:t>
      </w:r>
      <w:r>
        <w:rPr/>
        <w:t>workforce planning and design, casual employment management, payroll delivery improvements, academic</w:t>
      </w:r>
      <w:r>
        <w:rPr>
          <w:spacing w:val="-34"/>
        </w:rPr>
        <w:t> </w:t>
      </w:r>
      <w:r>
        <w:rPr/>
        <w:t>career</w:t>
      </w:r>
      <w:r>
        <w:rPr>
          <w:spacing w:val="-34"/>
        </w:rPr>
        <w:t> </w:t>
      </w:r>
      <w:r>
        <w:rPr/>
        <w:t>progression</w:t>
      </w:r>
      <w:r>
        <w:rPr>
          <w:spacing w:val="-34"/>
        </w:rPr>
        <w:t> </w:t>
      </w:r>
      <w:r>
        <w:rPr/>
        <w:t>and</w:t>
      </w:r>
      <w:r>
        <w:rPr>
          <w:spacing w:val="-34"/>
        </w:rPr>
        <w:t> </w:t>
      </w:r>
      <w:r>
        <w:rPr/>
        <w:t>development, HR services integration and consolidation, </w:t>
      </w:r>
      <w:r>
        <w:rPr>
          <w:w w:val="95"/>
        </w:rPr>
        <w:t>industrial relations planning and</w:t>
      </w:r>
      <w:r>
        <w:rPr>
          <w:spacing w:val="-18"/>
          <w:w w:val="95"/>
        </w:rPr>
        <w:t> </w:t>
      </w:r>
      <w:r>
        <w:rPr>
          <w:w w:val="95"/>
        </w:rPr>
        <w:t>delivery.</w:t>
      </w:r>
    </w:p>
    <w:p>
      <w:pPr>
        <w:pStyle w:val="BodyText"/>
        <w:spacing w:before="3"/>
        <w:rPr>
          <w:sz w:val="19"/>
        </w:rPr>
      </w:pPr>
    </w:p>
    <w:p>
      <w:pPr>
        <w:pStyle w:val="Heading7"/>
        <w:ind w:left="327" w:right="44"/>
      </w:pPr>
      <w:r>
        <w:rPr>
          <w:w w:val="95"/>
        </w:rPr>
        <w:t>HR PROJECTS AND SUPPORT SERVICES</w:t>
      </w:r>
    </w:p>
    <w:p>
      <w:pPr>
        <w:pStyle w:val="BodyText"/>
        <w:spacing w:line="249" w:lineRule="auto" w:before="58"/>
        <w:ind w:left="327" w:right="316"/>
      </w:pPr>
      <w:r>
        <w:rPr/>
        <w:t>HR Projects and Support Services deliver a range of projects and events including the Vice-Chancellor’s Excellence Awards, Professional Staff Conference, Academic Promotions, Academic Development</w:t>
      </w:r>
    </w:p>
    <w:p>
      <w:pPr>
        <w:pStyle w:val="BodyText"/>
        <w:rPr>
          <w:sz w:val="20"/>
        </w:rPr>
      </w:pPr>
      <w:r>
        <w:rPr/>
        <w:br w:type="column"/>
      </w:r>
      <w:r>
        <w:rPr>
          <w:sz w:val="20"/>
        </w:rPr>
      </w:r>
    </w:p>
    <w:p>
      <w:pPr>
        <w:pStyle w:val="BodyText"/>
        <w:spacing w:line="249" w:lineRule="auto" w:before="1"/>
        <w:ind w:left="185" w:right="63"/>
      </w:pPr>
      <w:r>
        <w:rPr/>
        <w:t>Program, the Vice-Chancellor’s Professional Development Scholarships, Western Sydney University Staff Postgraduate Coursework Study Scholarships, Senior Management Conference and the Quality Forum</w:t>
      </w:r>
    </w:p>
    <w:p>
      <w:pPr>
        <w:pStyle w:val="BodyText"/>
        <w:spacing w:before="6"/>
        <w:rPr>
          <w:sz w:val="14"/>
        </w:rPr>
      </w:pPr>
    </w:p>
    <w:p>
      <w:pPr>
        <w:pStyle w:val="Heading7"/>
        <w:ind w:left="185" w:right="63"/>
      </w:pPr>
      <w:r>
        <w:rPr>
          <w:color w:val="615C58"/>
          <w:w w:val="95"/>
        </w:rPr>
        <w:t>Academic Development Program</w:t>
      </w:r>
    </w:p>
    <w:p>
      <w:pPr>
        <w:pStyle w:val="BodyText"/>
        <w:spacing w:line="249" w:lineRule="auto" w:before="86"/>
        <w:ind w:left="185" w:right="63"/>
      </w:pPr>
      <w:r>
        <w:rPr/>
        <w:t>The Academic Development Program (ADP) allows our academic staff to undertake a sustained period of academic development</w:t>
      </w:r>
    </w:p>
    <w:p>
      <w:pPr>
        <w:pStyle w:val="BodyText"/>
        <w:spacing w:line="249" w:lineRule="auto"/>
        <w:ind w:left="185" w:right="136"/>
      </w:pPr>
      <w:r>
        <w:rPr/>
        <w:t>–</w:t>
      </w:r>
      <w:r>
        <w:rPr>
          <w:spacing w:val="-20"/>
        </w:rPr>
        <w:t> </w:t>
      </w:r>
      <w:r>
        <w:rPr/>
        <w:t>for</w:t>
      </w:r>
      <w:r>
        <w:rPr>
          <w:spacing w:val="-20"/>
        </w:rPr>
        <w:t> </w:t>
      </w:r>
      <w:r>
        <w:rPr/>
        <w:t>up</w:t>
      </w:r>
      <w:r>
        <w:rPr>
          <w:spacing w:val="-20"/>
        </w:rPr>
        <w:t> </w:t>
      </w:r>
      <w:r>
        <w:rPr/>
        <w:t>to</w:t>
      </w:r>
      <w:r>
        <w:rPr>
          <w:spacing w:val="-20"/>
        </w:rPr>
        <w:t> </w:t>
      </w:r>
      <w:r>
        <w:rPr>
          <w:spacing w:val="2"/>
        </w:rPr>
        <w:t>22</w:t>
      </w:r>
      <w:r>
        <w:rPr>
          <w:spacing w:val="-20"/>
        </w:rPr>
        <w:t> </w:t>
      </w:r>
      <w:r>
        <w:rPr/>
        <w:t>weeks</w:t>
      </w:r>
      <w:r>
        <w:rPr>
          <w:spacing w:val="-20"/>
        </w:rPr>
        <w:t> </w:t>
      </w:r>
      <w:r>
        <w:rPr/>
        <w:t>–</w:t>
      </w:r>
      <w:r>
        <w:rPr>
          <w:spacing w:val="-20"/>
        </w:rPr>
        <w:t> </w:t>
      </w:r>
      <w:r>
        <w:rPr/>
        <w:t>to</w:t>
      </w:r>
      <w:r>
        <w:rPr>
          <w:spacing w:val="-20"/>
        </w:rPr>
        <w:t> </w:t>
      </w:r>
      <w:r>
        <w:rPr/>
        <w:t>pursue</w:t>
      </w:r>
      <w:r>
        <w:rPr>
          <w:spacing w:val="-20"/>
        </w:rPr>
        <w:t> </w:t>
      </w:r>
      <w:r>
        <w:rPr/>
        <w:t>research;</w:t>
      </w:r>
      <w:r>
        <w:rPr>
          <w:spacing w:val="-20"/>
        </w:rPr>
        <w:t> </w:t>
      </w:r>
      <w:r>
        <w:rPr/>
        <w:t>to acquire new skills and knowledge that can be applied to their teaching; or to develop ongoing</w:t>
      </w:r>
      <w:r>
        <w:rPr>
          <w:spacing w:val="-19"/>
        </w:rPr>
        <w:t> </w:t>
      </w:r>
      <w:r>
        <w:rPr/>
        <w:t>partnerships</w:t>
      </w:r>
      <w:r>
        <w:rPr>
          <w:spacing w:val="-19"/>
        </w:rPr>
        <w:t> </w:t>
      </w:r>
      <w:r>
        <w:rPr/>
        <w:t>with</w:t>
      </w:r>
      <w:r>
        <w:rPr>
          <w:spacing w:val="-19"/>
        </w:rPr>
        <w:t> </w:t>
      </w:r>
      <w:r>
        <w:rPr/>
        <w:t>international</w:t>
      </w:r>
    </w:p>
    <w:p>
      <w:pPr>
        <w:pStyle w:val="BodyText"/>
        <w:spacing w:line="249" w:lineRule="auto"/>
        <w:ind w:left="185" w:right="136"/>
      </w:pPr>
      <w:r>
        <w:rPr/>
        <w:t>and national collaborators and/or industry that will benefit the University. Eight academics will undertake the ADP in the </w:t>
      </w:r>
      <w:r>
        <w:rPr>
          <w:w w:val="97"/>
        </w:rPr>
        <w:t>first </w:t>
      </w:r>
      <w:r>
        <w:rPr>
          <w:w w:val="96"/>
        </w:rPr>
        <w:t>half </w:t>
      </w:r>
      <w:r>
        <w:rPr>
          <w:w w:val="99"/>
        </w:rPr>
        <w:t>of </w:t>
      </w:r>
      <w:r>
        <w:rPr>
          <w:w w:val="83"/>
        </w:rPr>
        <w:t>2017, </w:t>
      </w:r>
      <w:r>
        <w:rPr>
          <w:w w:val="97"/>
        </w:rPr>
        <w:t>and </w:t>
      </w:r>
      <w:r>
        <w:rPr>
          <w:w w:val="93"/>
        </w:rPr>
        <w:t>23 </w:t>
      </w:r>
      <w:r>
        <w:rPr>
          <w:w w:val="97"/>
        </w:rPr>
        <w:t>will </w:t>
      </w:r>
      <w:r>
        <w:rPr>
          <w:w w:val="97"/>
        </w:rPr>
        <w:t>undertake</w:t>
      </w:r>
    </w:p>
    <w:p>
      <w:pPr>
        <w:pStyle w:val="BodyText"/>
        <w:spacing w:line="192" w:lineRule="exact"/>
        <w:ind w:left="185" w:right="63"/>
      </w:pPr>
      <w:r>
        <w:rPr>
          <w:w w:val="102"/>
        </w:rPr>
        <w:t>t</w:t>
      </w:r>
      <w:r>
        <w:rPr>
          <w:spacing w:val="2"/>
          <w:w w:val="95"/>
        </w:rPr>
        <w:t>h</w:t>
      </w:r>
      <w:r>
        <w:rPr>
          <w:w w:val="95"/>
        </w:rPr>
        <w:t>e</w:t>
      </w:r>
      <w:r>
        <w:rPr>
          <w:spacing w:val="-12"/>
        </w:rPr>
        <w:t> </w:t>
      </w:r>
      <w:r>
        <w:rPr>
          <w:spacing w:val="2"/>
          <w:w w:val="112"/>
        </w:rPr>
        <w:t>A</w:t>
      </w:r>
      <w:r>
        <w:rPr>
          <w:spacing w:val="3"/>
          <w:w w:val="98"/>
        </w:rPr>
        <w:t>D</w:t>
      </w:r>
      <w:r>
        <w:rPr>
          <w:w w:val="104"/>
        </w:rPr>
        <w:t>P</w:t>
      </w:r>
      <w:r>
        <w:rPr>
          <w:spacing w:val="-12"/>
        </w:rPr>
        <w:t> </w:t>
      </w:r>
      <w:r>
        <w:rPr>
          <w:spacing w:val="1"/>
          <w:w w:val="95"/>
        </w:rPr>
        <w:t>i</w:t>
      </w:r>
      <w:r>
        <w:rPr>
          <w:w w:val="95"/>
        </w:rPr>
        <w:t>n</w:t>
      </w:r>
      <w:r>
        <w:rPr>
          <w:spacing w:val="-12"/>
        </w:rPr>
        <w:t> </w:t>
      </w:r>
      <w:r>
        <w:rPr>
          <w:w w:val="102"/>
        </w:rPr>
        <w:t>t</w:t>
      </w:r>
      <w:r>
        <w:rPr>
          <w:spacing w:val="2"/>
          <w:w w:val="95"/>
        </w:rPr>
        <w:t>h</w:t>
      </w:r>
      <w:r>
        <w:rPr>
          <w:w w:val="95"/>
        </w:rPr>
        <w:t>e</w:t>
      </w:r>
      <w:r>
        <w:rPr>
          <w:spacing w:val="-12"/>
        </w:rPr>
        <w:t> </w:t>
      </w:r>
      <w:r>
        <w:rPr>
          <w:spacing w:val="2"/>
          <w:w w:val="95"/>
        </w:rPr>
        <w:t>s</w:t>
      </w:r>
      <w:r>
        <w:rPr>
          <w:spacing w:val="3"/>
          <w:w w:val="95"/>
        </w:rPr>
        <w:t>e</w:t>
      </w:r>
      <w:r>
        <w:rPr>
          <w:w w:val="102"/>
        </w:rPr>
        <w:t>c</w:t>
      </w:r>
      <w:r>
        <w:rPr>
          <w:spacing w:val="2"/>
          <w:w w:val="100"/>
        </w:rPr>
        <w:t>o</w:t>
      </w:r>
      <w:r>
        <w:rPr>
          <w:spacing w:val="2"/>
          <w:w w:val="95"/>
        </w:rPr>
        <w:t>n</w:t>
      </w:r>
      <w:r>
        <w:rPr>
          <w:w w:val="102"/>
        </w:rPr>
        <w:t>d</w:t>
      </w:r>
      <w:r>
        <w:rPr>
          <w:spacing w:val="-12"/>
        </w:rPr>
        <w:t> </w:t>
      </w:r>
      <w:r>
        <w:rPr>
          <w:spacing w:val="2"/>
          <w:w w:val="95"/>
        </w:rPr>
        <w:t>h</w:t>
      </w:r>
      <w:r>
        <w:rPr>
          <w:spacing w:val="2"/>
          <w:w w:val="94"/>
        </w:rPr>
        <w:t>a</w:t>
      </w:r>
      <w:r>
        <w:rPr>
          <w:w w:val="95"/>
        </w:rPr>
        <w:t>l</w:t>
      </w:r>
      <w:r>
        <w:rPr>
          <w:w w:val="98"/>
        </w:rPr>
        <w:t>f</w:t>
      </w:r>
      <w:r>
        <w:rPr>
          <w:spacing w:val="-12"/>
        </w:rPr>
        <w:t> </w:t>
      </w:r>
      <w:r>
        <w:rPr>
          <w:w w:val="100"/>
        </w:rPr>
        <w:t>o</w:t>
      </w:r>
      <w:r>
        <w:rPr>
          <w:w w:val="98"/>
        </w:rPr>
        <w:t>f</w:t>
      </w:r>
      <w:r>
        <w:rPr>
          <w:spacing w:val="-12"/>
        </w:rPr>
        <w:t> </w:t>
      </w:r>
      <w:r>
        <w:rPr>
          <w:spacing w:val="2"/>
          <w:w w:val="93"/>
        </w:rPr>
        <w:t>2</w:t>
      </w:r>
      <w:r>
        <w:rPr>
          <w:spacing w:val="1"/>
          <w:w w:val="111"/>
        </w:rPr>
        <w:t>0</w:t>
      </w:r>
      <w:r>
        <w:rPr>
          <w:w w:val="54"/>
        </w:rPr>
        <w:t>1</w:t>
      </w:r>
      <w:r>
        <w:rPr>
          <w:spacing w:val="-10"/>
          <w:w w:val="91"/>
        </w:rPr>
        <w:t>7</w:t>
      </w:r>
      <w:r>
        <w:rPr>
          <w:w w:val="68"/>
        </w:rPr>
        <w:t>.</w:t>
      </w:r>
    </w:p>
    <w:p>
      <w:pPr>
        <w:pStyle w:val="BodyText"/>
        <w:spacing w:before="2"/>
        <w:rPr>
          <w:sz w:val="15"/>
        </w:rPr>
      </w:pPr>
    </w:p>
    <w:p>
      <w:pPr>
        <w:pStyle w:val="Heading7"/>
        <w:ind w:left="185" w:right="63"/>
      </w:pPr>
      <w:r>
        <w:rPr>
          <w:color w:val="615C58"/>
          <w:w w:val="95"/>
        </w:rPr>
        <w:t>Academic Promotions</w:t>
      </w:r>
    </w:p>
    <w:p>
      <w:pPr>
        <w:pStyle w:val="BodyText"/>
        <w:spacing w:line="249" w:lineRule="auto" w:before="86"/>
        <w:ind w:left="185" w:right="-3"/>
      </w:pPr>
      <w:r>
        <w:rPr>
          <w:spacing w:val="1"/>
          <w:w w:val="94"/>
        </w:rPr>
        <w:t>The</w:t>
      </w:r>
      <w:r>
        <w:rPr>
          <w:w w:val="94"/>
        </w:rPr>
        <w:t> </w:t>
      </w:r>
      <w:r>
        <w:rPr>
          <w:spacing w:val="1"/>
          <w:w w:val="90"/>
        </w:rPr>
        <w:t>2016</w:t>
      </w:r>
      <w:r>
        <w:rPr>
          <w:w w:val="90"/>
        </w:rPr>
        <w:t> </w:t>
      </w:r>
      <w:r>
        <w:rPr>
          <w:w w:val="97"/>
        </w:rPr>
        <w:t>round </w:t>
      </w:r>
      <w:r>
        <w:rPr>
          <w:w w:val="99"/>
        </w:rPr>
        <w:t>of </w:t>
      </w:r>
      <w:r>
        <w:rPr>
          <w:spacing w:val="1"/>
          <w:w w:val="98"/>
        </w:rPr>
        <w:t>academic</w:t>
      </w:r>
      <w:r>
        <w:rPr>
          <w:w w:val="98"/>
        </w:rPr>
        <w:t> </w:t>
      </w:r>
      <w:r>
        <w:rPr>
          <w:spacing w:val="1"/>
          <w:w w:val="98"/>
        </w:rPr>
        <w:t>promotions</w:t>
      </w:r>
      <w:r>
        <w:rPr>
          <w:w w:val="98"/>
        </w:rPr>
        <w:t> </w:t>
      </w:r>
      <w:r>
        <w:rPr/>
        <w:t>attracted 70 applications. The applications were</w:t>
      </w:r>
      <w:r>
        <w:rPr>
          <w:spacing w:val="-11"/>
        </w:rPr>
        <w:t> </w:t>
      </w:r>
      <w:r>
        <w:rPr/>
        <w:t>considered</w:t>
      </w:r>
      <w:r>
        <w:rPr>
          <w:spacing w:val="-11"/>
        </w:rPr>
        <w:t> </w:t>
      </w:r>
      <w:r>
        <w:rPr/>
        <w:t>by</w:t>
      </w:r>
      <w:r>
        <w:rPr>
          <w:spacing w:val="-11"/>
        </w:rPr>
        <w:t> </w:t>
      </w:r>
      <w:r>
        <w:rPr/>
        <w:t>the</w:t>
      </w:r>
      <w:r>
        <w:rPr>
          <w:spacing w:val="-11"/>
        </w:rPr>
        <w:t> </w:t>
      </w:r>
      <w:r>
        <w:rPr/>
        <w:t>Academic</w:t>
      </w:r>
      <w:r>
        <w:rPr>
          <w:spacing w:val="-11"/>
        </w:rPr>
        <w:t> </w:t>
      </w:r>
      <w:r>
        <w:rPr/>
        <w:t>Promotions Committees established under the provisions of</w:t>
      </w:r>
      <w:r>
        <w:rPr>
          <w:spacing w:val="-11"/>
        </w:rPr>
        <w:t> </w:t>
      </w:r>
      <w:r>
        <w:rPr/>
        <w:t>the</w:t>
      </w:r>
      <w:r>
        <w:rPr>
          <w:spacing w:val="-11"/>
        </w:rPr>
        <w:t> </w:t>
      </w:r>
      <w:r>
        <w:rPr/>
        <w:t>Academic</w:t>
      </w:r>
      <w:r>
        <w:rPr>
          <w:spacing w:val="-11"/>
        </w:rPr>
        <w:t> </w:t>
      </w:r>
      <w:r>
        <w:rPr/>
        <w:t>Promotions</w:t>
      </w:r>
      <w:r>
        <w:rPr>
          <w:spacing w:val="-11"/>
        </w:rPr>
        <w:t> </w:t>
      </w:r>
      <w:r>
        <w:rPr/>
        <w:t>Policies,</w:t>
      </w:r>
      <w:r>
        <w:rPr>
          <w:spacing w:val="-11"/>
        </w:rPr>
        <w:t> </w:t>
      </w:r>
      <w:r>
        <w:rPr/>
        <w:t>with</w:t>
      </w:r>
    </w:p>
    <w:p>
      <w:pPr>
        <w:pStyle w:val="BodyText"/>
        <w:spacing w:line="249" w:lineRule="auto"/>
        <w:ind w:left="185" w:right="135"/>
      </w:pPr>
      <w:r>
        <w:rPr/>
        <w:t>53 applicants gaining promotion. The table below illustrates the distribution of staff, year on year, across different categories.</w:t>
      </w:r>
    </w:p>
    <w:p>
      <w:pPr>
        <w:pStyle w:val="BodyText"/>
        <w:spacing w:before="3"/>
        <w:rPr>
          <w:sz w:val="19"/>
        </w:rPr>
      </w:pPr>
    </w:p>
    <w:p>
      <w:pPr>
        <w:pStyle w:val="Heading7"/>
        <w:ind w:left="185" w:right="63"/>
      </w:pPr>
      <w:r>
        <w:rPr>
          <w:w w:val="95"/>
        </w:rPr>
        <w:t>HR PARTNERSHIPS</w:t>
      </w:r>
    </w:p>
    <w:p>
      <w:pPr>
        <w:pStyle w:val="BodyText"/>
        <w:spacing w:line="249" w:lineRule="auto" w:before="58"/>
        <w:ind w:left="185" w:right="226"/>
      </w:pPr>
      <w:r>
        <w:rPr/>
        <w:t>HR Partnerships partner with University leaders and managers to embed strategic initiatives and enable the optimum development of capability within the University. This is delivered through strong</w:t>
      </w:r>
      <w:r>
        <w:rPr>
          <w:spacing w:val="-25"/>
        </w:rPr>
        <w:t> </w:t>
      </w:r>
      <w:r>
        <w:rPr/>
        <w:t>relationships</w:t>
      </w:r>
      <w:r>
        <w:rPr>
          <w:spacing w:val="-25"/>
        </w:rPr>
        <w:t> </w:t>
      </w:r>
      <w:r>
        <w:rPr/>
        <w:t>with</w:t>
      </w:r>
      <w:r>
        <w:rPr>
          <w:spacing w:val="-25"/>
        </w:rPr>
        <w:t> </w:t>
      </w:r>
      <w:r>
        <w:rPr/>
        <w:t>key</w:t>
      </w:r>
      <w:r>
        <w:rPr>
          <w:spacing w:val="-25"/>
        </w:rPr>
        <w:t> </w:t>
      </w:r>
      <w:r>
        <w:rPr/>
        <w:t>stakeholders;</w:t>
      </w:r>
    </w:p>
    <w:p>
      <w:pPr>
        <w:pStyle w:val="BodyText"/>
        <w:spacing w:line="192" w:lineRule="exact"/>
        <w:ind w:left="185" w:right="-3"/>
      </w:pPr>
      <w:r>
        <w:rPr/>
        <w:pict>
          <v:group style="position:absolute;margin-left:34.015999pt;margin-top:32.215408pt;width:527.25pt;height:133.25pt;mso-position-horizontal-relative:page;mso-position-vertical-relative:paragraph;z-index:-335944" coordorigin="680,644" coordsize="10545,2665">
            <v:rect style="position:absolute;left:680;top:644;width:10545;height:2665" filled="true" fillcolor="#e9e9e9" stroked="false">
              <v:fill type="solid"/>
            </v:rect>
            <v:shape style="position:absolute;left:907;top:875;width:9760;height:674" type="#_x0000_t202" filled="false" stroked="false">
              <v:textbox inset="0,0,0,0">
                <w:txbxContent>
                  <w:p>
                    <w:pPr>
                      <w:spacing w:line="246" w:lineRule="exact" w:before="0"/>
                      <w:ind w:left="0" w:right="0" w:firstLine="0"/>
                      <w:jc w:val="left"/>
                      <w:rPr>
                        <w:rFonts w:ascii="Gotham Narrow Bold"/>
                        <w:b/>
                        <w:sz w:val="24"/>
                      </w:rPr>
                    </w:pPr>
                    <w:r>
                      <w:rPr>
                        <w:rFonts w:ascii="Gotham Narrow Bold"/>
                        <w:b/>
                        <w:w w:val="95"/>
                        <w:sz w:val="24"/>
                      </w:rPr>
                      <w:t>UNIVERSITY STAFF PROFILE</w:t>
                    </w:r>
                  </w:p>
                  <w:p>
                    <w:pPr>
                      <w:spacing w:line="249" w:lineRule="auto" w:before="39"/>
                      <w:ind w:left="0" w:right="0" w:firstLine="0"/>
                      <w:jc w:val="left"/>
                      <w:rPr>
                        <w:sz w:val="16"/>
                      </w:rPr>
                    </w:pPr>
                    <w:r>
                      <w:rPr>
                        <w:w w:val="95"/>
                        <w:sz w:val="16"/>
                      </w:rPr>
                      <w:t>There </w:t>
                    </w:r>
                    <w:r>
                      <w:rPr>
                        <w:w w:val="97"/>
                        <w:sz w:val="16"/>
                      </w:rPr>
                      <w:t>were </w:t>
                    </w:r>
                    <w:r>
                      <w:rPr>
                        <w:w w:val="79"/>
                        <w:sz w:val="16"/>
                      </w:rPr>
                      <w:t>2,651.91 </w:t>
                    </w:r>
                    <w:r>
                      <w:rPr>
                        <w:w w:val="97"/>
                        <w:sz w:val="16"/>
                      </w:rPr>
                      <w:t>full-time </w:t>
                    </w:r>
                    <w:r>
                      <w:rPr>
                        <w:w w:val="97"/>
                        <w:sz w:val="16"/>
                      </w:rPr>
                      <w:t>equivalent </w:t>
                    </w:r>
                    <w:r>
                      <w:rPr>
                        <w:w w:val="97"/>
                        <w:sz w:val="16"/>
                      </w:rPr>
                      <w:t>staff </w:t>
                    </w:r>
                    <w:r>
                      <w:rPr>
                        <w:w w:val="97"/>
                        <w:sz w:val="16"/>
                      </w:rPr>
                      <w:t>members </w:t>
                    </w:r>
                    <w:r>
                      <w:rPr>
                        <w:w w:val="95"/>
                        <w:sz w:val="16"/>
                      </w:rPr>
                      <w:t>in </w:t>
                    </w:r>
                    <w:r>
                      <w:rPr>
                        <w:w w:val="98"/>
                        <w:sz w:val="16"/>
                      </w:rPr>
                      <w:t>ongoing </w:t>
                    </w:r>
                    <w:r>
                      <w:rPr>
                        <w:w w:val="97"/>
                        <w:sz w:val="16"/>
                      </w:rPr>
                      <w:t>and </w:t>
                    </w:r>
                    <w:r>
                      <w:rPr>
                        <w:w w:val="98"/>
                        <w:sz w:val="16"/>
                      </w:rPr>
                      <w:t>fixed-term </w:t>
                    </w:r>
                    <w:r>
                      <w:rPr>
                        <w:w w:val="98"/>
                        <w:sz w:val="16"/>
                      </w:rPr>
                      <w:t>positions </w:t>
                    </w:r>
                    <w:r>
                      <w:rPr>
                        <w:w w:val="94"/>
                        <w:sz w:val="16"/>
                      </w:rPr>
                      <w:t>as </w:t>
                    </w:r>
                    <w:r>
                      <w:rPr>
                        <w:w w:val="98"/>
                        <w:sz w:val="16"/>
                      </w:rPr>
                      <w:t>at </w:t>
                    </w:r>
                    <w:r>
                      <w:rPr>
                        <w:w w:val="74"/>
                        <w:sz w:val="16"/>
                      </w:rPr>
                      <w:t>31 </w:t>
                    </w:r>
                    <w:r>
                      <w:rPr>
                        <w:w w:val="97"/>
                        <w:sz w:val="16"/>
                      </w:rPr>
                      <w:t>March </w:t>
                    </w:r>
                    <w:r>
                      <w:rPr>
                        <w:w w:val="85"/>
                        <w:sz w:val="16"/>
                      </w:rPr>
                      <w:t>2016. </w:t>
                    </w:r>
                    <w:r>
                      <w:rPr>
                        <w:w w:val="94"/>
                        <w:sz w:val="16"/>
                      </w:rPr>
                      <w:t>The </w:t>
                    </w:r>
                    <w:r>
                      <w:rPr>
                        <w:w w:val="99"/>
                        <w:sz w:val="16"/>
                      </w:rPr>
                      <w:t>below </w:t>
                    </w:r>
                    <w:r>
                      <w:rPr>
                        <w:w w:val="98"/>
                        <w:sz w:val="16"/>
                      </w:rPr>
                      <w:t>table </w:t>
                    </w:r>
                    <w:r>
                      <w:rPr>
                        <w:w w:val="96"/>
                        <w:sz w:val="16"/>
                      </w:rPr>
                      <w:t>illustrates </w:t>
                    </w:r>
                    <w:r>
                      <w:rPr>
                        <w:w w:val="97"/>
                        <w:sz w:val="16"/>
                      </w:rPr>
                      <w:t>the </w:t>
                    </w:r>
                    <w:r>
                      <w:rPr>
                        <w:sz w:val="16"/>
                      </w:rPr>
                      <w:t>distribution of staff, year on year, across different categories:</w:t>
                    </w:r>
                  </w:p>
                </w:txbxContent>
              </v:textbox>
              <w10:wrap type="none"/>
            </v:shape>
            <v:shape style="position:absolute;left:907;top:2921;width:5860;height:160" type="#_x0000_t202" filled="false" stroked="false">
              <v:textbox inset="0,0,0,0">
                <w:txbxContent>
                  <w:p>
                    <w:pPr>
                      <w:spacing w:line="160" w:lineRule="exact" w:before="0"/>
                      <w:ind w:left="0" w:right="0" w:firstLine="0"/>
                      <w:jc w:val="left"/>
                      <w:rPr>
                        <w:sz w:val="16"/>
                      </w:rPr>
                    </w:pPr>
                    <w:r>
                      <w:rPr>
                        <w:spacing w:val="1"/>
                        <w:w w:val="96"/>
                        <w:sz w:val="16"/>
                      </w:rPr>
                      <w:t>(</w:t>
                    </w:r>
                    <w:r>
                      <w:rPr>
                        <w:spacing w:val="3"/>
                        <w:w w:val="70"/>
                        <w:sz w:val="16"/>
                      </w:rPr>
                      <w:t>*</w:t>
                    </w:r>
                    <w:r>
                      <w:rPr>
                        <w:spacing w:val="2"/>
                        <w:w w:val="92"/>
                        <w:sz w:val="16"/>
                      </w:rPr>
                      <w:t>T</w:t>
                    </w:r>
                    <w:r>
                      <w:rPr>
                        <w:spacing w:val="2"/>
                        <w:w w:val="95"/>
                        <w:sz w:val="16"/>
                      </w:rPr>
                      <w:t>h</w:t>
                    </w:r>
                    <w:r>
                      <w:rPr>
                        <w:w w:val="95"/>
                        <w:sz w:val="16"/>
                      </w:rPr>
                      <w:t>e</w:t>
                    </w:r>
                    <w:r>
                      <w:rPr>
                        <w:spacing w:val="-12"/>
                        <w:sz w:val="16"/>
                      </w:rPr>
                      <w:t> </w:t>
                    </w:r>
                    <w:r>
                      <w:rPr>
                        <w:spacing w:val="2"/>
                        <w:w w:val="94"/>
                        <w:sz w:val="16"/>
                      </w:rPr>
                      <w:t>a</w:t>
                    </w:r>
                    <w:r>
                      <w:rPr>
                        <w:spacing w:val="2"/>
                        <w:w w:val="102"/>
                        <w:sz w:val="16"/>
                      </w:rPr>
                      <w:t>b</w:t>
                    </w:r>
                    <w:r>
                      <w:rPr>
                        <w:spacing w:val="-1"/>
                        <w:w w:val="100"/>
                        <w:sz w:val="16"/>
                      </w:rPr>
                      <w:t>o</w:t>
                    </w:r>
                    <w:r>
                      <w:rPr>
                        <w:spacing w:val="-1"/>
                        <w:w w:val="101"/>
                        <w:sz w:val="16"/>
                      </w:rPr>
                      <w:t>v</w:t>
                    </w:r>
                    <w:r>
                      <w:rPr>
                        <w:w w:val="95"/>
                        <w:sz w:val="16"/>
                      </w:rPr>
                      <w:t>e</w:t>
                    </w:r>
                    <w:r>
                      <w:rPr>
                        <w:spacing w:val="-12"/>
                        <w:sz w:val="16"/>
                      </w:rPr>
                      <w:t> </w:t>
                    </w:r>
                    <w:r>
                      <w:rPr>
                        <w:spacing w:val="2"/>
                        <w:w w:val="102"/>
                        <w:sz w:val="16"/>
                      </w:rPr>
                      <w:t>t</w:t>
                    </w:r>
                    <w:r>
                      <w:rPr>
                        <w:spacing w:val="2"/>
                        <w:w w:val="94"/>
                        <w:sz w:val="16"/>
                      </w:rPr>
                      <w:t>a</w:t>
                    </w:r>
                    <w:r>
                      <w:rPr>
                        <w:spacing w:val="2"/>
                        <w:w w:val="102"/>
                        <w:sz w:val="16"/>
                      </w:rPr>
                      <w:t>b</w:t>
                    </w:r>
                    <w:r>
                      <w:rPr>
                        <w:spacing w:val="2"/>
                        <w:w w:val="95"/>
                        <w:sz w:val="16"/>
                      </w:rPr>
                      <w:t>l</w:t>
                    </w:r>
                    <w:r>
                      <w:rPr>
                        <w:w w:val="95"/>
                        <w:sz w:val="16"/>
                      </w:rPr>
                      <w:t>e</w:t>
                    </w:r>
                    <w:r>
                      <w:rPr>
                        <w:spacing w:val="-12"/>
                        <w:sz w:val="16"/>
                      </w:rPr>
                      <w:t> </w:t>
                    </w:r>
                    <w:r>
                      <w:rPr>
                        <w:spacing w:val="2"/>
                        <w:w w:val="102"/>
                        <w:sz w:val="16"/>
                      </w:rPr>
                      <w:t>d</w:t>
                    </w:r>
                    <w:r>
                      <w:rPr>
                        <w:spacing w:val="2"/>
                        <w:w w:val="100"/>
                        <w:sz w:val="16"/>
                      </w:rPr>
                      <w:t>o</w:t>
                    </w:r>
                    <w:r>
                      <w:rPr>
                        <w:spacing w:val="3"/>
                        <w:w w:val="95"/>
                        <w:sz w:val="16"/>
                      </w:rPr>
                      <w:t>e</w:t>
                    </w:r>
                    <w:r>
                      <w:rPr>
                        <w:w w:val="95"/>
                        <w:sz w:val="16"/>
                      </w:rPr>
                      <w:t>s</w:t>
                    </w:r>
                    <w:r>
                      <w:rPr>
                        <w:spacing w:val="-12"/>
                        <w:sz w:val="16"/>
                      </w:rPr>
                      <w:t> </w:t>
                    </w:r>
                    <w:r>
                      <w:rPr>
                        <w:spacing w:val="2"/>
                        <w:w w:val="95"/>
                        <w:sz w:val="16"/>
                      </w:rPr>
                      <w:t>n</w:t>
                    </w:r>
                    <w:r>
                      <w:rPr>
                        <w:w w:val="100"/>
                        <w:sz w:val="16"/>
                      </w:rPr>
                      <w:t>o</w:t>
                    </w:r>
                    <w:r>
                      <w:rPr>
                        <w:w w:val="102"/>
                        <w:sz w:val="16"/>
                      </w:rPr>
                      <w:t>t</w:t>
                    </w:r>
                    <w:r>
                      <w:rPr>
                        <w:spacing w:val="-12"/>
                        <w:sz w:val="16"/>
                      </w:rPr>
                      <w:t> </w:t>
                    </w:r>
                    <w:r>
                      <w:rPr>
                        <w:spacing w:val="1"/>
                        <w:w w:val="95"/>
                        <w:sz w:val="16"/>
                      </w:rPr>
                      <w:t>i</w:t>
                    </w:r>
                    <w:r>
                      <w:rPr>
                        <w:spacing w:val="2"/>
                        <w:w w:val="95"/>
                        <w:sz w:val="16"/>
                      </w:rPr>
                      <w:t>n</w:t>
                    </w:r>
                    <w:r>
                      <w:rPr>
                        <w:spacing w:val="1"/>
                        <w:w w:val="102"/>
                        <w:sz w:val="16"/>
                      </w:rPr>
                      <w:t>c</w:t>
                    </w:r>
                    <w:r>
                      <w:rPr>
                        <w:spacing w:val="1"/>
                        <w:w w:val="95"/>
                        <w:sz w:val="16"/>
                      </w:rPr>
                      <w:t>l</w:t>
                    </w:r>
                    <w:r>
                      <w:rPr>
                        <w:spacing w:val="2"/>
                        <w:w w:val="95"/>
                        <w:sz w:val="16"/>
                      </w:rPr>
                      <w:t>u</w:t>
                    </w:r>
                    <w:r>
                      <w:rPr>
                        <w:spacing w:val="2"/>
                        <w:w w:val="102"/>
                        <w:sz w:val="16"/>
                      </w:rPr>
                      <w:t>d</w:t>
                    </w:r>
                    <w:r>
                      <w:rPr>
                        <w:w w:val="95"/>
                        <w:sz w:val="16"/>
                      </w:rPr>
                      <w:t>e</w:t>
                    </w:r>
                    <w:r>
                      <w:rPr>
                        <w:spacing w:val="-12"/>
                        <w:sz w:val="16"/>
                      </w:rPr>
                      <w:t> </w:t>
                    </w:r>
                    <w:r>
                      <w:rPr>
                        <w:spacing w:val="3"/>
                        <w:w w:val="102"/>
                        <w:sz w:val="16"/>
                      </w:rPr>
                      <w:t>c</w:t>
                    </w:r>
                    <w:r>
                      <w:rPr>
                        <w:spacing w:val="2"/>
                        <w:w w:val="94"/>
                        <w:sz w:val="16"/>
                      </w:rPr>
                      <w:t>a</w:t>
                    </w:r>
                    <w:r>
                      <w:rPr>
                        <w:spacing w:val="1"/>
                        <w:w w:val="95"/>
                        <w:sz w:val="16"/>
                      </w:rPr>
                      <w:t>s</w:t>
                    </w:r>
                    <w:r>
                      <w:rPr>
                        <w:spacing w:val="2"/>
                        <w:w w:val="95"/>
                        <w:sz w:val="16"/>
                      </w:rPr>
                      <w:t>u</w:t>
                    </w:r>
                    <w:r>
                      <w:rPr>
                        <w:spacing w:val="2"/>
                        <w:w w:val="94"/>
                        <w:sz w:val="16"/>
                      </w:rPr>
                      <w:t>a</w:t>
                    </w:r>
                    <w:r>
                      <w:rPr>
                        <w:spacing w:val="1"/>
                        <w:w w:val="95"/>
                        <w:sz w:val="16"/>
                      </w:rPr>
                      <w:t>l</w:t>
                    </w:r>
                    <w:r>
                      <w:rPr>
                        <w:w w:val="95"/>
                        <w:sz w:val="16"/>
                      </w:rPr>
                      <w:t>s</w:t>
                    </w:r>
                    <w:r>
                      <w:rPr>
                        <w:spacing w:val="-12"/>
                        <w:sz w:val="16"/>
                      </w:rPr>
                      <w:t> </w:t>
                    </w:r>
                    <w:r>
                      <w:rPr>
                        <w:spacing w:val="2"/>
                        <w:w w:val="94"/>
                        <w:sz w:val="16"/>
                      </w:rPr>
                      <w:t>a</w:t>
                    </w:r>
                    <w:r>
                      <w:rPr>
                        <w:spacing w:val="2"/>
                        <w:w w:val="95"/>
                        <w:sz w:val="16"/>
                      </w:rPr>
                      <w:t>n</w:t>
                    </w:r>
                    <w:r>
                      <w:rPr>
                        <w:w w:val="102"/>
                        <w:sz w:val="16"/>
                      </w:rPr>
                      <w:t>d</w:t>
                    </w:r>
                    <w:r>
                      <w:rPr>
                        <w:spacing w:val="-12"/>
                        <w:sz w:val="16"/>
                      </w:rPr>
                      <w:t> </w:t>
                    </w:r>
                    <w:r>
                      <w:rPr>
                        <w:spacing w:val="1"/>
                        <w:w w:val="95"/>
                        <w:sz w:val="16"/>
                      </w:rPr>
                      <w:t>i</w:t>
                    </w:r>
                    <w:r>
                      <w:rPr>
                        <w:w w:val="95"/>
                        <w:sz w:val="16"/>
                      </w:rPr>
                      <w:t>s</w:t>
                    </w:r>
                    <w:r>
                      <w:rPr>
                        <w:spacing w:val="-12"/>
                        <w:sz w:val="16"/>
                      </w:rPr>
                      <w:t> </w:t>
                    </w:r>
                    <w:r>
                      <w:rPr>
                        <w:spacing w:val="2"/>
                        <w:w w:val="102"/>
                        <w:sz w:val="16"/>
                      </w:rPr>
                      <w:t>b</w:t>
                    </w:r>
                    <w:r>
                      <w:rPr>
                        <w:spacing w:val="2"/>
                        <w:w w:val="94"/>
                        <w:sz w:val="16"/>
                      </w:rPr>
                      <w:t>a</w:t>
                    </w:r>
                    <w:r>
                      <w:rPr>
                        <w:spacing w:val="2"/>
                        <w:w w:val="95"/>
                        <w:sz w:val="16"/>
                      </w:rPr>
                      <w:t>s</w:t>
                    </w:r>
                    <w:r>
                      <w:rPr>
                        <w:spacing w:val="3"/>
                        <w:w w:val="95"/>
                        <w:sz w:val="16"/>
                      </w:rPr>
                      <w:t>e</w:t>
                    </w:r>
                    <w:r>
                      <w:rPr>
                        <w:w w:val="102"/>
                        <w:sz w:val="16"/>
                      </w:rPr>
                      <w:t>d</w:t>
                    </w:r>
                    <w:r>
                      <w:rPr>
                        <w:spacing w:val="-12"/>
                        <w:sz w:val="16"/>
                      </w:rPr>
                      <w:t> </w:t>
                    </w:r>
                    <w:r>
                      <w:rPr>
                        <w:spacing w:val="2"/>
                        <w:w w:val="100"/>
                        <w:sz w:val="16"/>
                      </w:rPr>
                      <w:t>o</w:t>
                    </w:r>
                    <w:r>
                      <w:rPr>
                        <w:w w:val="95"/>
                        <w:sz w:val="16"/>
                      </w:rPr>
                      <w:t>n</w:t>
                    </w:r>
                    <w:r>
                      <w:rPr>
                        <w:spacing w:val="-12"/>
                        <w:sz w:val="16"/>
                      </w:rPr>
                      <w:t> </w:t>
                    </w:r>
                    <w:r>
                      <w:rPr>
                        <w:spacing w:val="2"/>
                        <w:w w:val="102"/>
                        <w:sz w:val="16"/>
                      </w:rPr>
                      <w:t>d</w:t>
                    </w:r>
                    <w:r>
                      <w:rPr>
                        <w:w w:val="94"/>
                        <w:sz w:val="16"/>
                      </w:rPr>
                      <w:t>a</w:t>
                    </w:r>
                    <w:r>
                      <w:rPr>
                        <w:spacing w:val="2"/>
                        <w:w w:val="102"/>
                        <w:sz w:val="16"/>
                      </w:rPr>
                      <w:t>t</w:t>
                    </w:r>
                    <w:r>
                      <w:rPr>
                        <w:w w:val="94"/>
                        <w:sz w:val="16"/>
                      </w:rPr>
                      <w:t>a</w:t>
                    </w:r>
                    <w:r>
                      <w:rPr>
                        <w:spacing w:val="-12"/>
                        <w:sz w:val="16"/>
                      </w:rPr>
                      <w:t> </w:t>
                    </w:r>
                    <w:r>
                      <w:rPr>
                        <w:spacing w:val="2"/>
                        <w:w w:val="94"/>
                        <w:sz w:val="16"/>
                      </w:rPr>
                      <w:t>a</w:t>
                    </w:r>
                    <w:r>
                      <w:rPr>
                        <w:w w:val="95"/>
                        <w:sz w:val="16"/>
                      </w:rPr>
                      <w:t>s</w:t>
                    </w:r>
                    <w:r>
                      <w:rPr>
                        <w:spacing w:val="-12"/>
                        <w:sz w:val="16"/>
                      </w:rPr>
                      <w:t> </w:t>
                    </w:r>
                    <w:r>
                      <w:rPr>
                        <w:w w:val="94"/>
                        <w:sz w:val="16"/>
                      </w:rPr>
                      <w:t>a</w:t>
                    </w:r>
                    <w:r>
                      <w:rPr>
                        <w:w w:val="102"/>
                        <w:sz w:val="16"/>
                      </w:rPr>
                      <w:t>t</w:t>
                    </w:r>
                    <w:r>
                      <w:rPr>
                        <w:spacing w:val="-12"/>
                        <w:sz w:val="16"/>
                      </w:rPr>
                      <w:t> </w:t>
                    </w:r>
                    <w:r>
                      <w:rPr>
                        <w:spacing w:val="5"/>
                        <w:w w:val="94"/>
                        <w:sz w:val="16"/>
                      </w:rPr>
                      <w:t>3</w:t>
                    </w:r>
                    <w:r>
                      <w:rPr>
                        <w:w w:val="54"/>
                        <w:sz w:val="16"/>
                      </w:rPr>
                      <w:t>1</w:t>
                    </w:r>
                    <w:r>
                      <w:rPr>
                        <w:spacing w:val="-12"/>
                        <w:sz w:val="16"/>
                      </w:rPr>
                      <w:t> </w:t>
                    </w:r>
                    <w:r>
                      <w:rPr>
                        <w:spacing w:val="3"/>
                        <w:w w:val="97"/>
                        <w:sz w:val="16"/>
                      </w:rPr>
                      <w:t>M</w:t>
                    </w:r>
                    <w:r>
                      <w:rPr>
                        <w:spacing w:val="2"/>
                        <w:w w:val="94"/>
                        <w:sz w:val="16"/>
                      </w:rPr>
                      <w:t>a</w:t>
                    </w:r>
                    <w:r>
                      <w:rPr>
                        <w:spacing w:val="-1"/>
                        <w:w w:val="95"/>
                        <w:sz w:val="16"/>
                      </w:rPr>
                      <w:t>r</w:t>
                    </w:r>
                    <w:r>
                      <w:rPr>
                        <w:spacing w:val="1"/>
                        <w:w w:val="102"/>
                        <w:sz w:val="16"/>
                      </w:rPr>
                      <w:t>c</w:t>
                    </w:r>
                    <w:r>
                      <w:rPr>
                        <w:w w:val="95"/>
                        <w:sz w:val="16"/>
                      </w:rPr>
                      <w:t>h</w:t>
                    </w:r>
                    <w:r>
                      <w:rPr>
                        <w:spacing w:val="-12"/>
                        <w:sz w:val="16"/>
                      </w:rPr>
                      <w:t> </w:t>
                    </w:r>
                    <w:r>
                      <w:rPr>
                        <w:spacing w:val="2"/>
                        <w:w w:val="93"/>
                        <w:sz w:val="16"/>
                      </w:rPr>
                      <w:t>2</w:t>
                    </w:r>
                    <w:r>
                      <w:rPr>
                        <w:spacing w:val="1"/>
                        <w:w w:val="111"/>
                        <w:sz w:val="16"/>
                      </w:rPr>
                      <w:t>0</w:t>
                    </w:r>
                    <w:r>
                      <w:rPr>
                        <w:spacing w:val="4"/>
                        <w:w w:val="54"/>
                        <w:sz w:val="16"/>
                      </w:rPr>
                      <w:t>1</w:t>
                    </w:r>
                    <w:r>
                      <w:rPr>
                        <w:spacing w:val="4"/>
                        <w:w w:val="101"/>
                        <w:sz w:val="16"/>
                      </w:rPr>
                      <w:t>6</w:t>
                    </w:r>
                    <w:r>
                      <w:rPr>
                        <w:spacing w:val="-5"/>
                        <w:w w:val="68"/>
                        <w:sz w:val="16"/>
                      </w:rPr>
                      <w:t>.</w:t>
                    </w:r>
                    <w:r>
                      <w:rPr>
                        <w:w w:val="96"/>
                        <w:sz w:val="16"/>
                      </w:rPr>
                      <w:t>)</w:t>
                    </w:r>
                  </w:p>
                </w:txbxContent>
              </v:textbox>
              <w10:wrap type="none"/>
            </v:shape>
            <w10:wrap type="none"/>
          </v:group>
        </w:pict>
      </w:r>
      <w:r>
        <w:rPr/>
        <w:t>development of people strategies and plans;</w:t>
      </w:r>
    </w:p>
    <w:p>
      <w:pPr>
        <w:pStyle w:val="BodyText"/>
        <w:rPr>
          <w:sz w:val="20"/>
        </w:rPr>
      </w:pPr>
      <w:r>
        <w:rPr/>
        <w:br w:type="column"/>
      </w:r>
      <w:r>
        <w:rPr>
          <w:sz w:val="20"/>
        </w:rPr>
      </w:r>
    </w:p>
    <w:p>
      <w:pPr>
        <w:pStyle w:val="BodyText"/>
        <w:spacing w:line="249" w:lineRule="auto" w:before="1"/>
        <w:ind w:left="219" w:right="266"/>
      </w:pPr>
      <w:r>
        <w:rPr/>
        <w:t>addressing systemic and individual staffing issues; promoting performance management and career planning; coaching and developing managerial expertise and providing</w:t>
      </w:r>
    </w:p>
    <w:p>
      <w:pPr>
        <w:pStyle w:val="BodyText"/>
        <w:spacing w:line="249" w:lineRule="auto"/>
        <w:ind w:left="219" w:right="445"/>
      </w:pPr>
      <w:r>
        <w:rPr/>
        <w:t>support.</w:t>
      </w:r>
      <w:r>
        <w:rPr>
          <w:spacing w:val="-18"/>
        </w:rPr>
        <w:t> </w:t>
      </w:r>
      <w:r>
        <w:rPr/>
        <w:t>They</w:t>
      </w:r>
      <w:r>
        <w:rPr>
          <w:spacing w:val="-18"/>
        </w:rPr>
        <w:t> </w:t>
      </w:r>
      <w:r>
        <w:rPr/>
        <w:t>also</w:t>
      </w:r>
      <w:r>
        <w:rPr>
          <w:spacing w:val="-18"/>
        </w:rPr>
        <w:t> </w:t>
      </w:r>
      <w:r>
        <w:rPr>
          <w:spacing w:val="2"/>
        </w:rPr>
        <w:t>act</w:t>
      </w:r>
      <w:r>
        <w:rPr>
          <w:spacing w:val="-18"/>
        </w:rPr>
        <w:t> </w:t>
      </w:r>
      <w:r>
        <w:rPr/>
        <w:t>as</w:t>
      </w:r>
      <w:r>
        <w:rPr>
          <w:spacing w:val="-18"/>
        </w:rPr>
        <w:t> </w:t>
      </w:r>
      <w:r>
        <w:rPr/>
        <w:t>an</w:t>
      </w:r>
      <w:r>
        <w:rPr>
          <w:spacing w:val="-18"/>
        </w:rPr>
        <w:t> </w:t>
      </w:r>
      <w:r>
        <w:rPr/>
        <w:t>interface</w:t>
      </w:r>
      <w:r>
        <w:rPr>
          <w:spacing w:val="-18"/>
        </w:rPr>
        <w:t> </w:t>
      </w:r>
      <w:r>
        <w:rPr/>
        <w:t>with the</w:t>
      </w:r>
      <w:r>
        <w:rPr>
          <w:spacing w:val="-16"/>
        </w:rPr>
        <w:t> </w:t>
      </w:r>
      <w:r>
        <w:rPr/>
        <w:t>Workplace</w:t>
      </w:r>
      <w:r>
        <w:rPr>
          <w:spacing w:val="-16"/>
        </w:rPr>
        <w:t> </w:t>
      </w:r>
      <w:r>
        <w:rPr/>
        <w:t>Relations</w:t>
      </w:r>
      <w:r>
        <w:rPr>
          <w:spacing w:val="-16"/>
        </w:rPr>
        <w:t> </w:t>
      </w:r>
      <w:r>
        <w:rPr/>
        <w:t>team</w:t>
      </w:r>
      <w:r>
        <w:rPr>
          <w:spacing w:val="-16"/>
        </w:rPr>
        <w:t> </w:t>
      </w:r>
      <w:r>
        <w:rPr/>
        <w:t>in</w:t>
      </w:r>
      <w:r>
        <w:rPr>
          <w:spacing w:val="-16"/>
        </w:rPr>
        <w:t> </w:t>
      </w:r>
      <w:r>
        <w:rPr/>
        <w:t>resolving significant industrial relations issues and delivering</w:t>
      </w:r>
      <w:r>
        <w:rPr>
          <w:spacing w:val="-19"/>
        </w:rPr>
        <w:t> </w:t>
      </w:r>
      <w:r>
        <w:rPr/>
        <w:t>effective</w:t>
      </w:r>
      <w:r>
        <w:rPr>
          <w:spacing w:val="-19"/>
        </w:rPr>
        <w:t> </w:t>
      </w:r>
      <w:r>
        <w:rPr/>
        <w:t>change</w:t>
      </w:r>
      <w:r>
        <w:rPr>
          <w:spacing w:val="-19"/>
        </w:rPr>
        <w:t> </w:t>
      </w:r>
      <w:r>
        <w:rPr/>
        <w:t>processes.</w:t>
      </w:r>
    </w:p>
    <w:p>
      <w:pPr>
        <w:pStyle w:val="BodyText"/>
        <w:spacing w:before="6"/>
        <w:rPr>
          <w:sz w:val="14"/>
        </w:rPr>
      </w:pPr>
    </w:p>
    <w:p>
      <w:pPr>
        <w:pStyle w:val="Heading7"/>
        <w:ind w:left="219" w:right="266"/>
      </w:pPr>
      <w:r>
        <w:rPr>
          <w:color w:val="615C58"/>
          <w:w w:val="95"/>
        </w:rPr>
        <w:t>Key Projects and Programs</w:t>
      </w:r>
    </w:p>
    <w:p>
      <w:pPr>
        <w:pStyle w:val="BodyText"/>
        <w:spacing w:before="85"/>
        <w:ind w:left="219" w:right="266"/>
      </w:pPr>
      <w:r>
        <w:rPr>
          <w:rFonts w:ascii="Century Gothic" w:hAnsi="Century Gothic"/>
          <w:b/>
          <w:w w:val="115"/>
        </w:rPr>
        <w:t>≥ </w:t>
      </w:r>
      <w:r>
        <w:rPr>
          <w:w w:val="105"/>
        </w:rPr>
        <w:t>Early Voluntary Retirement Scheme</w:t>
      </w:r>
    </w:p>
    <w:p>
      <w:pPr>
        <w:pStyle w:val="BodyText"/>
        <w:spacing w:line="244" w:lineRule="auto" w:before="60"/>
        <w:ind w:left="418" w:right="883" w:hanging="199"/>
      </w:pPr>
      <w:r>
        <w:rPr>
          <w:rFonts w:ascii="Century Gothic" w:hAnsi="Century Gothic"/>
          <w:b/>
          <w:w w:val="115"/>
        </w:rPr>
        <w:t>≥</w:t>
      </w:r>
      <w:r>
        <w:rPr>
          <w:rFonts w:ascii="Century Gothic" w:hAnsi="Century Gothic"/>
          <w:b/>
          <w:spacing w:val="-15"/>
          <w:w w:val="115"/>
        </w:rPr>
        <w:t> </w:t>
      </w:r>
      <w:r>
        <w:rPr>
          <w:w w:val="105"/>
        </w:rPr>
        <w:t>Integration</w:t>
      </w:r>
      <w:r>
        <w:rPr>
          <w:spacing w:val="-33"/>
          <w:w w:val="105"/>
        </w:rPr>
        <w:t> </w:t>
      </w:r>
      <w:r>
        <w:rPr>
          <w:w w:val="105"/>
        </w:rPr>
        <w:t>and</w:t>
      </w:r>
      <w:r>
        <w:rPr>
          <w:spacing w:val="-33"/>
          <w:w w:val="105"/>
        </w:rPr>
        <w:t> </w:t>
      </w:r>
      <w:r>
        <w:rPr>
          <w:w w:val="105"/>
        </w:rPr>
        <w:t>consolidation</w:t>
      </w:r>
      <w:r>
        <w:rPr>
          <w:spacing w:val="-33"/>
          <w:w w:val="105"/>
        </w:rPr>
        <w:t> </w:t>
      </w:r>
      <w:r>
        <w:rPr>
          <w:w w:val="105"/>
        </w:rPr>
        <w:t>of</w:t>
      </w:r>
      <w:r>
        <w:rPr>
          <w:spacing w:val="-33"/>
          <w:w w:val="105"/>
        </w:rPr>
        <w:t> </w:t>
      </w:r>
      <w:r>
        <w:rPr>
          <w:w w:val="105"/>
        </w:rPr>
        <w:t>HR </w:t>
      </w:r>
      <w:r>
        <w:rPr/>
        <w:t>services</w:t>
      </w:r>
      <w:r>
        <w:rPr>
          <w:spacing w:val="-17"/>
        </w:rPr>
        <w:t> </w:t>
      </w:r>
      <w:r>
        <w:rPr/>
        <w:t>in</w:t>
      </w:r>
      <w:r>
        <w:rPr>
          <w:spacing w:val="-17"/>
        </w:rPr>
        <w:t> </w:t>
      </w:r>
      <w:r>
        <w:rPr/>
        <w:t>University</w:t>
      </w:r>
      <w:r>
        <w:rPr>
          <w:spacing w:val="-17"/>
        </w:rPr>
        <w:t> </w:t>
      </w:r>
      <w:r>
        <w:rPr/>
        <w:t>Entities</w:t>
      </w:r>
    </w:p>
    <w:p>
      <w:pPr>
        <w:pStyle w:val="BodyText"/>
        <w:spacing w:line="244" w:lineRule="auto" w:before="58"/>
        <w:ind w:left="418" w:right="921" w:hanging="199"/>
      </w:pPr>
      <w:r>
        <w:rPr>
          <w:rFonts w:ascii="Century Gothic" w:hAnsi="Century Gothic"/>
          <w:b/>
          <w:w w:val="115"/>
        </w:rPr>
        <w:t>≥</w:t>
      </w:r>
      <w:r>
        <w:rPr>
          <w:rFonts w:ascii="Century Gothic" w:hAnsi="Century Gothic"/>
          <w:b/>
          <w:spacing w:val="-13"/>
          <w:w w:val="115"/>
        </w:rPr>
        <w:t> </w:t>
      </w:r>
      <w:r>
        <w:rPr>
          <w:w w:val="105"/>
        </w:rPr>
        <w:t>Delivery</w:t>
      </w:r>
      <w:r>
        <w:rPr>
          <w:spacing w:val="-32"/>
          <w:w w:val="105"/>
        </w:rPr>
        <w:t> </w:t>
      </w:r>
      <w:r>
        <w:rPr>
          <w:w w:val="105"/>
        </w:rPr>
        <w:t>of</w:t>
      </w:r>
      <w:r>
        <w:rPr>
          <w:spacing w:val="-32"/>
          <w:w w:val="105"/>
        </w:rPr>
        <w:t> </w:t>
      </w:r>
      <w:r>
        <w:rPr>
          <w:w w:val="105"/>
        </w:rPr>
        <w:t>the</w:t>
      </w:r>
      <w:r>
        <w:rPr>
          <w:spacing w:val="-32"/>
          <w:w w:val="105"/>
        </w:rPr>
        <w:t> </w:t>
      </w:r>
      <w:r>
        <w:rPr>
          <w:w w:val="105"/>
        </w:rPr>
        <w:t>University’s</w:t>
      </w:r>
      <w:r>
        <w:rPr>
          <w:spacing w:val="-32"/>
          <w:w w:val="105"/>
        </w:rPr>
        <w:t> </w:t>
      </w:r>
      <w:r>
        <w:rPr>
          <w:w w:val="105"/>
        </w:rPr>
        <w:t>Refresh Program</w:t>
      </w:r>
      <w:r>
        <w:rPr>
          <w:spacing w:val="-38"/>
          <w:w w:val="105"/>
        </w:rPr>
        <w:t> </w:t>
      </w:r>
      <w:r>
        <w:rPr>
          <w:w w:val="105"/>
        </w:rPr>
        <w:t>for</w:t>
      </w:r>
      <w:r>
        <w:rPr>
          <w:spacing w:val="-38"/>
          <w:w w:val="105"/>
        </w:rPr>
        <w:t> </w:t>
      </w:r>
      <w:r>
        <w:rPr>
          <w:w w:val="105"/>
        </w:rPr>
        <w:t>Academic</w:t>
      </w:r>
      <w:r>
        <w:rPr>
          <w:spacing w:val="-38"/>
          <w:w w:val="105"/>
        </w:rPr>
        <w:t> </w:t>
      </w:r>
      <w:r>
        <w:rPr>
          <w:w w:val="105"/>
        </w:rPr>
        <w:t>staff</w:t>
      </w:r>
    </w:p>
    <w:p>
      <w:pPr>
        <w:pStyle w:val="BodyText"/>
        <w:spacing w:line="244" w:lineRule="auto" w:before="58"/>
        <w:ind w:left="418" w:right="266" w:hanging="199"/>
      </w:pPr>
      <w:r>
        <w:rPr>
          <w:rFonts w:ascii="Century Gothic" w:hAnsi="Century Gothic"/>
          <w:b/>
          <w:w w:val="115"/>
        </w:rPr>
        <w:t>≥ </w:t>
      </w:r>
      <w:r>
        <w:rPr/>
        <w:t>Implementation of online HR solutions in The College, Western Sydney University</w:t>
      </w:r>
    </w:p>
    <w:p>
      <w:pPr>
        <w:pStyle w:val="BodyText"/>
        <w:spacing w:before="58"/>
        <w:ind w:left="219" w:right="266"/>
      </w:pPr>
      <w:r>
        <w:rPr>
          <w:rFonts w:ascii="Century Gothic" w:hAnsi="Century Gothic"/>
          <w:b/>
          <w:w w:val="105"/>
        </w:rPr>
        <w:t>≥ </w:t>
      </w:r>
      <w:r>
        <w:rPr>
          <w:w w:val="105"/>
        </w:rPr>
        <w:t>Excess Leave management</w:t>
      </w:r>
    </w:p>
    <w:p>
      <w:pPr>
        <w:pStyle w:val="BodyText"/>
        <w:spacing w:before="60"/>
        <w:ind w:left="219" w:right="266"/>
      </w:pPr>
      <w:r>
        <w:rPr>
          <w:rFonts w:ascii="Century Gothic" w:hAnsi="Century Gothic"/>
          <w:b/>
        </w:rPr>
        <w:t>≥  </w:t>
      </w:r>
      <w:r>
        <w:rPr/>
        <w:t>University Establishment management</w:t>
      </w:r>
    </w:p>
    <w:p>
      <w:pPr>
        <w:pStyle w:val="BodyText"/>
        <w:rPr>
          <w:sz w:val="15"/>
        </w:rPr>
      </w:pPr>
    </w:p>
    <w:p>
      <w:pPr>
        <w:pStyle w:val="Heading7"/>
        <w:ind w:left="219" w:right="266"/>
      </w:pPr>
      <w:r>
        <w:rPr>
          <w:color w:val="615C58"/>
        </w:rPr>
        <w:t>Recruitment</w:t>
      </w:r>
    </w:p>
    <w:p>
      <w:pPr>
        <w:pStyle w:val="BodyText"/>
        <w:spacing w:line="249" w:lineRule="auto" w:before="86"/>
        <w:ind w:left="219" w:right="400"/>
      </w:pPr>
      <w:r>
        <w:rPr/>
        <w:t>A Recruitment Consultant forms </w:t>
      </w:r>
      <w:r>
        <w:rPr>
          <w:spacing w:val="2"/>
        </w:rPr>
        <w:t>part </w:t>
      </w:r>
      <w:r>
        <w:rPr/>
        <w:t>of the services delivered within HR Partnerships and a dedicated consultant sits within each Partnership</w:t>
      </w:r>
      <w:r>
        <w:rPr>
          <w:spacing w:val="-18"/>
        </w:rPr>
        <w:t> </w:t>
      </w:r>
      <w:r>
        <w:rPr/>
        <w:t>team.</w:t>
      </w:r>
      <w:r>
        <w:rPr>
          <w:spacing w:val="-18"/>
        </w:rPr>
        <w:t> </w:t>
      </w:r>
      <w:r>
        <w:rPr/>
        <w:t>As</w:t>
      </w:r>
      <w:r>
        <w:rPr>
          <w:spacing w:val="-18"/>
        </w:rPr>
        <w:t> </w:t>
      </w:r>
      <w:r>
        <w:rPr/>
        <w:t>an</w:t>
      </w:r>
      <w:r>
        <w:rPr>
          <w:spacing w:val="-18"/>
        </w:rPr>
        <w:t> </w:t>
      </w:r>
      <w:r>
        <w:rPr/>
        <w:t>integrated</w:t>
      </w:r>
      <w:r>
        <w:rPr>
          <w:spacing w:val="-18"/>
        </w:rPr>
        <w:t> </w:t>
      </w:r>
      <w:r>
        <w:rPr/>
        <w:t>service,</w:t>
      </w:r>
      <w:r>
        <w:rPr>
          <w:spacing w:val="-18"/>
        </w:rPr>
        <w:t> </w:t>
      </w:r>
      <w:r>
        <w:rPr/>
        <w:t>a Relocations Consultant also delivers service and assistance with immigration, visa and relocation matters for all staff members recruited</w:t>
      </w:r>
      <w:r>
        <w:rPr>
          <w:spacing w:val="-24"/>
        </w:rPr>
        <w:t> </w:t>
      </w:r>
      <w:r>
        <w:rPr/>
        <w:t>from</w:t>
      </w:r>
      <w:r>
        <w:rPr>
          <w:spacing w:val="-24"/>
        </w:rPr>
        <w:t> </w:t>
      </w:r>
      <w:r>
        <w:rPr/>
        <w:t>overseas</w:t>
      </w:r>
      <w:r>
        <w:rPr>
          <w:spacing w:val="-24"/>
        </w:rPr>
        <w:t> </w:t>
      </w:r>
      <w:r>
        <w:rPr/>
        <w:t>and</w:t>
      </w:r>
      <w:r>
        <w:rPr>
          <w:spacing w:val="-24"/>
        </w:rPr>
        <w:t> </w:t>
      </w:r>
      <w:r>
        <w:rPr/>
        <w:t>interstate.</w:t>
      </w:r>
    </w:p>
    <w:p>
      <w:pPr>
        <w:pStyle w:val="BodyText"/>
        <w:spacing w:before="3"/>
        <w:rPr>
          <w:sz w:val="19"/>
        </w:rPr>
      </w:pPr>
    </w:p>
    <w:p>
      <w:pPr>
        <w:pStyle w:val="Heading7"/>
        <w:ind w:left="219" w:right="266"/>
      </w:pPr>
      <w:r>
        <w:rPr>
          <w:w w:val="95"/>
        </w:rPr>
        <w:t>TALENT AND LEADERSHIP DEVELOPMENT</w:t>
      </w:r>
    </w:p>
    <w:p>
      <w:pPr>
        <w:pStyle w:val="BodyText"/>
        <w:spacing w:line="249" w:lineRule="auto" w:before="58"/>
        <w:ind w:left="219" w:right="288"/>
      </w:pPr>
      <w:r>
        <w:rPr>
          <w:w w:val="80"/>
        </w:rPr>
        <w:t>In </w:t>
      </w:r>
      <w:r>
        <w:rPr>
          <w:w w:val="85"/>
        </w:rPr>
        <w:t>2016, </w:t>
      </w:r>
      <w:r>
        <w:rPr>
          <w:w w:val="95"/>
        </w:rPr>
        <w:t>in </w:t>
      </w:r>
      <w:r>
        <w:rPr>
          <w:w w:val="97"/>
        </w:rPr>
        <w:t>keeping </w:t>
      </w:r>
      <w:r>
        <w:rPr>
          <w:w w:val="98"/>
        </w:rPr>
        <w:t>with </w:t>
      </w:r>
      <w:r>
        <w:rPr>
          <w:w w:val="97"/>
        </w:rPr>
        <w:t>the </w:t>
      </w:r>
      <w:r>
        <w:rPr>
          <w:w w:val="98"/>
        </w:rPr>
        <w:t>focus </w:t>
      </w:r>
      <w:r>
        <w:rPr>
          <w:w w:val="99"/>
        </w:rPr>
        <w:t>of </w:t>
      </w:r>
      <w:r>
        <w:rPr/>
        <w:t>maintaining a contemporary approach to staff and organisational development, the Office</w:t>
      </w:r>
    </w:p>
    <w:p>
      <w:pPr>
        <w:pStyle w:val="BodyText"/>
        <w:spacing w:line="249" w:lineRule="auto"/>
        <w:ind w:left="219" w:right="348"/>
      </w:pPr>
      <w:r>
        <w:rPr/>
        <w:t>of Organisational Development was renamed Talent and Leadership Development (TLD).</w:t>
      </w:r>
    </w:p>
    <w:p>
      <w:pPr>
        <w:spacing w:after="0" w:line="249" w:lineRule="auto"/>
        <w:sectPr>
          <w:type w:val="continuous"/>
          <w:pgSz w:w="11910" w:h="16840"/>
          <w:pgMar w:top="1580" w:bottom="280" w:left="580" w:right="580"/>
          <w:cols w:num="3" w:equalWidth="0">
            <w:col w:w="3541" w:space="40"/>
            <w:col w:w="3366" w:space="40"/>
            <w:col w:w="376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4422"/>
        <w:gridCol w:w="1134"/>
        <w:gridCol w:w="1134"/>
        <w:gridCol w:w="1134"/>
        <w:gridCol w:w="1134"/>
        <w:gridCol w:w="1134"/>
      </w:tblGrid>
      <w:tr>
        <w:trPr>
          <w:trHeight w:val="288" w:hRule="exact"/>
        </w:trPr>
        <w:tc>
          <w:tcPr>
            <w:tcW w:w="10091" w:type="dxa"/>
            <w:gridSpan w:val="6"/>
            <w:tcBorders>
              <w:top w:val="nil"/>
              <w:left w:val="nil"/>
              <w:bottom w:val="nil"/>
              <w:right w:val="nil"/>
            </w:tcBorders>
            <w:shd w:val="clear" w:color="auto" w:fill="949290"/>
          </w:tcPr>
          <w:p>
            <w:pPr>
              <w:pStyle w:val="TableParagraph"/>
              <w:tabs>
                <w:tab w:pos="6268" w:val="left" w:leader="none"/>
                <w:tab w:pos="7392" w:val="left" w:leader="none"/>
                <w:tab w:pos="8534" w:val="left" w:leader="none"/>
                <w:tab w:pos="9661" w:val="left" w:leader="none"/>
              </w:tabs>
              <w:spacing w:before="54"/>
              <w:ind w:left="5134"/>
              <w:jc w:val="left"/>
              <w:rPr>
                <w:rFonts w:ascii="Gotham Narrow Bold"/>
                <w:b/>
                <w:sz w:val="16"/>
              </w:rPr>
            </w:pPr>
            <w:r>
              <w:rPr>
                <w:rFonts w:ascii="Gotham Narrow Bold"/>
                <w:b/>
                <w:color w:val="FFFFFF"/>
                <w:sz w:val="16"/>
              </w:rPr>
              <w:t>2012</w:t>
              <w:tab/>
              <w:t>2013</w:t>
              <w:tab/>
              <w:t>2014</w:t>
              <w:tab/>
              <w:t>2015</w:t>
              <w:tab/>
              <w:t>2016</w:t>
            </w:r>
          </w:p>
        </w:tc>
      </w:tr>
      <w:tr>
        <w:trPr>
          <w:trHeight w:val="288" w:hRule="exact"/>
        </w:trPr>
        <w:tc>
          <w:tcPr>
            <w:tcW w:w="4422" w:type="dxa"/>
            <w:tcBorders>
              <w:top w:val="nil"/>
            </w:tcBorders>
            <w:shd w:val="clear" w:color="auto" w:fill="E9E9E9"/>
          </w:tcPr>
          <w:p>
            <w:pPr>
              <w:pStyle w:val="TableParagraph"/>
              <w:spacing w:before="48"/>
              <w:ind w:left="75"/>
              <w:jc w:val="left"/>
              <w:rPr>
                <w:sz w:val="16"/>
              </w:rPr>
            </w:pPr>
            <w:r>
              <w:rPr>
                <w:sz w:val="16"/>
              </w:rPr>
              <w:t>Academic (levels A–E)</w:t>
            </w:r>
          </w:p>
        </w:tc>
        <w:tc>
          <w:tcPr>
            <w:tcW w:w="1134" w:type="dxa"/>
            <w:tcBorders>
              <w:top w:val="nil"/>
            </w:tcBorders>
            <w:shd w:val="clear" w:color="auto" w:fill="E9E9E9"/>
          </w:tcPr>
          <w:p>
            <w:pPr>
              <w:pStyle w:val="TableParagraph"/>
              <w:spacing w:before="48"/>
              <w:ind w:right="72"/>
              <w:rPr>
                <w:sz w:val="16"/>
              </w:rPr>
            </w:pPr>
            <w:r>
              <w:rPr>
                <w:w w:val="90"/>
                <w:sz w:val="16"/>
              </w:rPr>
              <w:t>992.22</w:t>
            </w:r>
          </w:p>
        </w:tc>
        <w:tc>
          <w:tcPr>
            <w:tcW w:w="1134" w:type="dxa"/>
            <w:tcBorders>
              <w:top w:val="nil"/>
            </w:tcBorders>
            <w:shd w:val="clear" w:color="auto" w:fill="E9E9E9"/>
          </w:tcPr>
          <w:p>
            <w:pPr>
              <w:pStyle w:val="TableParagraph"/>
              <w:spacing w:before="48"/>
              <w:ind w:right="70"/>
              <w:rPr>
                <w:sz w:val="16"/>
              </w:rPr>
            </w:pPr>
            <w:r>
              <w:rPr>
                <w:spacing w:val="4"/>
                <w:w w:val="54"/>
                <w:sz w:val="16"/>
              </w:rPr>
              <w:t>1</w:t>
            </w:r>
            <w:r>
              <w:rPr>
                <w:spacing w:val="4"/>
                <w:w w:val="111"/>
                <w:sz w:val="16"/>
              </w:rPr>
              <w:t>0</w:t>
            </w:r>
            <w:r>
              <w:rPr>
                <w:spacing w:val="2"/>
                <w:w w:val="111"/>
                <w:sz w:val="16"/>
              </w:rPr>
              <w:t>0</w:t>
            </w:r>
            <w:r>
              <w:rPr>
                <w:spacing w:val="4"/>
                <w:w w:val="95"/>
                <w:sz w:val="16"/>
              </w:rPr>
              <w:t>5</w:t>
            </w:r>
            <w:r>
              <w:rPr>
                <w:spacing w:val="6"/>
                <w:w w:val="68"/>
                <w:sz w:val="16"/>
              </w:rPr>
              <w:t>.</w:t>
            </w:r>
            <w:r>
              <w:rPr>
                <w:spacing w:val="2"/>
                <w:w w:val="94"/>
                <w:sz w:val="16"/>
              </w:rPr>
              <w:t>35</w:t>
            </w:r>
          </w:p>
        </w:tc>
        <w:tc>
          <w:tcPr>
            <w:tcW w:w="1134" w:type="dxa"/>
            <w:tcBorders>
              <w:top w:val="nil"/>
            </w:tcBorders>
            <w:shd w:val="clear" w:color="auto" w:fill="E9E9E9"/>
          </w:tcPr>
          <w:p>
            <w:pPr>
              <w:pStyle w:val="TableParagraph"/>
              <w:spacing w:before="48"/>
              <w:ind w:right="73"/>
              <w:rPr>
                <w:sz w:val="16"/>
              </w:rPr>
            </w:pPr>
            <w:r>
              <w:rPr>
                <w:w w:val="95"/>
                <w:sz w:val="16"/>
              </w:rPr>
              <w:t>990.34</w:t>
            </w:r>
          </w:p>
        </w:tc>
        <w:tc>
          <w:tcPr>
            <w:tcW w:w="1134" w:type="dxa"/>
            <w:tcBorders>
              <w:top w:val="nil"/>
            </w:tcBorders>
            <w:shd w:val="clear" w:color="auto" w:fill="E9E9E9"/>
          </w:tcPr>
          <w:p>
            <w:pPr>
              <w:pStyle w:val="TableParagraph"/>
              <w:spacing w:before="48"/>
              <w:ind w:right="74"/>
              <w:rPr>
                <w:sz w:val="16"/>
              </w:rPr>
            </w:pPr>
            <w:r>
              <w:rPr>
                <w:w w:val="95"/>
                <w:sz w:val="16"/>
              </w:rPr>
              <w:t>990.85</w:t>
            </w:r>
          </w:p>
        </w:tc>
        <w:tc>
          <w:tcPr>
            <w:tcW w:w="1134" w:type="dxa"/>
            <w:tcBorders>
              <w:top w:val="nil"/>
            </w:tcBorders>
            <w:shd w:val="clear" w:color="auto" w:fill="E9E9E9"/>
          </w:tcPr>
          <w:p>
            <w:pPr>
              <w:pStyle w:val="TableParagraph"/>
              <w:spacing w:before="48"/>
              <w:ind w:right="72"/>
              <w:rPr>
                <w:sz w:val="16"/>
              </w:rPr>
            </w:pPr>
            <w:r>
              <w:rPr>
                <w:spacing w:val="4"/>
                <w:w w:val="54"/>
                <w:sz w:val="16"/>
              </w:rPr>
              <w:t>1</w:t>
            </w:r>
            <w:r>
              <w:rPr>
                <w:spacing w:val="1"/>
                <w:w w:val="102"/>
                <w:sz w:val="16"/>
              </w:rPr>
              <w:t>0</w:t>
            </w:r>
            <w:r>
              <w:rPr>
                <w:spacing w:val="3"/>
                <w:w w:val="102"/>
                <w:sz w:val="16"/>
              </w:rPr>
              <w:t>2</w:t>
            </w:r>
            <w:r>
              <w:rPr>
                <w:spacing w:val="1"/>
                <w:w w:val="101"/>
                <w:sz w:val="16"/>
              </w:rPr>
              <w:t>9</w:t>
            </w:r>
            <w:r>
              <w:rPr>
                <w:spacing w:val="2"/>
                <w:w w:val="68"/>
                <w:sz w:val="16"/>
              </w:rPr>
              <w:t>.</w:t>
            </w:r>
            <w:r>
              <w:rPr>
                <w:spacing w:val="2"/>
                <w:w w:val="111"/>
                <w:sz w:val="16"/>
              </w:rPr>
              <w:t>0</w:t>
            </w:r>
            <w:r>
              <w:rPr>
                <w:w w:val="95"/>
                <w:sz w:val="16"/>
              </w:rPr>
              <w:t>5</w:t>
            </w:r>
          </w:p>
        </w:tc>
      </w:tr>
      <w:tr>
        <w:trPr>
          <w:trHeight w:val="288" w:hRule="exact"/>
        </w:trPr>
        <w:tc>
          <w:tcPr>
            <w:tcW w:w="4422" w:type="dxa"/>
            <w:shd w:val="clear" w:color="auto" w:fill="E9E9E9"/>
          </w:tcPr>
          <w:p>
            <w:pPr>
              <w:pStyle w:val="TableParagraph"/>
              <w:spacing w:before="43"/>
              <w:ind w:left="75"/>
              <w:jc w:val="left"/>
              <w:rPr>
                <w:sz w:val="16"/>
              </w:rPr>
            </w:pPr>
            <w:r>
              <w:rPr>
                <w:w w:val="95"/>
                <w:sz w:val="16"/>
              </w:rPr>
              <w:t>General (levels 1–9)</w:t>
            </w:r>
          </w:p>
        </w:tc>
        <w:tc>
          <w:tcPr>
            <w:tcW w:w="1134" w:type="dxa"/>
            <w:shd w:val="clear" w:color="auto" w:fill="E9E9E9"/>
          </w:tcPr>
          <w:p>
            <w:pPr>
              <w:pStyle w:val="TableParagraph"/>
              <w:spacing w:before="43"/>
              <w:ind w:right="72"/>
              <w:rPr>
                <w:sz w:val="16"/>
              </w:rPr>
            </w:pPr>
            <w:r>
              <w:rPr>
                <w:w w:val="85"/>
                <w:sz w:val="16"/>
              </w:rPr>
              <w:t>1230.82</w:t>
            </w:r>
          </w:p>
        </w:tc>
        <w:tc>
          <w:tcPr>
            <w:tcW w:w="1134" w:type="dxa"/>
            <w:shd w:val="clear" w:color="auto" w:fill="E9E9E9"/>
          </w:tcPr>
          <w:p>
            <w:pPr>
              <w:pStyle w:val="TableParagraph"/>
              <w:spacing w:before="43"/>
              <w:ind w:right="72"/>
              <w:rPr>
                <w:sz w:val="16"/>
              </w:rPr>
            </w:pPr>
            <w:r>
              <w:rPr>
                <w:w w:val="75"/>
                <w:sz w:val="16"/>
              </w:rPr>
              <w:t>1313.77</w:t>
            </w:r>
          </w:p>
        </w:tc>
        <w:tc>
          <w:tcPr>
            <w:tcW w:w="1134" w:type="dxa"/>
            <w:shd w:val="clear" w:color="auto" w:fill="E9E9E9"/>
          </w:tcPr>
          <w:p>
            <w:pPr>
              <w:pStyle w:val="TableParagraph"/>
              <w:spacing w:before="43"/>
              <w:ind w:right="73"/>
              <w:rPr>
                <w:sz w:val="16"/>
              </w:rPr>
            </w:pPr>
            <w:r>
              <w:rPr>
                <w:w w:val="75"/>
                <w:sz w:val="16"/>
              </w:rPr>
              <w:t>1,441.18</w:t>
            </w:r>
          </w:p>
        </w:tc>
        <w:tc>
          <w:tcPr>
            <w:tcW w:w="1134" w:type="dxa"/>
            <w:shd w:val="clear" w:color="auto" w:fill="E9E9E9"/>
          </w:tcPr>
          <w:p>
            <w:pPr>
              <w:pStyle w:val="TableParagraph"/>
              <w:spacing w:before="43"/>
              <w:ind w:right="73"/>
              <w:rPr>
                <w:sz w:val="16"/>
              </w:rPr>
            </w:pPr>
            <w:r>
              <w:rPr>
                <w:w w:val="85"/>
                <w:sz w:val="16"/>
              </w:rPr>
              <w:t>1437.94</w:t>
            </w:r>
          </w:p>
        </w:tc>
        <w:tc>
          <w:tcPr>
            <w:tcW w:w="1134" w:type="dxa"/>
            <w:shd w:val="clear" w:color="auto" w:fill="E9E9E9"/>
          </w:tcPr>
          <w:p>
            <w:pPr>
              <w:pStyle w:val="TableParagraph"/>
              <w:spacing w:before="43"/>
              <w:ind w:right="73"/>
              <w:rPr>
                <w:sz w:val="16"/>
              </w:rPr>
            </w:pPr>
            <w:r>
              <w:rPr>
                <w:w w:val="85"/>
                <w:sz w:val="16"/>
              </w:rPr>
              <w:t>1478.86</w:t>
            </w:r>
          </w:p>
        </w:tc>
      </w:tr>
      <w:tr>
        <w:trPr>
          <w:trHeight w:val="288" w:hRule="exact"/>
        </w:trPr>
        <w:tc>
          <w:tcPr>
            <w:tcW w:w="4422" w:type="dxa"/>
            <w:shd w:val="clear" w:color="auto" w:fill="E9E9E9"/>
          </w:tcPr>
          <w:p>
            <w:pPr>
              <w:pStyle w:val="TableParagraph"/>
              <w:spacing w:before="43"/>
              <w:ind w:left="74"/>
              <w:jc w:val="left"/>
              <w:rPr>
                <w:sz w:val="16"/>
              </w:rPr>
            </w:pPr>
            <w:r>
              <w:rPr>
                <w:sz w:val="16"/>
              </w:rPr>
              <w:t>Senior (above Academic Level E or Professional level)</w:t>
            </w:r>
          </w:p>
        </w:tc>
        <w:tc>
          <w:tcPr>
            <w:tcW w:w="1134" w:type="dxa"/>
            <w:shd w:val="clear" w:color="auto" w:fill="E9E9E9"/>
          </w:tcPr>
          <w:p>
            <w:pPr>
              <w:pStyle w:val="TableParagraph"/>
              <w:spacing w:before="43"/>
              <w:ind w:right="73"/>
              <w:rPr>
                <w:sz w:val="16"/>
              </w:rPr>
            </w:pPr>
            <w:r>
              <w:rPr>
                <w:w w:val="85"/>
                <w:sz w:val="16"/>
              </w:rPr>
              <w:t>139.8</w:t>
            </w:r>
          </w:p>
        </w:tc>
        <w:tc>
          <w:tcPr>
            <w:tcW w:w="1134" w:type="dxa"/>
            <w:shd w:val="clear" w:color="auto" w:fill="E9E9E9"/>
          </w:tcPr>
          <w:p>
            <w:pPr>
              <w:pStyle w:val="TableParagraph"/>
              <w:spacing w:before="43"/>
              <w:ind w:right="73"/>
              <w:rPr>
                <w:sz w:val="16"/>
              </w:rPr>
            </w:pPr>
            <w:r>
              <w:rPr>
                <w:spacing w:val="3"/>
                <w:w w:val="54"/>
                <w:sz w:val="16"/>
              </w:rPr>
              <w:t>11</w:t>
            </w:r>
            <w:r>
              <w:rPr>
                <w:spacing w:val="4"/>
                <w:w w:val="54"/>
                <w:sz w:val="16"/>
              </w:rPr>
              <w:t>1</w:t>
            </w:r>
            <w:r>
              <w:rPr>
                <w:spacing w:val="2"/>
                <w:w w:val="68"/>
                <w:sz w:val="16"/>
              </w:rPr>
              <w:t>.</w:t>
            </w:r>
            <w:r>
              <w:rPr>
                <w:spacing w:val="4"/>
                <w:w w:val="111"/>
                <w:sz w:val="16"/>
              </w:rPr>
              <w:t>0</w:t>
            </w:r>
            <w:r>
              <w:rPr>
                <w:w w:val="111"/>
                <w:sz w:val="16"/>
              </w:rPr>
              <w:t>0</w:t>
            </w:r>
          </w:p>
        </w:tc>
        <w:tc>
          <w:tcPr>
            <w:tcW w:w="1134" w:type="dxa"/>
            <w:shd w:val="clear" w:color="auto" w:fill="E9E9E9"/>
          </w:tcPr>
          <w:p>
            <w:pPr>
              <w:pStyle w:val="TableParagraph"/>
              <w:spacing w:before="43"/>
              <w:ind w:right="73"/>
              <w:rPr>
                <w:sz w:val="16"/>
              </w:rPr>
            </w:pPr>
            <w:r>
              <w:rPr>
                <w:spacing w:val="2"/>
                <w:w w:val="54"/>
                <w:sz w:val="16"/>
              </w:rPr>
              <w:t>1</w:t>
            </w:r>
            <w:r>
              <w:rPr>
                <w:spacing w:val="4"/>
                <w:w w:val="95"/>
                <w:sz w:val="16"/>
              </w:rPr>
              <w:t>5</w:t>
            </w:r>
            <w:r>
              <w:rPr>
                <w:spacing w:val="4"/>
                <w:w w:val="101"/>
                <w:sz w:val="16"/>
              </w:rPr>
              <w:t>6</w:t>
            </w:r>
            <w:r>
              <w:rPr>
                <w:spacing w:val="2"/>
                <w:w w:val="95"/>
                <w:sz w:val="16"/>
              </w:rPr>
              <w:t>.</w:t>
            </w:r>
            <w:r>
              <w:rPr>
                <w:spacing w:val="4"/>
                <w:w w:val="95"/>
                <w:sz w:val="16"/>
              </w:rPr>
              <w:t>0</w:t>
            </w:r>
            <w:r>
              <w:rPr>
                <w:w w:val="111"/>
                <w:sz w:val="16"/>
              </w:rPr>
              <w:t>0</w:t>
            </w:r>
          </w:p>
        </w:tc>
        <w:tc>
          <w:tcPr>
            <w:tcW w:w="1134" w:type="dxa"/>
            <w:shd w:val="clear" w:color="auto" w:fill="E9E9E9"/>
          </w:tcPr>
          <w:p>
            <w:pPr>
              <w:pStyle w:val="TableParagraph"/>
              <w:spacing w:before="43"/>
              <w:ind w:right="73"/>
              <w:rPr>
                <w:sz w:val="16"/>
              </w:rPr>
            </w:pPr>
            <w:r>
              <w:rPr>
                <w:spacing w:val="2"/>
                <w:w w:val="54"/>
                <w:sz w:val="16"/>
              </w:rPr>
              <w:t>1</w:t>
            </w:r>
            <w:r>
              <w:rPr>
                <w:spacing w:val="3"/>
                <w:w w:val="95"/>
                <w:sz w:val="16"/>
              </w:rPr>
              <w:t>5</w:t>
            </w:r>
            <w:r>
              <w:rPr>
                <w:spacing w:val="2"/>
                <w:w w:val="111"/>
                <w:sz w:val="16"/>
              </w:rPr>
              <w:t>0</w:t>
            </w:r>
            <w:r>
              <w:rPr>
                <w:spacing w:val="3"/>
                <w:w w:val="68"/>
                <w:sz w:val="16"/>
              </w:rPr>
              <w:t>.</w:t>
            </w:r>
            <w:r>
              <w:rPr>
                <w:spacing w:val="3"/>
                <w:w w:val="101"/>
                <w:sz w:val="16"/>
              </w:rPr>
              <w:t>6</w:t>
            </w:r>
            <w:r>
              <w:rPr>
                <w:w w:val="111"/>
                <w:sz w:val="16"/>
              </w:rPr>
              <w:t>0</w:t>
            </w:r>
          </w:p>
        </w:tc>
        <w:tc>
          <w:tcPr>
            <w:tcW w:w="1134" w:type="dxa"/>
            <w:shd w:val="clear" w:color="auto" w:fill="E9E9E9"/>
          </w:tcPr>
          <w:p>
            <w:pPr>
              <w:pStyle w:val="TableParagraph"/>
              <w:spacing w:before="43"/>
              <w:ind w:right="71"/>
              <w:rPr>
                <w:sz w:val="16"/>
              </w:rPr>
            </w:pPr>
            <w:r>
              <w:rPr>
                <w:w w:val="90"/>
                <w:sz w:val="16"/>
              </w:rPr>
              <w:t>144.0</w:t>
            </w:r>
          </w:p>
        </w:tc>
      </w:tr>
    </w:tbl>
    <w:p>
      <w:pPr>
        <w:spacing w:after="0"/>
        <w:rPr>
          <w:sz w:val="16"/>
        </w:rPr>
        <w:sectPr>
          <w:type w:val="continuous"/>
          <w:pgSz w:w="11910" w:h="16840"/>
          <w:pgMar w:top="1580" w:bottom="280" w:left="580" w:right="580"/>
        </w:sectPr>
      </w:pPr>
    </w:p>
    <w:p>
      <w:pPr>
        <w:pStyle w:val="BodyText"/>
        <w:spacing w:before="9"/>
        <w:rPr>
          <w:sz w:val="28"/>
        </w:rPr>
      </w:pPr>
    </w:p>
    <w:p>
      <w:pPr>
        <w:pStyle w:val="Heading2"/>
        <w:ind w:left="327" w:right="8016"/>
        <w:rPr>
          <w:b w:val="0"/>
        </w:rPr>
      </w:pPr>
      <w:r>
        <w:rPr>
          <w:b w:val="0"/>
        </w:rPr>
        <w:t>People and Advancement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
        <w:rPr>
          <w:rFonts w:ascii="Chronicle Text G1"/>
          <w:b w:val="0"/>
          <w:sz w:val="12"/>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1440"/>
        <w:gridCol w:w="1440"/>
        <w:gridCol w:w="1440"/>
        <w:gridCol w:w="1440"/>
        <w:gridCol w:w="1440"/>
        <w:gridCol w:w="1440"/>
        <w:gridCol w:w="1440"/>
      </w:tblGrid>
      <w:tr>
        <w:trPr>
          <w:trHeight w:val="288" w:hRule="exact"/>
        </w:trPr>
        <w:tc>
          <w:tcPr>
            <w:tcW w:w="1440" w:type="dxa"/>
            <w:tcBorders>
              <w:top w:val="nil"/>
              <w:left w:val="nil"/>
              <w:bottom w:val="nil"/>
              <w:right w:val="single" w:sz="4" w:space="0" w:color="FFFFFF"/>
            </w:tcBorders>
            <w:shd w:val="clear" w:color="auto" w:fill="949290"/>
          </w:tcPr>
          <w:p>
            <w:pPr>
              <w:pStyle w:val="TableParagraph"/>
              <w:spacing w:before="54"/>
              <w:ind w:left="155"/>
              <w:jc w:val="left"/>
              <w:rPr>
                <w:rFonts w:ascii="Gotham Narrow Bold"/>
                <w:b/>
                <w:sz w:val="16"/>
              </w:rPr>
            </w:pPr>
            <w:r>
              <w:rPr>
                <w:rFonts w:ascii="Gotham Narrow Bold"/>
                <w:b/>
                <w:color w:val="FFFFFF"/>
                <w:sz w:val="16"/>
              </w:rPr>
              <w:t>LEVEL</w:t>
            </w:r>
          </w:p>
        </w:tc>
        <w:tc>
          <w:tcPr>
            <w:tcW w:w="4320" w:type="dxa"/>
            <w:gridSpan w:val="3"/>
            <w:tcBorders>
              <w:top w:val="nil"/>
              <w:left w:val="single" w:sz="4" w:space="0" w:color="FFFFFF"/>
              <w:bottom w:val="nil"/>
              <w:right w:val="single" w:sz="4" w:space="0" w:color="FFFFFF"/>
            </w:tcBorders>
            <w:shd w:val="clear" w:color="auto" w:fill="949290"/>
          </w:tcPr>
          <w:p>
            <w:pPr>
              <w:pStyle w:val="TableParagraph"/>
              <w:spacing w:before="54"/>
              <w:ind w:left="1568" w:right="1568"/>
              <w:jc w:val="center"/>
              <w:rPr>
                <w:rFonts w:ascii="Gotham Narrow Bold"/>
                <w:b/>
                <w:sz w:val="16"/>
              </w:rPr>
            </w:pPr>
            <w:r>
              <w:rPr>
                <w:rFonts w:ascii="Gotham Narrow Bold"/>
                <w:b/>
                <w:color w:val="FFFFFF"/>
                <w:sz w:val="16"/>
              </w:rPr>
              <w:t>APPLICATIONS</w:t>
            </w:r>
          </w:p>
        </w:tc>
        <w:tc>
          <w:tcPr>
            <w:tcW w:w="4320" w:type="dxa"/>
            <w:gridSpan w:val="3"/>
            <w:tcBorders>
              <w:top w:val="nil"/>
              <w:left w:val="single" w:sz="4" w:space="0" w:color="FFFFFF"/>
              <w:bottom w:val="nil"/>
              <w:right w:val="nil"/>
            </w:tcBorders>
            <w:shd w:val="clear" w:color="auto" w:fill="949290"/>
          </w:tcPr>
          <w:p>
            <w:pPr>
              <w:pStyle w:val="TableParagraph"/>
              <w:spacing w:before="54"/>
              <w:ind w:left="1647" w:right="1649"/>
              <w:jc w:val="center"/>
              <w:rPr>
                <w:rFonts w:ascii="Gotham Narrow Bold"/>
                <w:b/>
                <w:sz w:val="16"/>
              </w:rPr>
            </w:pPr>
            <w:r>
              <w:rPr>
                <w:rFonts w:ascii="Gotham Narrow Bold"/>
                <w:b/>
                <w:color w:val="FFFFFF"/>
                <w:sz w:val="16"/>
              </w:rPr>
              <w:t>SUCCESSFUL</w:t>
            </w:r>
          </w:p>
        </w:tc>
      </w:tr>
      <w:tr>
        <w:trPr>
          <w:trHeight w:val="288" w:hRule="exact"/>
        </w:trPr>
        <w:tc>
          <w:tcPr>
            <w:tcW w:w="1440" w:type="dxa"/>
            <w:tcBorders>
              <w:top w:val="nil"/>
            </w:tcBorders>
            <w:shd w:val="clear" w:color="auto" w:fill="E9E9E9"/>
          </w:tcPr>
          <w:p>
            <w:pPr/>
          </w:p>
        </w:tc>
        <w:tc>
          <w:tcPr>
            <w:tcW w:w="1440" w:type="dxa"/>
            <w:tcBorders>
              <w:top w:val="nil"/>
            </w:tcBorders>
            <w:shd w:val="clear" w:color="auto" w:fill="E9E9E9"/>
          </w:tcPr>
          <w:p>
            <w:pPr>
              <w:pStyle w:val="TableParagraph"/>
              <w:ind w:right="148"/>
              <w:rPr>
                <w:rFonts w:ascii="Calibri"/>
                <w:sz w:val="16"/>
              </w:rPr>
            </w:pPr>
            <w:r>
              <w:rPr>
                <w:rFonts w:ascii="Calibri"/>
                <w:w w:val="110"/>
                <w:sz w:val="16"/>
              </w:rPr>
              <w:t>Total</w:t>
            </w:r>
          </w:p>
        </w:tc>
        <w:tc>
          <w:tcPr>
            <w:tcW w:w="1440" w:type="dxa"/>
            <w:tcBorders>
              <w:top w:val="nil"/>
            </w:tcBorders>
            <w:shd w:val="clear" w:color="auto" w:fill="E9E9E9"/>
          </w:tcPr>
          <w:p>
            <w:pPr>
              <w:pStyle w:val="TableParagraph"/>
              <w:ind w:right="144"/>
              <w:rPr>
                <w:rFonts w:ascii="Calibri"/>
                <w:sz w:val="16"/>
              </w:rPr>
            </w:pPr>
            <w:r>
              <w:rPr>
                <w:rFonts w:ascii="Calibri"/>
                <w:sz w:val="16"/>
              </w:rPr>
              <w:t>Male</w:t>
            </w:r>
          </w:p>
        </w:tc>
        <w:tc>
          <w:tcPr>
            <w:tcW w:w="1440" w:type="dxa"/>
            <w:tcBorders>
              <w:top w:val="nil"/>
            </w:tcBorders>
            <w:shd w:val="clear" w:color="auto" w:fill="E9E9E9"/>
          </w:tcPr>
          <w:p>
            <w:pPr>
              <w:pStyle w:val="TableParagraph"/>
              <w:ind w:right="74"/>
              <w:rPr>
                <w:rFonts w:ascii="Calibri"/>
                <w:sz w:val="16"/>
              </w:rPr>
            </w:pPr>
            <w:r>
              <w:rPr>
                <w:rFonts w:ascii="Calibri"/>
                <w:w w:val="110"/>
                <w:sz w:val="16"/>
              </w:rPr>
              <w:t>Female</w:t>
            </w:r>
          </w:p>
        </w:tc>
        <w:tc>
          <w:tcPr>
            <w:tcW w:w="1440" w:type="dxa"/>
            <w:tcBorders>
              <w:top w:val="nil"/>
            </w:tcBorders>
            <w:shd w:val="clear" w:color="auto" w:fill="E9E9E9"/>
          </w:tcPr>
          <w:p>
            <w:pPr>
              <w:pStyle w:val="TableParagraph"/>
              <w:ind w:right="147"/>
              <w:rPr>
                <w:rFonts w:ascii="Calibri"/>
                <w:sz w:val="16"/>
              </w:rPr>
            </w:pPr>
            <w:r>
              <w:rPr>
                <w:rFonts w:ascii="Calibri"/>
                <w:w w:val="110"/>
                <w:sz w:val="16"/>
              </w:rPr>
              <w:t>Total</w:t>
            </w:r>
          </w:p>
        </w:tc>
        <w:tc>
          <w:tcPr>
            <w:tcW w:w="1440" w:type="dxa"/>
            <w:tcBorders>
              <w:top w:val="nil"/>
            </w:tcBorders>
            <w:shd w:val="clear" w:color="auto" w:fill="E9E9E9"/>
          </w:tcPr>
          <w:p>
            <w:pPr>
              <w:pStyle w:val="TableParagraph"/>
              <w:ind w:right="144"/>
              <w:rPr>
                <w:rFonts w:ascii="Calibri"/>
                <w:sz w:val="16"/>
              </w:rPr>
            </w:pPr>
            <w:r>
              <w:rPr>
                <w:rFonts w:ascii="Calibri"/>
                <w:sz w:val="16"/>
              </w:rPr>
              <w:t>Male</w:t>
            </w:r>
          </w:p>
        </w:tc>
        <w:tc>
          <w:tcPr>
            <w:tcW w:w="1440" w:type="dxa"/>
            <w:tcBorders>
              <w:top w:val="nil"/>
            </w:tcBorders>
            <w:shd w:val="clear" w:color="auto" w:fill="E9E9E9"/>
          </w:tcPr>
          <w:p>
            <w:pPr>
              <w:pStyle w:val="TableParagraph"/>
              <w:ind w:right="73"/>
              <w:rPr>
                <w:rFonts w:ascii="Calibri"/>
                <w:sz w:val="16"/>
              </w:rPr>
            </w:pPr>
            <w:r>
              <w:rPr>
                <w:rFonts w:ascii="Calibri"/>
                <w:w w:val="110"/>
                <w:sz w:val="16"/>
              </w:rPr>
              <w:t>Female</w:t>
            </w:r>
          </w:p>
        </w:tc>
      </w:tr>
      <w:tr>
        <w:trPr>
          <w:trHeight w:val="288" w:hRule="exact"/>
        </w:trPr>
        <w:tc>
          <w:tcPr>
            <w:tcW w:w="1440" w:type="dxa"/>
            <w:shd w:val="clear" w:color="auto" w:fill="E9E9E9"/>
          </w:tcPr>
          <w:p>
            <w:pPr>
              <w:pStyle w:val="TableParagraph"/>
              <w:spacing w:before="43"/>
              <w:ind w:left="149"/>
              <w:jc w:val="left"/>
              <w:rPr>
                <w:sz w:val="16"/>
              </w:rPr>
            </w:pPr>
            <w:r>
              <w:rPr>
                <w:w w:val="104"/>
                <w:sz w:val="16"/>
              </w:rPr>
              <w:t>B</w:t>
            </w:r>
          </w:p>
        </w:tc>
        <w:tc>
          <w:tcPr>
            <w:tcW w:w="1440" w:type="dxa"/>
            <w:shd w:val="clear" w:color="auto" w:fill="E9E9E9"/>
          </w:tcPr>
          <w:p>
            <w:pPr>
              <w:pStyle w:val="TableParagraph"/>
              <w:spacing w:before="43"/>
              <w:ind w:right="147"/>
              <w:rPr>
                <w:sz w:val="16"/>
              </w:rPr>
            </w:pPr>
            <w:r>
              <w:rPr>
                <w:w w:val="91"/>
                <w:sz w:val="16"/>
              </w:rPr>
              <w:t>7</w:t>
            </w:r>
          </w:p>
        </w:tc>
        <w:tc>
          <w:tcPr>
            <w:tcW w:w="1440" w:type="dxa"/>
            <w:shd w:val="clear" w:color="auto" w:fill="E9E9E9"/>
          </w:tcPr>
          <w:p>
            <w:pPr>
              <w:pStyle w:val="TableParagraph"/>
              <w:spacing w:before="43"/>
              <w:ind w:right="147"/>
              <w:rPr>
                <w:sz w:val="16"/>
              </w:rPr>
            </w:pPr>
            <w:r>
              <w:rPr>
                <w:w w:val="103"/>
                <w:sz w:val="16"/>
              </w:rPr>
              <w:t>4</w:t>
            </w:r>
          </w:p>
        </w:tc>
        <w:tc>
          <w:tcPr>
            <w:tcW w:w="1440" w:type="dxa"/>
            <w:shd w:val="clear" w:color="auto" w:fill="E9E9E9"/>
          </w:tcPr>
          <w:p>
            <w:pPr>
              <w:pStyle w:val="TableParagraph"/>
              <w:spacing w:before="43"/>
              <w:ind w:right="147"/>
              <w:rPr>
                <w:sz w:val="16"/>
              </w:rPr>
            </w:pPr>
            <w:r>
              <w:rPr>
                <w:w w:val="94"/>
                <w:sz w:val="16"/>
              </w:rPr>
              <w:t>3</w:t>
            </w:r>
          </w:p>
        </w:tc>
        <w:tc>
          <w:tcPr>
            <w:tcW w:w="1440" w:type="dxa"/>
            <w:shd w:val="clear" w:color="auto" w:fill="E9E9E9"/>
          </w:tcPr>
          <w:p>
            <w:pPr>
              <w:pStyle w:val="TableParagraph"/>
              <w:spacing w:before="43"/>
              <w:ind w:right="147"/>
              <w:rPr>
                <w:sz w:val="16"/>
              </w:rPr>
            </w:pPr>
            <w:r>
              <w:rPr>
                <w:w w:val="101"/>
                <w:sz w:val="16"/>
              </w:rPr>
              <w:t>6</w:t>
            </w:r>
          </w:p>
        </w:tc>
        <w:tc>
          <w:tcPr>
            <w:tcW w:w="1440" w:type="dxa"/>
            <w:shd w:val="clear" w:color="auto" w:fill="E9E9E9"/>
          </w:tcPr>
          <w:p>
            <w:pPr>
              <w:pStyle w:val="TableParagraph"/>
              <w:spacing w:before="43"/>
              <w:ind w:right="147"/>
              <w:rPr>
                <w:sz w:val="16"/>
              </w:rPr>
            </w:pPr>
            <w:r>
              <w:rPr>
                <w:w w:val="103"/>
                <w:sz w:val="16"/>
              </w:rPr>
              <w:t>4</w:t>
            </w:r>
          </w:p>
        </w:tc>
        <w:tc>
          <w:tcPr>
            <w:tcW w:w="1440" w:type="dxa"/>
            <w:shd w:val="clear" w:color="auto" w:fill="E9E9E9"/>
          </w:tcPr>
          <w:p>
            <w:pPr>
              <w:pStyle w:val="TableParagraph"/>
              <w:spacing w:before="43"/>
              <w:ind w:right="147"/>
              <w:rPr>
                <w:sz w:val="16"/>
              </w:rPr>
            </w:pPr>
            <w:r>
              <w:rPr>
                <w:w w:val="93"/>
                <w:sz w:val="16"/>
              </w:rPr>
              <w:t>2</w:t>
            </w:r>
          </w:p>
        </w:tc>
      </w:tr>
      <w:tr>
        <w:trPr>
          <w:trHeight w:val="288" w:hRule="exact"/>
        </w:trPr>
        <w:tc>
          <w:tcPr>
            <w:tcW w:w="1440" w:type="dxa"/>
            <w:shd w:val="clear" w:color="auto" w:fill="E9E9E9"/>
          </w:tcPr>
          <w:p>
            <w:pPr>
              <w:pStyle w:val="TableParagraph"/>
              <w:spacing w:before="43"/>
              <w:ind w:left="150"/>
              <w:jc w:val="left"/>
              <w:rPr>
                <w:sz w:val="16"/>
              </w:rPr>
            </w:pPr>
            <w:r>
              <w:rPr>
                <w:w w:val="96"/>
                <w:sz w:val="16"/>
              </w:rPr>
              <w:t>C</w:t>
            </w:r>
          </w:p>
        </w:tc>
        <w:tc>
          <w:tcPr>
            <w:tcW w:w="1440" w:type="dxa"/>
            <w:shd w:val="clear" w:color="auto" w:fill="E9E9E9"/>
          </w:tcPr>
          <w:p>
            <w:pPr>
              <w:pStyle w:val="TableParagraph"/>
              <w:spacing w:before="43"/>
              <w:ind w:right="141"/>
              <w:rPr>
                <w:sz w:val="16"/>
              </w:rPr>
            </w:pPr>
            <w:r>
              <w:rPr>
                <w:w w:val="70"/>
                <w:sz w:val="16"/>
              </w:rPr>
              <w:t>31</w:t>
            </w:r>
          </w:p>
        </w:tc>
        <w:tc>
          <w:tcPr>
            <w:tcW w:w="1440" w:type="dxa"/>
            <w:shd w:val="clear" w:color="auto" w:fill="E9E9E9"/>
          </w:tcPr>
          <w:p>
            <w:pPr>
              <w:pStyle w:val="TableParagraph"/>
              <w:spacing w:before="43"/>
              <w:ind w:right="142"/>
              <w:rPr>
                <w:sz w:val="16"/>
              </w:rPr>
            </w:pPr>
            <w:r>
              <w:rPr>
                <w:w w:val="75"/>
                <w:sz w:val="16"/>
              </w:rPr>
              <w:t>18</w:t>
            </w:r>
          </w:p>
        </w:tc>
        <w:tc>
          <w:tcPr>
            <w:tcW w:w="1440" w:type="dxa"/>
            <w:shd w:val="clear" w:color="auto" w:fill="E9E9E9"/>
          </w:tcPr>
          <w:p>
            <w:pPr>
              <w:pStyle w:val="TableParagraph"/>
              <w:spacing w:before="43"/>
              <w:ind w:right="144"/>
              <w:rPr>
                <w:sz w:val="16"/>
              </w:rPr>
            </w:pPr>
            <w:r>
              <w:rPr>
                <w:w w:val="75"/>
                <w:sz w:val="16"/>
              </w:rPr>
              <w:t>13</w:t>
            </w:r>
          </w:p>
        </w:tc>
        <w:tc>
          <w:tcPr>
            <w:tcW w:w="1440" w:type="dxa"/>
            <w:shd w:val="clear" w:color="auto" w:fill="E9E9E9"/>
          </w:tcPr>
          <w:p>
            <w:pPr>
              <w:pStyle w:val="TableParagraph"/>
              <w:spacing w:before="43"/>
              <w:ind w:right="147"/>
              <w:rPr>
                <w:sz w:val="16"/>
              </w:rPr>
            </w:pPr>
            <w:r>
              <w:rPr>
                <w:w w:val="95"/>
                <w:sz w:val="16"/>
              </w:rPr>
              <w:t>24</w:t>
            </w:r>
          </w:p>
        </w:tc>
        <w:tc>
          <w:tcPr>
            <w:tcW w:w="1440" w:type="dxa"/>
            <w:shd w:val="clear" w:color="auto" w:fill="E9E9E9"/>
          </w:tcPr>
          <w:p>
            <w:pPr>
              <w:pStyle w:val="TableParagraph"/>
              <w:spacing w:before="43"/>
              <w:ind w:right="144"/>
              <w:rPr>
                <w:sz w:val="16"/>
              </w:rPr>
            </w:pPr>
            <w:r>
              <w:rPr>
                <w:w w:val="75"/>
                <w:sz w:val="16"/>
              </w:rPr>
              <w:t>13</w:t>
            </w:r>
          </w:p>
        </w:tc>
        <w:tc>
          <w:tcPr>
            <w:tcW w:w="1440" w:type="dxa"/>
            <w:shd w:val="clear" w:color="auto" w:fill="E9E9E9"/>
          </w:tcPr>
          <w:p>
            <w:pPr>
              <w:pStyle w:val="TableParagraph"/>
              <w:spacing w:before="43"/>
              <w:ind w:right="144"/>
              <w:rPr>
                <w:sz w:val="16"/>
              </w:rPr>
            </w:pPr>
            <w:r>
              <w:rPr>
                <w:w w:val="55"/>
                <w:sz w:val="16"/>
              </w:rPr>
              <w:t>11</w:t>
            </w:r>
          </w:p>
        </w:tc>
      </w:tr>
      <w:tr>
        <w:trPr>
          <w:trHeight w:val="288" w:hRule="exact"/>
        </w:trPr>
        <w:tc>
          <w:tcPr>
            <w:tcW w:w="1440" w:type="dxa"/>
            <w:shd w:val="clear" w:color="auto" w:fill="E9E9E9"/>
          </w:tcPr>
          <w:p>
            <w:pPr>
              <w:pStyle w:val="TableParagraph"/>
              <w:spacing w:before="43"/>
              <w:ind w:left="150"/>
              <w:jc w:val="left"/>
              <w:rPr>
                <w:sz w:val="16"/>
              </w:rPr>
            </w:pPr>
            <w:r>
              <w:rPr>
                <w:w w:val="93"/>
                <w:sz w:val="16"/>
              </w:rPr>
              <w:t>D</w:t>
            </w:r>
          </w:p>
        </w:tc>
        <w:tc>
          <w:tcPr>
            <w:tcW w:w="1440" w:type="dxa"/>
            <w:shd w:val="clear" w:color="auto" w:fill="E9E9E9"/>
          </w:tcPr>
          <w:p>
            <w:pPr>
              <w:pStyle w:val="TableParagraph"/>
              <w:spacing w:before="43"/>
              <w:ind w:right="148"/>
              <w:rPr>
                <w:sz w:val="16"/>
              </w:rPr>
            </w:pPr>
            <w:r>
              <w:rPr>
                <w:w w:val="95"/>
                <w:sz w:val="16"/>
              </w:rPr>
              <w:t>24</w:t>
            </w:r>
          </w:p>
        </w:tc>
        <w:tc>
          <w:tcPr>
            <w:tcW w:w="1440" w:type="dxa"/>
            <w:shd w:val="clear" w:color="auto" w:fill="E9E9E9"/>
          </w:tcPr>
          <w:p>
            <w:pPr>
              <w:pStyle w:val="TableParagraph"/>
              <w:spacing w:before="43"/>
              <w:ind w:right="148"/>
              <w:rPr>
                <w:sz w:val="16"/>
              </w:rPr>
            </w:pPr>
            <w:r>
              <w:rPr>
                <w:w w:val="75"/>
                <w:sz w:val="16"/>
              </w:rPr>
              <w:t>15</w:t>
            </w:r>
          </w:p>
        </w:tc>
        <w:tc>
          <w:tcPr>
            <w:tcW w:w="1440" w:type="dxa"/>
            <w:shd w:val="clear" w:color="auto" w:fill="E9E9E9"/>
          </w:tcPr>
          <w:p>
            <w:pPr>
              <w:pStyle w:val="TableParagraph"/>
              <w:spacing w:before="43"/>
              <w:ind w:right="147"/>
              <w:rPr>
                <w:sz w:val="16"/>
              </w:rPr>
            </w:pPr>
            <w:r>
              <w:rPr>
                <w:w w:val="101"/>
                <w:sz w:val="16"/>
              </w:rPr>
              <w:t>9</w:t>
            </w:r>
          </w:p>
        </w:tc>
        <w:tc>
          <w:tcPr>
            <w:tcW w:w="1440" w:type="dxa"/>
            <w:shd w:val="clear" w:color="auto" w:fill="E9E9E9"/>
          </w:tcPr>
          <w:p>
            <w:pPr>
              <w:pStyle w:val="TableParagraph"/>
              <w:spacing w:before="43"/>
              <w:ind w:right="146"/>
              <w:rPr>
                <w:sz w:val="16"/>
              </w:rPr>
            </w:pPr>
            <w:r>
              <w:rPr>
                <w:w w:val="70"/>
                <w:sz w:val="16"/>
              </w:rPr>
              <w:t>17</w:t>
            </w:r>
          </w:p>
        </w:tc>
        <w:tc>
          <w:tcPr>
            <w:tcW w:w="1440" w:type="dxa"/>
            <w:shd w:val="clear" w:color="auto" w:fill="E9E9E9"/>
          </w:tcPr>
          <w:p>
            <w:pPr>
              <w:pStyle w:val="TableParagraph"/>
              <w:spacing w:before="43"/>
              <w:ind w:right="143"/>
              <w:rPr>
                <w:sz w:val="16"/>
              </w:rPr>
            </w:pPr>
            <w:r>
              <w:rPr>
                <w:w w:val="55"/>
                <w:sz w:val="16"/>
              </w:rPr>
              <w:t>11</w:t>
            </w:r>
          </w:p>
        </w:tc>
        <w:tc>
          <w:tcPr>
            <w:tcW w:w="1440" w:type="dxa"/>
            <w:shd w:val="clear" w:color="auto" w:fill="E9E9E9"/>
          </w:tcPr>
          <w:p>
            <w:pPr>
              <w:pStyle w:val="TableParagraph"/>
              <w:spacing w:before="43"/>
              <w:ind w:right="146"/>
              <w:rPr>
                <w:sz w:val="16"/>
              </w:rPr>
            </w:pPr>
            <w:r>
              <w:rPr>
                <w:w w:val="101"/>
                <w:sz w:val="16"/>
              </w:rPr>
              <w:t>6</w:t>
            </w:r>
          </w:p>
        </w:tc>
      </w:tr>
      <w:tr>
        <w:trPr>
          <w:trHeight w:val="288" w:hRule="exact"/>
        </w:trPr>
        <w:tc>
          <w:tcPr>
            <w:tcW w:w="1440" w:type="dxa"/>
            <w:shd w:val="clear" w:color="auto" w:fill="E9E9E9"/>
          </w:tcPr>
          <w:p>
            <w:pPr>
              <w:pStyle w:val="TableParagraph"/>
              <w:spacing w:before="43"/>
              <w:ind w:left="151"/>
              <w:jc w:val="left"/>
              <w:rPr>
                <w:sz w:val="16"/>
              </w:rPr>
            </w:pPr>
            <w:r>
              <w:rPr>
                <w:w w:val="90"/>
                <w:sz w:val="16"/>
              </w:rPr>
              <w:t>E</w:t>
            </w:r>
          </w:p>
        </w:tc>
        <w:tc>
          <w:tcPr>
            <w:tcW w:w="1440" w:type="dxa"/>
            <w:shd w:val="clear" w:color="auto" w:fill="E9E9E9"/>
          </w:tcPr>
          <w:p>
            <w:pPr>
              <w:pStyle w:val="TableParagraph"/>
              <w:spacing w:before="43"/>
              <w:ind w:right="147"/>
              <w:rPr>
                <w:sz w:val="16"/>
              </w:rPr>
            </w:pPr>
            <w:r>
              <w:rPr>
                <w:w w:val="98"/>
                <w:sz w:val="16"/>
              </w:rPr>
              <w:t>8</w:t>
            </w:r>
          </w:p>
        </w:tc>
        <w:tc>
          <w:tcPr>
            <w:tcW w:w="1440" w:type="dxa"/>
            <w:shd w:val="clear" w:color="auto" w:fill="E9E9E9"/>
          </w:tcPr>
          <w:p>
            <w:pPr>
              <w:pStyle w:val="TableParagraph"/>
              <w:spacing w:before="43"/>
              <w:ind w:right="147"/>
              <w:rPr>
                <w:sz w:val="16"/>
              </w:rPr>
            </w:pPr>
            <w:r>
              <w:rPr>
                <w:w w:val="91"/>
                <w:sz w:val="16"/>
              </w:rPr>
              <w:t>7</w:t>
            </w:r>
          </w:p>
        </w:tc>
        <w:tc>
          <w:tcPr>
            <w:tcW w:w="1440" w:type="dxa"/>
            <w:shd w:val="clear" w:color="auto" w:fill="E9E9E9"/>
          </w:tcPr>
          <w:p>
            <w:pPr>
              <w:pStyle w:val="TableParagraph"/>
              <w:spacing w:before="43"/>
              <w:ind w:right="147"/>
              <w:rPr>
                <w:sz w:val="16"/>
              </w:rPr>
            </w:pPr>
            <w:r>
              <w:rPr>
                <w:w w:val="54"/>
                <w:sz w:val="16"/>
              </w:rPr>
              <w:t>1</w:t>
            </w:r>
          </w:p>
        </w:tc>
        <w:tc>
          <w:tcPr>
            <w:tcW w:w="1440" w:type="dxa"/>
            <w:shd w:val="clear" w:color="auto" w:fill="E9E9E9"/>
          </w:tcPr>
          <w:p>
            <w:pPr>
              <w:pStyle w:val="TableParagraph"/>
              <w:spacing w:before="43"/>
              <w:ind w:right="147"/>
              <w:rPr>
                <w:sz w:val="16"/>
              </w:rPr>
            </w:pPr>
            <w:r>
              <w:rPr>
                <w:w w:val="101"/>
                <w:sz w:val="16"/>
              </w:rPr>
              <w:t>6</w:t>
            </w:r>
          </w:p>
        </w:tc>
        <w:tc>
          <w:tcPr>
            <w:tcW w:w="1440" w:type="dxa"/>
            <w:shd w:val="clear" w:color="auto" w:fill="E9E9E9"/>
          </w:tcPr>
          <w:p>
            <w:pPr>
              <w:pStyle w:val="TableParagraph"/>
              <w:spacing w:before="43"/>
              <w:ind w:right="147"/>
              <w:rPr>
                <w:sz w:val="16"/>
              </w:rPr>
            </w:pPr>
            <w:r>
              <w:rPr>
                <w:w w:val="95"/>
                <w:sz w:val="16"/>
              </w:rPr>
              <w:t>5</w:t>
            </w:r>
          </w:p>
        </w:tc>
        <w:tc>
          <w:tcPr>
            <w:tcW w:w="1440" w:type="dxa"/>
            <w:shd w:val="clear" w:color="auto" w:fill="E9E9E9"/>
          </w:tcPr>
          <w:p>
            <w:pPr>
              <w:pStyle w:val="TableParagraph"/>
              <w:spacing w:before="43"/>
              <w:ind w:right="147"/>
              <w:rPr>
                <w:sz w:val="16"/>
              </w:rPr>
            </w:pPr>
            <w:r>
              <w:rPr>
                <w:w w:val="54"/>
                <w:sz w:val="16"/>
              </w:rPr>
              <w:t>1</w:t>
            </w:r>
          </w:p>
        </w:tc>
      </w:tr>
      <w:tr>
        <w:trPr>
          <w:trHeight w:val="288" w:hRule="exact"/>
        </w:trPr>
        <w:tc>
          <w:tcPr>
            <w:tcW w:w="1440" w:type="dxa"/>
            <w:shd w:val="clear" w:color="auto" w:fill="E9E9E9"/>
          </w:tcPr>
          <w:p>
            <w:pPr>
              <w:pStyle w:val="TableParagraph"/>
              <w:spacing w:before="50"/>
              <w:ind w:left="150"/>
              <w:jc w:val="left"/>
              <w:rPr>
                <w:rFonts w:ascii="Calibri"/>
                <w:sz w:val="16"/>
              </w:rPr>
            </w:pPr>
            <w:r>
              <w:rPr>
                <w:rFonts w:ascii="Calibri"/>
                <w:w w:val="110"/>
                <w:sz w:val="16"/>
              </w:rPr>
              <w:t>Total</w:t>
            </w:r>
          </w:p>
        </w:tc>
        <w:tc>
          <w:tcPr>
            <w:tcW w:w="1440" w:type="dxa"/>
            <w:shd w:val="clear" w:color="auto" w:fill="E9E9E9"/>
          </w:tcPr>
          <w:p>
            <w:pPr>
              <w:pStyle w:val="TableParagraph"/>
              <w:spacing w:before="50"/>
              <w:ind w:right="146"/>
              <w:rPr>
                <w:rFonts w:ascii="Calibri"/>
                <w:sz w:val="16"/>
              </w:rPr>
            </w:pPr>
            <w:r>
              <w:rPr>
                <w:rFonts w:ascii="Calibri"/>
                <w:w w:val="115"/>
                <w:sz w:val="16"/>
              </w:rPr>
              <w:t>70</w:t>
            </w:r>
          </w:p>
        </w:tc>
        <w:tc>
          <w:tcPr>
            <w:tcW w:w="1440" w:type="dxa"/>
            <w:shd w:val="clear" w:color="auto" w:fill="E9E9E9"/>
          </w:tcPr>
          <w:p>
            <w:pPr>
              <w:pStyle w:val="TableParagraph"/>
              <w:spacing w:before="50"/>
              <w:ind w:right="140"/>
              <w:rPr>
                <w:rFonts w:ascii="Calibri"/>
                <w:sz w:val="16"/>
              </w:rPr>
            </w:pPr>
            <w:r>
              <w:rPr>
                <w:rFonts w:ascii="Calibri"/>
                <w:w w:val="115"/>
                <w:sz w:val="16"/>
              </w:rPr>
              <w:t>44</w:t>
            </w:r>
          </w:p>
        </w:tc>
        <w:tc>
          <w:tcPr>
            <w:tcW w:w="1440" w:type="dxa"/>
            <w:shd w:val="clear" w:color="auto" w:fill="E9E9E9"/>
          </w:tcPr>
          <w:p>
            <w:pPr>
              <w:pStyle w:val="TableParagraph"/>
              <w:spacing w:before="50"/>
              <w:ind w:right="143"/>
              <w:rPr>
                <w:rFonts w:ascii="Calibri"/>
                <w:sz w:val="16"/>
              </w:rPr>
            </w:pPr>
            <w:r>
              <w:rPr>
                <w:rFonts w:ascii="Calibri"/>
                <w:w w:val="110"/>
                <w:sz w:val="16"/>
              </w:rPr>
              <w:t>26</w:t>
            </w:r>
          </w:p>
        </w:tc>
        <w:tc>
          <w:tcPr>
            <w:tcW w:w="1440" w:type="dxa"/>
            <w:shd w:val="clear" w:color="auto" w:fill="E9E9E9"/>
          </w:tcPr>
          <w:p>
            <w:pPr>
              <w:pStyle w:val="TableParagraph"/>
              <w:spacing w:before="50"/>
              <w:ind w:right="143"/>
              <w:rPr>
                <w:rFonts w:ascii="Calibri"/>
                <w:sz w:val="16"/>
              </w:rPr>
            </w:pPr>
            <w:r>
              <w:rPr>
                <w:rFonts w:ascii="Calibri"/>
                <w:w w:val="105"/>
                <w:sz w:val="16"/>
              </w:rPr>
              <w:t>53</w:t>
            </w:r>
          </w:p>
        </w:tc>
        <w:tc>
          <w:tcPr>
            <w:tcW w:w="1440" w:type="dxa"/>
            <w:shd w:val="clear" w:color="auto" w:fill="E9E9E9"/>
          </w:tcPr>
          <w:p>
            <w:pPr>
              <w:pStyle w:val="TableParagraph"/>
              <w:spacing w:before="50"/>
              <w:ind w:right="143"/>
              <w:rPr>
                <w:rFonts w:ascii="Calibri"/>
                <w:sz w:val="16"/>
              </w:rPr>
            </w:pPr>
            <w:r>
              <w:rPr>
                <w:rFonts w:ascii="Calibri"/>
                <w:w w:val="105"/>
                <w:sz w:val="16"/>
              </w:rPr>
              <w:t>33</w:t>
            </w:r>
          </w:p>
        </w:tc>
        <w:tc>
          <w:tcPr>
            <w:tcW w:w="1440" w:type="dxa"/>
            <w:shd w:val="clear" w:color="auto" w:fill="E9E9E9"/>
          </w:tcPr>
          <w:p>
            <w:pPr>
              <w:pStyle w:val="TableParagraph"/>
              <w:spacing w:before="50"/>
              <w:ind w:right="146"/>
              <w:rPr>
                <w:rFonts w:ascii="Calibri"/>
                <w:sz w:val="16"/>
              </w:rPr>
            </w:pPr>
            <w:r>
              <w:rPr>
                <w:rFonts w:ascii="Calibri"/>
                <w:w w:val="115"/>
                <w:sz w:val="16"/>
              </w:rPr>
              <w:t>20</w:t>
            </w:r>
          </w:p>
        </w:tc>
      </w:tr>
    </w:tbl>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9" w:after="1"/>
        <w:rPr>
          <w:rFonts w:ascii="Chronicle Text G1"/>
          <w:b w:val="0"/>
          <w:sz w:val="11"/>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5041"/>
        <w:gridCol w:w="5041"/>
      </w:tblGrid>
      <w:tr>
        <w:trPr>
          <w:trHeight w:val="288" w:hRule="exact"/>
        </w:trPr>
        <w:tc>
          <w:tcPr>
            <w:tcW w:w="10081" w:type="dxa"/>
            <w:gridSpan w:val="2"/>
            <w:tcBorders>
              <w:top w:val="nil"/>
              <w:left w:val="nil"/>
              <w:bottom w:val="nil"/>
              <w:right w:val="nil"/>
            </w:tcBorders>
            <w:shd w:val="clear" w:color="auto" w:fill="949290"/>
          </w:tcPr>
          <w:p>
            <w:pPr>
              <w:pStyle w:val="TableParagraph"/>
              <w:tabs>
                <w:tab w:pos="7218" w:val="left" w:leader="none"/>
              </w:tabs>
              <w:spacing w:before="54"/>
              <w:ind w:left="79"/>
              <w:jc w:val="left"/>
              <w:rPr>
                <w:rFonts w:ascii="Gotham Narrow Bold" w:hAnsi="Gotham Narrow Bold"/>
                <w:b/>
                <w:sz w:val="16"/>
              </w:rPr>
            </w:pPr>
            <w:r>
              <w:rPr>
                <w:rFonts w:ascii="Gotham Narrow Bold" w:hAnsi="Gotham Narrow Bold"/>
                <w:b/>
                <w:color w:val="FFFFFF"/>
                <w:sz w:val="16"/>
              </w:rPr>
              <w:t>WORKFORCE</w:t>
            </w:r>
            <w:r>
              <w:rPr>
                <w:rFonts w:ascii="Gotham Narrow Bold" w:hAnsi="Gotham Narrow Bold"/>
                <w:b/>
                <w:color w:val="FFFFFF"/>
                <w:spacing w:val="-19"/>
                <w:sz w:val="16"/>
              </w:rPr>
              <w:t> </w:t>
            </w:r>
            <w:r>
              <w:rPr>
                <w:rFonts w:ascii="Gotham Narrow Bold" w:hAnsi="Gotham Narrow Bold"/>
                <w:b/>
                <w:color w:val="FFFFFF"/>
                <w:spacing w:val="2"/>
                <w:sz w:val="16"/>
              </w:rPr>
              <w:t>SEGMENT</w:t>
              <w:tab/>
            </w:r>
            <w:r>
              <w:rPr>
                <w:rFonts w:ascii="Gotham Narrow Bold" w:hAnsi="Gotham Narrow Bold"/>
                <w:b/>
                <w:color w:val="FFFFFF"/>
                <w:spacing w:val="2"/>
                <w:w w:val="95"/>
                <w:sz w:val="16"/>
              </w:rPr>
              <w:t>REQUISITIONS: </w:t>
            </w:r>
            <w:r>
              <w:rPr>
                <w:rFonts w:ascii="Gotham Narrow Bold" w:hAnsi="Gotham Narrow Bold"/>
                <w:b/>
                <w:color w:val="FFFFFF"/>
                <w:spacing w:val="5"/>
                <w:w w:val="95"/>
                <w:sz w:val="16"/>
              </w:rPr>
              <w:t> </w:t>
            </w:r>
            <w:r>
              <w:rPr>
                <w:rFonts w:ascii="Gotham Narrow Bold" w:hAnsi="Gotham Narrow Bold"/>
                <w:b/>
                <w:color w:val="FFFFFF"/>
                <w:w w:val="95"/>
                <w:sz w:val="16"/>
              </w:rPr>
              <w:t>JANUARY–DECEMBER</w:t>
            </w:r>
          </w:p>
        </w:tc>
      </w:tr>
      <w:tr>
        <w:trPr>
          <w:trHeight w:val="288" w:hRule="exact"/>
        </w:trPr>
        <w:tc>
          <w:tcPr>
            <w:tcW w:w="5041" w:type="dxa"/>
            <w:tcBorders>
              <w:top w:val="nil"/>
            </w:tcBorders>
            <w:shd w:val="clear" w:color="auto" w:fill="E9E9E9"/>
          </w:tcPr>
          <w:p>
            <w:pPr>
              <w:pStyle w:val="TableParagraph"/>
              <w:spacing w:before="48"/>
              <w:ind w:left="74"/>
              <w:jc w:val="left"/>
              <w:rPr>
                <w:sz w:val="16"/>
              </w:rPr>
            </w:pPr>
            <w:r>
              <w:rPr>
                <w:sz w:val="16"/>
              </w:rPr>
              <w:t>Academic full-time</w:t>
            </w:r>
          </w:p>
        </w:tc>
        <w:tc>
          <w:tcPr>
            <w:tcW w:w="5041" w:type="dxa"/>
            <w:tcBorders>
              <w:top w:val="nil"/>
            </w:tcBorders>
            <w:shd w:val="clear" w:color="auto" w:fill="E9E9E9"/>
          </w:tcPr>
          <w:p>
            <w:pPr>
              <w:pStyle w:val="TableParagraph"/>
              <w:spacing w:before="48"/>
              <w:ind w:right="73"/>
              <w:rPr>
                <w:sz w:val="16"/>
              </w:rPr>
            </w:pPr>
            <w:r>
              <w:rPr>
                <w:w w:val="85"/>
                <w:sz w:val="16"/>
              </w:rPr>
              <w:t>108</w:t>
            </w:r>
          </w:p>
        </w:tc>
      </w:tr>
      <w:tr>
        <w:trPr>
          <w:trHeight w:val="288" w:hRule="exact"/>
        </w:trPr>
        <w:tc>
          <w:tcPr>
            <w:tcW w:w="5041" w:type="dxa"/>
            <w:shd w:val="clear" w:color="auto" w:fill="E9E9E9"/>
          </w:tcPr>
          <w:p>
            <w:pPr>
              <w:pStyle w:val="TableParagraph"/>
              <w:spacing w:before="43"/>
              <w:ind w:left="74"/>
              <w:jc w:val="left"/>
              <w:rPr>
                <w:sz w:val="16"/>
              </w:rPr>
            </w:pPr>
            <w:r>
              <w:rPr>
                <w:sz w:val="16"/>
              </w:rPr>
              <w:t>Academic part-time</w:t>
            </w:r>
          </w:p>
        </w:tc>
        <w:tc>
          <w:tcPr>
            <w:tcW w:w="5041" w:type="dxa"/>
            <w:shd w:val="clear" w:color="auto" w:fill="E9E9E9"/>
          </w:tcPr>
          <w:p>
            <w:pPr>
              <w:pStyle w:val="TableParagraph"/>
              <w:spacing w:before="43"/>
              <w:ind w:right="74"/>
              <w:rPr>
                <w:sz w:val="16"/>
              </w:rPr>
            </w:pPr>
            <w:r>
              <w:rPr>
                <w:w w:val="95"/>
                <w:sz w:val="16"/>
              </w:rPr>
              <w:t>24</w:t>
            </w:r>
          </w:p>
        </w:tc>
      </w:tr>
      <w:tr>
        <w:trPr>
          <w:trHeight w:val="288" w:hRule="exact"/>
        </w:trPr>
        <w:tc>
          <w:tcPr>
            <w:tcW w:w="5041" w:type="dxa"/>
            <w:shd w:val="clear" w:color="auto" w:fill="E9E9E9"/>
          </w:tcPr>
          <w:p>
            <w:pPr>
              <w:pStyle w:val="TableParagraph"/>
              <w:spacing w:before="43"/>
              <w:ind w:left="74"/>
              <w:jc w:val="left"/>
              <w:rPr>
                <w:sz w:val="16"/>
              </w:rPr>
            </w:pPr>
            <w:r>
              <w:rPr>
                <w:sz w:val="16"/>
              </w:rPr>
              <w:t>Professional full-time</w:t>
            </w:r>
          </w:p>
        </w:tc>
        <w:tc>
          <w:tcPr>
            <w:tcW w:w="5041" w:type="dxa"/>
            <w:shd w:val="clear" w:color="auto" w:fill="E9E9E9"/>
          </w:tcPr>
          <w:p>
            <w:pPr>
              <w:pStyle w:val="TableParagraph"/>
              <w:spacing w:before="43"/>
              <w:ind w:right="74"/>
              <w:rPr>
                <w:sz w:val="16"/>
              </w:rPr>
            </w:pPr>
            <w:r>
              <w:rPr>
                <w:w w:val="95"/>
                <w:sz w:val="16"/>
              </w:rPr>
              <w:t>343</w:t>
            </w:r>
          </w:p>
        </w:tc>
      </w:tr>
      <w:tr>
        <w:trPr>
          <w:trHeight w:val="288" w:hRule="exact"/>
        </w:trPr>
        <w:tc>
          <w:tcPr>
            <w:tcW w:w="5041" w:type="dxa"/>
            <w:shd w:val="clear" w:color="auto" w:fill="E9E9E9"/>
          </w:tcPr>
          <w:p>
            <w:pPr>
              <w:pStyle w:val="TableParagraph"/>
              <w:spacing w:before="43"/>
              <w:ind w:left="74"/>
              <w:jc w:val="left"/>
              <w:rPr>
                <w:sz w:val="16"/>
              </w:rPr>
            </w:pPr>
            <w:r>
              <w:rPr>
                <w:sz w:val="16"/>
              </w:rPr>
              <w:t>Professional part-time</w:t>
            </w:r>
          </w:p>
        </w:tc>
        <w:tc>
          <w:tcPr>
            <w:tcW w:w="5041" w:type="dxa"/>
            <w:shd w:val="clear" w:color="auto" w:fill="E9E9E9"/>
          </w:tcPr>
          <w:p>
            <w:pPr>
              <w:pStyle w:val="TableParagraph"/>
              <w:spacing w:before="43"/>
              <w:ind w:right="71"/>
              <w:rPr>
                <w:sz w:val="16"/>
              </w:rPr>
            </w:pPr>
            <w:r>
              <w:rPr>
                <w:w w:val="85"/>
                <w:sz w:val="16"/>
              </w:rPr>
              <w:t>102</w:t>
            </w:r>
          </w:p>
        </w:tc>
      </w:tr>
      <w:tr>
        <w:trPr>
          <w:trHeight w:val="288" w:hRule="exact"/>
        </w:trPr>
        <w:tc>
          <w:tcPr>
            <w:tcW w:w="5041" w:type="dxa"/>
            <w:shd w:val="clear" w:color="auto" w:fill="E9E9E9"/>
          </w:tcPr>
          <w:p>
            <w:pPr>
              <w:pStyle w:val="TableParagraph"/>
              <w:spacing w:before="43"/>
              <w:ind w:left="74"/>
              <w:jc w:val="left"/>
              <w:rPr>
                <w:sz w:val="16"/>
              </w:rPr>
            </w:pPr>
            <w:r>
              <w:rPr>
                <w:sz w:val="16"/>
              </w:rPr>
              <w:t>Nominations – academic full-time</w:t>
            </w:r>
          </w:p>
        </w:tc>
        <w:tc>
          <w:tcPr>
            <w:tcW w:w="5041" w:type="dxa"/>
            <w:shd w:val="clear" w:color="auto" w:fill="E9E9E9"/>
          </w:tcPr>
          <w:p>
            <w:pPr>
              <w:pStyle w:val="TableParagraph"/>
              <w:spacing w:before="43"/>
              <w:ind w:right="69"/>
              <w:rPr>
                <w:sz w:val="16"/>
              </w:rPr>
            </w:pPr>
            <w:r>
              <w:rPr>
                <w:sz w:val="16"/>
              </w:rPr>
              <w:t>99</w:t>
            </w:r>
          </w:p>
        </w:tc>
      </w:tr>
      <w:tr>
        <w:trPr>
          <w:trHeight w:val="288" w:hRule="exact"/>
        </w:trPr>
        <w:tc>
          <w:tcPr>
            <w:tcW w:w="5041" w:type="dxa"/>
            <w:shd w:val="clear" w:color="auto" w:fill="E9E9E9"/>
          </w:tcPr>
          <w:p>
            <w:pPr>
              <w:pStyle w:val="TableParagraph"/>
              <w:spacing w:before="43"/>
              <w:ind w:left="74"/>
              <w:jc w:val="left"/>
              <w:rPr>
                <w:sz w:val="16"/>
              </w:rPr>
            </w:pPr>
            <w:r>
              <w:rPr>
                <w:sz w:val="16"/>
              </w:rPr>
              <w:t>Nominations – academic part-time</w:t>
            </w:r>
          </w:p>
        </w:tc>
        <w:tc>
          <w:tcPr>
            <w:tcW w:w="5041" w:type="dxa"/>
            <w:shd w:val="clear" w:color="auto" w:fill="E9E9E9"/>
          </w:tcPr>
          <w:p>
            <w:pPr>
              <w:pStyle w:val="TableParagraph"/>
              <w:spacing w:before="43"/>
              <w:ind w:right="69"/>
              <w:rPr>
                <w:sz w:val="16"/>
              </w:rPr>
            </w:pPr>
            <w:r>
              <w:rPr>
                <w:w w:val="75"/>
                <w:sz w:val="16"/>
              </w:rPr>
              <w:t>81</w:t>
            </w:r>
          </w:p>
        </w:tc>
      </w:tr>
      <w:tr>
        <w:trPr>
          <w:trHeight w:val="288" w:hRule="exact"/>
        </w:trPr>
        <w:tc>
          <w:tcPr>
            <w:tcW w:w="5041" w:type="dxa"/>
            <w:shd w:val="clear" w:color="auto" w:fill="E9E9E9"/>
          </w:tcPr>
          <w:p>
            <w:pPr>
              <w:pStyle w:val="TableParagraph"/>
              <w:spacing w:before="43"/>
              <w:ind w:left="74"/>
              <w:jc w:val="left"/>
              <w:rPr>
                <w:sz w:val="16"/>
              </w:rPr>
            </w:pPr>
            <w:r>
              <w:rPr>
                <w:sz w:val="16"/>
              </w:rPr>
              <w:t>Nominations – professional full-time</w:t>
            </w:r>
          </w:p>
        </w:tc>
        <w:tc>
          <w:tcPr>
            <w:tcW w:w="5041" w:type="dxa"/>
            <w:shd w:val="clear" w:color="auto" w:fill="E9E9E9"/>
          </w:tcPr>
          <w:p>
            <w:pPr>
              <w:pStyle w:val="TableParagraph"/>
              <w:spacing w:before="43"/>
              <w:ind w:right="69"/>
              <w:rPr>
                <w:sz w:val="16"/>
              </w:rPr>
            </w:pPr>
            <w:r>
              <w:rPr>
                <w:w w:val="80"/>
                <w:sz w:val="16"/>
              </w:rPr>
              <w:t>182</w:t>
            </w:r>
          </w:p>
        </w:tc>
      </w:tr>
      <w:tr>
        <w:trPr>
          <w:trHeight w:val="288" w:hRule="exact"/>
        </w:trPr>
        <w:tc>
          <w:tcPr>
            <w:tcW w:w="5041" w:type="dxa"/>
            <w:shd w:val="clear" w:color="auto" w:fill="E9E9E9"/>
          </w:tcPr>
          <w:p>
            <w:pPr>
              <w:pStyle w:val="TableParagraph"/>
              <w:spacing w:before="43"/>
              <w:ind w:left="74"/>
              <w:jc w:val="left"/>
              <w:rPr>
                <w:sz w:val="16"/>
              </w:rPr>
            </w:pPr>
            <w:r>
              <w:rPr>
                <w:sz w:val="16"/>
              </w:rPr>
              <w:t>Nominations – professional part-time</w:t>
            </w:r>
          </w:p>
        </w:tc>
        <w:tc>
          <w:tcPr>
            <w:tcW w:w="5041" w:type="dxa"/>
            <w:shd w:val="clear" w:color="auto" w:fill="E9E9E9"/>
          </w:tcPr>
          <w:p>
            <w:pPr>
              <w:pStyle w:val="TableParagraph"/>
              <w:spacing w:before="43"/>
              <w:ind w:right="68"/>
              <w:rPr>
                <w:sz w:val="16"/>
              </w:rPr>
            </w:pPr>
            <w:r>
              <w:rPr>
                <w:w w:val="105"/>
                <w:sz w:val="16"/>
              </w:rPr>
              <w:t>80</w:t>
            </w:r>
          </w:p>
        </w:tc>
      </w:tr>
      <w:tr>
        <w:trPr>
          <w:trHeight w:val="288" w:hRule="exact"/>
        </w:trPr>
        <w:tc>
          <w:tcPr>
            <w:tcW w:w="5041" w:type="dxa"/>
            <w:shd w:val="clear" w:color="auto" w:fill="E9E9E9"/>
          </w:tcPr>
          <w:p>
            <w:pPr>
              <w:pStyle w:val="TableParagraph"/>
              <w:spacing w:before="43"/>
              <w:ind w:left="74"/>
              <w:jc w:val="left"/>
              <w:rPr>
                <w:sz w:val="16"/>
              </w:rPr>
            </w:pPr>
            <w:r>
              <w:rPr>
                <w:sz w:val="16"/>
              </w:rPr>
              <w:t>Honorary/Adjunct appointments</w:t>
            </w:r>
          </w:p>
        </w:tc>
        <w:tc>
          <w:tcPr>
            <w:tcW w:w="5041" w:type="dxa"/>
            <w:shd w:val="clear" w:color="auto" w:fill="E9E9E9"/>
          </w:tcPr>
          <w:p>
            <w:pPr>
              <w:pStyle w:val="TableParagraph"/>
              <w:spacing w:before="43"/>
              <w:ind w:right="70"/>
              <w:rPr>
                <w:sz w:val="16"/>
              </w:rPr>
            </w:pPr>
            <w:r>
              <w:rPr>
                <w:sz w:val="16"/>
              </w:rPr>
              <w:t>405</w:t>
            </w:r>
          </w:p>
        </w:tc>
      </w:tr>
      <w:tr>
        <w:trPr>
          <w:trHeight w:val="288" w:hRule="exact"/>
        </w:trPr>
        <w:tc>
          <w:tcPr>
            <w:tcW w:w="5041" w:type="dxa"/>
            <w:shd w:val="clear" w:color="auto" w:fill="E9E9E9"/>
          </w:tcPr>
          <w:p>
            <w:pPr>
              <w:pStyle w:val="TableParagraph"/>
              <w:spacing w:before="50"/>
              <w:ind w:left="74"/>
              <w:jc w:val="left"/>
              <w:rPr>
                <w:rFonts w:ascii="Calibri"/>
                <w:sz w:val="16"/>
              </w:rPr>
            </w:pPr>
            <w:r>
              <w:rPr>
                <w:rFonts w:ascii="Calibri"/>
                <w:w w:val="105"/>
                <w:sz w:val="16"/>
              </w:rPr>
              <w:t>Total transactions finalised in  2015</w:t>
            </w:r>
          </w:p>
        </w:tc>
        <w:tc>
          <w:tcPr>
            <w:tcW w:w="5041" w:type="dxa"/>
            <w:shd w:val="clear" w:color="auto" w:fill="E9E9E9"/>
          </w:tcPr>
          <w:p>
            <w:pPr>
              <w:pStyle w:val="TableParagraph"/>
              <w:spacing w:before="50"/>
              <w:ind w:right="72"/>
              <w:rPr>
                <w:rFonts w:ascii="Calibri"/>
                <w:sz w:val="16"/>
              </w:rPr>
            </w:pPr>
            <w:r>
              <w:rPr>
                <w:rFonts w:ascii="Calibri"/>
                <w:sz w:val="16"/>
              </w:rPr>
              <w:t>1,424</w:t>
            </w:r>
          </w:p>
        </w:tc>
      </w:tr>
    </w:tbl>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60"/>
          <w:footerReference w:type="default" r:id="rId61"/>
          <w:pgSz w:w="11910" w:h="16840"/>
          <w:pgMar w:footer="472" w:header="496" w:top="680" w:bottom="660" w:left="580" w:right="580"/>
        </w:sectPr>
      </w:pPr>
    </w:p>
    <w:p>
      <w:pPr>
        <w:pStyle w:val="BodyText"/>
        <w:spacing w:before="9"/>
        <w:rPr>
          <w:rFonts w:ascii="Chronicle Text G1"/>
          <w:b w:val="0"/>
          <w:sz w:val="17"/>
        </w:rPr>
      </w:pPr>
    </w:p>
    <w:p>
      <w:pPr>
        <w:pStyle w:val="BodyText"/>
        <w:spacing w:line="249" w:lineRule="auto"/>
        <w:ind w:left="327" w:right="333"/>
      </w:pPr>
      <w:r>
        <w:rPr/>
        <w:pict>
          <v:group style="position:absolute;margin-left:34.015999pt;margin-top:-368.317505pt;width:527.25pt;height:345.85pt;mso-position-horizontal-relative:page;mso-position-vertical-relative:paragraph;z-index:-335872" coordorigin="680,-7366" coordsize="10545,6917">
            <v:rect style="position:absolute;left:680;top:-7366;width:10545;height:6917" filled="true" fillcolor="#e9e9e9" stroked="false">
              <v:fill type="solid"/>
            </v:rect>
            <v:shape style="position:absolute;left:907;top:-7136;width:2674;height:240" type="#_x0000_t202" filled="false" stroked="false">
              <v:textbox inset="0,0,0,0">
                <w:txbxContent>
                  <w:p>
                    <w:pPr>
                      <w:spacing w:line="240" w:lineRule="exact" w:before="0"/>
                      <w:ind w:left="0" w:right="0" w:firstLine="0"/>
                      <w:jc w:val="left"/>
                      <w:rPr>
                        <w:rFonts w:ascii="Gotham Narrow Bold"/>
                        <w:b/>
                        <w:sz w:val="24"/>
                      </w:rPr>
                    </w:pPr>
                    <w:r>
                      <w:rPr>
                        <w:rFonts w:ascii="Gotham Narrow Bold"/>
                        <w:b/>
                        <w:spacing w:val="-3"/>
                        <w:w w:val="95"/>
                        <w:sz w:val="24"/>
                      </w:rPr>
                      <w:t>ACADEMIC PROMOTIONS</w:t>
                    </w:r>
                  </w:p>
                </w:txbxContent>
              </v:textbox>
              <w10:wrap type="none"/>
            </v:shape>
            <v:shape style="position:absolute;left:907;top:-4453;width:7718;height:474" type="#_x0000_t202" filled="false" stroked="false">
              <v:textbox inset="0,0,0,0">
                <w:txbxContent>
                  <w:p>
                    <w:pPr>
                      <w:spacing w:line="246" w:lineRule="exact" w:before="0"/>
                      <w:ind w:left="0" w:right="0" w:firstLine="0"/>
                      <w:jc w:val="left"/>
                      <w:rPr>
                        <w:rFonts w:ascii="Gotham Narrow Bold"/>
                        <w:b/>
                        <w:sz w:val="24"/>
                      </w:rPr>
                    </w:pPr>
                    <w:r>
                      <w:rPr>
                        <w:rFonts w:ascii="Gotham Narrow Bold"/>
                        <w:b/>
                        <w:sz w:val="24"/>
                      </w:rPr>
                      <w:t>DATA AT A GLANCE</w:t>
                    </w:r>
                  </w:p>
                  <w:p>
                    <w:pPr>
                      <w:spacing w:line="189" w:lineRule="exact" w:before="39"/>
                      <w:ind w:left="0" w:right="0" w:firstLine="0"/>
                      <w:jc w:val="left"/>
                      <w:rPr>
                        <w:sz w:val="16"/>
                      </w:rPr>
                    </w:pPr>
                    <w:r>
                      <w:rPr>
                        <w:spacing w:val="3"/>
                        <w:w w:val="104"/>
                        <w:sz w:val="16"/>
                      </w:rPr>
                      <w:t>B</w:t>
                    </w:r>
                    <w:r>
                      <w:rPr>
                        <w:w w:val="95"/>
                        <w:sz w:val="16"/>
                      </w:rPr>
                      <w:t>e</w:t>
                    </w:r>
                    <w:r>
                      <w:rPr>
                        <w:spacing w:val="3"/>
                        <w:w w:val="102"/>
                        <w:sz w:val="16"/>
                      </w:rPr>
                      <w:t>t</w:t>
                    </w:r>
                    <w:r>
                      <w:rPr>
                        <w:spacing w:val="-1"/>
                        <w:w w:val="101"/>
                        <w:sz w:val="16"/>
                      </w:rPr>
                      <w:t>w</w:t>
                    </w:r>
                    <w:r>
                      <w:rPr>
                        <w:spacing w:val="3"/>
                        <w:w w:val="95"/>
                        <w:sz w:val="16"/>
                      </w:rPr>
                      <w:t>e</w:t>
                    </w:r>
                    <w:r>
                      <w:rPr>
                        <w:spacing w:val="2"/>
                        <w:w w:val="95"/>
                        <w:sz w:val="16"/>
                      </w:rPr>
                      <w:t>e</w:t>
                    </w:r>
                    <w:r>
                      <w:rPr>
                        <w:w w:val="95"/>
                        <w:sz w:val="16"/>
                      </w:rPr>
                      <w:t>n</w:t>
                    </w:r>
                    <w:r>
                      <w:rPr>
                        <w:spacing w:val="-12"/>
                        <w:sz w:val="16"/>
                      </w:rPr>
                      <w:t> </w:t>
                    </w:r>
                    <w:r>
                      <w:rPr>
                        <w:spacing w:val="2"/>
                        <w:w w:val="108"/>
                        <w:sz w:val="16"/>
                      </w:rPr>
                      <w:t>J</w:t>
                    </w:r>
                    <w:r>
                      <w:rPr>
                        <w:spacing w:val="2"/>
                        <w:w w:val="94"/>
                        <w:sz w:val="16"/>
                      </w:rPr>
                      <w:t>a</w:t>
                    </w:r>
                    <w:r>
                      <w:rPr>
                        <w:spacing w:val="2"/>
                        <w:w w:val="95"/>
                        <w:sz w:val="16"/>
                      </w:rPr>
                      <w:t>nu</w:t>
                    </w:r>
                    <w:r>
                      <w:rPr>
                        <w:spacing w:val="2"/>
                        <w:w w:val="94"/>
                        <w:sz w:val="16"/>
                      </w:rPr>
                      <w:t>a</w:t>
                    </w:r>
                    <w:r>
                      <w:rPr>
                        <w:spacing w:val="5"/>
                        <w:w w:val="95"/>
                        <w:sz w:val="16"/>
                      </w:rPr>
                      <w:t>r</w:t>
                    </w:r>
                    <w:r>
                      <w:rPr>
                        <w:w w:val="101"/>
                        <w:sz w:val="16"/>
                      </w:rPr>
                      <w:t>y</w:t>
                    </w:r>
                    <w:r>
                      <w:rPr>
                        <w:spacing w:val="-12"/>
                        <w:sz w:val="16"/>
                      </w:rPr>
                      <w:t> </w:t>
                    </w:r>
                    <w:r>
                      <w:rPr>
                        <w:spacing w:val="2"/>
                        <w:w w:val="94"/>
                        <w:sz w:val="16"/>
                      </w:rPr>
                      <w:t>a</w:t>
                    </w:r>
                    <w:r>
                      <w:rPr>
                        <w:spacing w:val="2"/>
                        <w:w w:val="95"/>
                        <w:sz w:val="16"/>
                      </w:rPr>
                      <w:t>n</w:t>
                    </w:r>
                    <w:r>
                      <w:rPr>
                        <w:w w:val="102"/>
                        <w:sz w:val="16"/>
                      </w:rPr>
                      <w:t>d</w:t>
                    </w:r>
                    <w:r>
                      <w:rPr>
                        <w:spacing w:val="-12"/>
                        <w:sz w:val="16"/>
                      </w:rPr>
                      <w:t> </w:t>
                    </w:r>
                    <w:r>
                      <w:rPr>
                        <w:spacing w:val="3"/>
                        <w:w w:val="98"/>
                        <w:sz w:val="16"/>
                      </w:rPr>
                      <w:t>D</w:t>
                    </w:r>
                    <w:r>
                      <w:rPr>
                        <w:spacing w:val="3"/>
                        <w:w w:val="95"/>
                        <w:sz w:val="16"/>
                      </w:rPr>
                      <w:t>e</w:t>
                    </w:r>
                    <w:r>
                      <w:rPr>
                        <w:w w:val="102"/>
                        <w:sz w:val="16"/>
                      </w:rPr>
                      <w:t>c</w:t>
                    </w:r>
                    <w:r>
                      <w:rPr>
                        <w:spacing w:val="2"/>
                        <w:w w:val="95"/>
                        <w:sz w:val="16"/>
                      </w:rPr>
                      <w:t>e</w:t>
                    </w:r>
                    <w:r>
                      <w:rPr>
                        <w:spacing w:val="2"/>
                        <w:w w:val="98"/>
                        <w:sz w:val="16"/>
                      </w:rPr>
                      <w:t>m</w:t>
                    </w:r>
                    <w:r>
                      <w:rPr>
                        <w:spacing w:val="2"/>
                        <w:w w:val="102"/>
                        <w:sz w:val="16"/>
                      </w:rPr>
                      <w:t>b</w:t>
                    </w:r>
                    <w:r>
                      <w:rPr>
                        <w:spacing w:val="2"/>
                        <w:w w:val="95"/>
                        <w:sz w:val="16"/>
                      </w:rPr>
                      <w:t>e</w:t>
                    </w:r>
                    <w:r>
                      <w:rPr>
                        <w:w w:val="95"/>
                        <w:sz w:val="16"/>
                      </w:rPr>
                      <w:t>r</w:t>
                    </w:r>
                    <w:r>
                      <w:rPr>
                        <w:spacing w:val="-12"/>
                        <w:sz w:val="16"/>
                      </w:rPr>
                      <w:t> </w:t>
                    </w:r>
                    <w:r>
                      <w:rPr>
                        <w:spacing w:val="2"/>
                        <w:w w:val="93"/>
                        <w:sz w:val="16"/>
                      </w:rPr>
                      <w:t>2</w:t>
                    </w:r>
                    <w:r>
                      <w:rPr>
                        <w:spacing w:val="1"/>
                        <w:w w:val="111"/>
                        <w:sz w:val="16"/>
                      </w:rPr>
                      <w:t>0</w:t>
                    </w:r>
                    <w:r>
                      <w:rPr>
                        <w:spacing w:val="4"/>
                        <w:w w:val="54"/>
                        <w:sz w:val="16"/>
                      </w:rPr>
                      <w:t>1</w:t>
                    </w:r>
                    <w:r>
                      <w:rPr>
                        <w:spacing w:val="4"/>
                        <w:w w:val="101"/>
                        <w:sz w:val="16"/>
                      </w:rPr>
                      <w:t>6</w:t>
                    </w:r>
                    <w:r>
                      <w:rPr>
                        <w:w w:val="68"/>
                        <w:sz w:val="16"/>
                      </w:rPr>
                      <w:t>,</w:t>
                    </w:r>
                    <w:r>
                      <w:rPr>
                        <w:spacing w:val="-12"/>
                        <w:sz w:val="16"/>
                      </w:rPr>
                      <w:t> </w:t>
                    </w:r>
                    <w:r>
                      <w:rPr>
                        <w:w w:val="102"/>
                        <w:sz w:val="16"/>
                      </w:rPr>
                      <w:t>t</w:t>
                    </w:r>
                    <w:r>
                      <w:rPr>
                        <w:spacing w:val="2"/>
                        <w:w w:val="95"/>
                        <w:sz w:val="16"/>
                      </w:rPr>
                      <w:t>h</w:t>
                    </w:r>
                    <w:r>
                      <w:rPr>
                        <w:spacing w:val="2"/>
                        <w:w w:val="95"/>
                        <w:sz w:val="16"/>
                      </w:rPr>
                      <w:t>e</w:t>
                    </w:r>
                    <w:r>
                      <w:rPr>
                        <w:spacing w:val="-1"/>
                        <w:w w:val="95"/>
                        <w:sz w:val="16"/>
                      </w:rPr>
                      <w:t>r</w:t>
                    </w:r>
                    <w:r>
                      <w:rPr>
                        <w:w w:val="95"/>
                        <w:sz w:val="16"/>
                      </w:rPr>
                      <w:t>e</w:t>
                    </w:r>
                    <w:r>
                      <w:rPr>
                        <w:spacing w:val="-12"/>
                        <w:sz w:val="16"/>
                      </w:rPr>
                      <w:t> </w:t>
                    </w:r>
                    <w:r>
                      <w:rPr>
                        <w:spacing w:val="-1"/>
                        <w:w w:val="101"/>
                        <w:sz w:val="16"/>
                      </w:rPr>
                      <w:t>w</w:t>
                    </w:r>
                    <w:r>
                      <w:rPr>
                        <w:spacing w:val="2"/>
                        <w:w w:val="95"/>
                        <w:sz w:val="16"/>
                      </w:rPr>
                      <w:t>e</w:t>
                    </w:r>
                    <w:r>
                      <w:rPr>
                        <w:spacing w:val="-1"/>
                        <w:w w:val="95"/>
                        <w:sz w:val="16"/>
                      </w:rPr>
                      <w:t>r</w:t>
                    </w:r>
                    <w:r>
                      <w:rPr>
                        <w:w w:val="95"/>
                        <w:sz w:val="16"/>
                      </w:rPr>
                      <w:t>e</w:t>
                    </w:r>
                    <w:r>
                      <w:rPr>
                        <w:spacing w:val="-12"/>
                        <w:sz w:val="16"/>
                      </w:rPr>
                      <w:t> </w:t>
                    </w:r>
                    <w:r>
                      <w:rPr>
                        <w:spacing w:val="4"/>
                        <w:w w:val="54"/>
                        <w:sz w:val="16"/>
                      </w:rPr>
                      <w:t>1</w:t>
                    </w:r>
                    <w:r>
                      <w:rPr>
                        <w:w w:val="83"/>
                        <w:sz w:val="16"/>
                      </w:rPr>
                      <w:t>,</w:t>
                    </w:r>
                    <w:r>
                      <w:rPr>
                        <w:spacing w:val="3"/>
                        <w:w w:val="83"/>
                        <w:sz w:val="16"/>
                      </w:rPr>
                      <w:t>7</w:t>
                    </w:r>
                    <w:r>
                      <w:rPr>
                        <w:spacing w:val="1"/>
                        <w:w w:val="94"/>
                        <w:sz w:val="16"/>
                      </w:rPr>
                      <w:t>3</w:t>
                    </w:r>
                    <w:r>
                      <w:rPr>
                        <w:w w:val="93"/>
                        <w:sz w:val="16"/>
                      </w:rPr>
                      <w:t>2</w:t>
                    </w:r>
                    <w:r>
                      <w:rPr>
                        <w:spacing w:val="-12"/>
                        <w:sz w:val="16"/>
                      </w:rPr>
                      <w:t> </w:t>
                    </w:r>
                    <w:r>
                      <w:rPr>
                        <w:spacing w:val="-1"/>
                        <w:w w:val="95"/>
                        <w:sz w:val="16"/>
                      </w:rPr>
                      <w:t>r</w:t>
                    </w:r>
                    <w:r>
                      <w:rPr>
                        <w:spacing w:val="3"/>
                        <w:w w:val="95"/>
                        <w:sz w:val="16"/>
                      </w:rPr>
                      <w:t>e</w:t>
                    </w:r>
                    <w:r>
                      <w:rPr>
                        <w:spacing w:val="2"/>
                        <w:w w:val="102"/>
                        <w:sz w:val="16"/>
                      </w:rPr>
                      <w:t>q</w:t>
                    </w:r>
                    <w:r>
                      <w:rPr>
                        <w:spacing w:val="2"/>
                        <w:w w:val="95"/>
                        <w:sz w:val="16"/>
                      </w:rPr>
                      <w:t>u</w:t>
                    </w:r>
                    <w:r>
                      <w:rPr>
                        <w:spacing w:val="3"/>
                        <w:w w:val="95"/>
                        <w:sz w:val="16"/>
                      </w:rPr>
                      <w:t>e</w:t>
                    </w:r>
                    <w:r>
                      <w:rPr>
                        <w:spacing w:val="3"/>
                        <w:w w:val="95"/>
                        <w:sz w:val="16"/>
                      </w:rPr>
                      <w:t>s</w:t>
                    </w:r>
                    <w:r>
                      <w:rPr>
                        <w:spacing w:val="4"/>
                        <w:w w:val="102"/>
                        <w:sz w:val="16"/>
                      </w:rPr>
                      <w:t>t</w:t>
                    </w:r>
                    <w:r>
                      <w:rPr>
                        <w:w w:val="95"/>
                        <w:sz w:val="16"/>
                      </w:rPr>
                      <w:t>s</w:t>
                    </w:r>
                    <w:r>
                      <w:rPr>
                        <w:spacing w:val="-12"/>
                        <w:sz w:val="16"/>
                      </w:rPr>
                      <w:t> </w:t>
                    </w:r>
                    <w:r>
                      <w:rPr>
                        <w:w w:val="98"/>
                        <w:sz w:val="16"/>
                      </w:rPr>
                      <w:t>f</w:t>
                    </w:r>
                    <w:r>
                      <w:rPr>
                        <w:spacing w:val="2"/>
                        <w:w w:val="100"/>
                        <w:sz w:val="16"/>
                      </w:rPr>
                      <w:t>o</w:t>
                    </w:r>
                    <w:r>
                      <w:rPr>
                        <w:w w:val="95"/>
                        <w:sz w:val="16"/>
                      </w:rPr>
                      <w:t>r</w:t>
                    </w:r>
                    <w:r>
                      <w:rPr>
                        <w:spacing w:val="-12"/>
                        <w:sz w:val="16"/>
                      </w:rPr>
                      <w:t> </w:t>
                    </w:r>
                    <w:r>
                      <w:rPr>
                        <w:spacing w:val="-1"/>
                        <w:w w:val="95"/>
                        <w:sz w:val="16"/>
                      </w:rPr>
                      <w:t>r</w:t>
                    </w:r>
                    <w:r>
                      <w:rPr>
                        <w:spacing w:val="3"/>
                        <w:w w:val="95"/>
                        <w:sz w:val="16"/>
                      </w:rPr>
                      <w:t>e</w:t>
                    </w:r>
                    <w:r>
                      <w:rPr>
                        <w:spacing w:val="1"/>
                        <w:w w:val="102"/>
                        <w:sz w:val="16"/>
                      </w:rPr>
                      <w:t>c</w:t>
                    </w:r>
                    <w:r>
                      <w:rPr>
                        <w:spacing w:val="2"/>
                        <w:w w:val="95"/>
                        <w:sz w:val="16"/>
                      </w:rPr>
                      <w:t>r</w:t>
                    </w:r>
                    <w:r>
                      <w:rPr>
                        <w:spacing w:val="1"/>
                        <w:w w:val="95"/>
                        <w:sz w:val="16"/>
                      </w:rPr>
                      <w:t>u</w:t>
                    </w:r>
                    <w:r>
                      <w:rPr>
                        <w:w w:val="95"/>
                        <w:sz w:val="16"/>
                      </w:rPr>
                      <w:t>i</w:t>
                    </w:r>
                    <w:r>
                      <w:rPr>
                        <w:w w:val="102"/>
                        <w:sz w:val="16"/>
                      </w:rPr>
                      <w:t>t</w:t>
                    </w:r>
                    <w:r>
                      <w:rPr>
                        <w:spacing w:val="2"/>
                        <w:w w:val="98"/>
                        <w:sz w:val="16"/>
                      </w:rPr>
                      <w:t>m</w:t>
                    </w:r>
                    <w:r>
                      <w:rPr>
                        <w:spacing w:val="2"/>
                        <w:w w:val="95"/>
                        <w:sz w:val="16"/>
                      </w:rPr>
                      <w:t>e</w:t>
                    </w:r>
                    <w:r>
                      <w:rPr>
                        <w:w w:val="95"/>
                        <w:sz w:val="16"/>
                      </w:rPr>
                      <w:t>n</w:t>
                    </w:r>
                    <w:r>
                      <w:rPr>
                        <w:w w:val="102"/>
                        <w:sz w:val="16"/>
                      </w:rPr>
                      <w:t>t</w:t>
                    </w:r>
                    <w:r>
                      <w:rPr>
                        <w:spacing w:val="-12"/>
                        <w:sz w:val="16"/>
                      </w:rPr>
                      <w:t> </w:t>
                    </w:r>
                    <w:r>
                      <w:rPr>
                        <w:spacing w:val="1"/>
                        <w:w w:val="95"/>
                        <w:sz w:val="16"/>
                      </w:rPr>
                      <w:t>u</w:t>
                    </w:r>
                    <w:r>
                      <w:rPr>
                        <w:spacing w:val="2"/>
                        <w:w w:val="95"/>
                        <w:sz w:val="16"/>
                      </w:rPr>
                      <w:t>n</w:t>
                    </w:r>
                    <w:r>
                      <w:rPr>
                        <w:spacing w:val="2"/>
                        <w:w w:val="102"/>
                        <w:sz w:val="16"/>
                      </w:rPr>
                      <w:t>d</w:t>
                    </w:r>
                    <w:r>
                      <w:rPr>
                        <w:spacing w:val="2"/>
                        <w:w w:val="95"/>
                        <w:sz w:val="16"/>
                      </w:rPr>
                      <w:t>e</w:t>
                    </w:r>
                    <w:r>
                      <w:rPr>
                        <w:w w:val="95"/>
                        <w:sz w:val="16"/>
                      </w:rPr>
                      <w:t>r</w:t>
                    </w:r>
                    <w:r>
                      <w:rPr>
                        <w:spacing w:val="-12"/>
                        <w:sz w:val="16"/>
                      </w:rPr>
                      <w:t> </w:t>
                    </w:r>
                    <w:r>
                      <w:rPr>
                        <w:w w:val="102"/>
                        <w:sz w:val="16"/>
                      </w:rPr>
                      <w:t>t</w:t>
                    </w:r>
                    <w:r>
                      <w:rPr>
                        <w:spacing w:val="2"/>
                        <w:w w:val="95"/>
                        <w:sz w:val="16"/>
                      </w:rPr>
                      <w:t>h</w:t>
                    </w:r>
                    <w:r>
                      <w:rPr>
                        <w:w w:val="95"/>
                        <w:sz w:val="16"/>
                      </w:rPr>
                      <w:t>e</w:t>
                    </w:r>
                    <w:r>
                      <w:rPr>
                        <w:spacing w:val="-12"/>
                        <w:sz w:val="16"/>
                      </w:rPr>
                      <w:t> </w:t>
                    </w:r>
                    <w:r>
                      <w:rPr>
                        <w:w w:val="98"/>
                        <w:sz w:val="16"/>
                      </w:rPr>
                      <w:t>f</w:t>
                    </w:r>
                    <w:r>
                      <w:rPr>
                        <w:spacing w:val="2"/>
                        <w:w w:val="100"/>
                        <w:sz w:val="16"/>
                      </w:rPr>
                      <w:t>o</w:t>
                    </w:r>
                    <w:r>
                      <w:rPr>
                        <w:w w:val="95"/>
                        <w:sz w:val="16"/>
                      </w:rPr>
                      <w:t>l</w:t>
                    </w:r>
                    <w:r>
                      <w:rPr>
                        <w:spacing w:val="1"/>
                        <w:w w:val="95"/>
                        <w:sz w:val="16"/>
                      </w:rPr>
                      <w:t>l</w:t>
                    </w:r>
                    <w:r>
                      <w:rPr>
                        <w:spacing w:val="-1"/>
                        <w:w w:val="100"/>
                        <w:sz w:val="16"/>
                      </w:rPr>
                      <w:t>o</w:t>
                    </w:r>
                    <w:r>
                      <w:rPr>
                        <w:w w:val="101"/>
                        <w:sz w:val="16"/>
                      </w:rPr>
                      <w:t>w</w:t>
                    </w:r>
                    <w:r>
                      <w:rPr>
                        <w:spacing w:val="1"/>
                        <w:w w:val="95"/>
                        <w:sz w:val="16"/>
                      </w:rPr>
                      <w:t>i</w:t>
                    </w:r>
                    <w:r>
                      <w:rPr>
                        <w:spacing w:val="2"/>
                        <w:w w:val="95"/>
                        <w:sz w:val="16"/>
                      </w:rPr>
                      <w:t>n</w:t>
                    </w:r>
                    <w:r>
                      <w:rPr>
                        <w:w w:val="102"/>
                        <w:sz w:val="16"/>
                      </w:rPr>
                      <w:t>g</w:t>
                    </w:r>
                    <w:r>
                      <w:rPr>
                        <w:spacing w:val="-12"/>
                        <w:sz w:val="16"/>
                      </w:rPr>
                      <w:t> </w:t>
                    </w:r>
                    <w:r>
                      <w:rPr>
                        <w:spacing w:val="3"/>
                        <w:w w:val="102"/>
                        <w:sz w:val="16"/>
                      </w:rPr>
                      <w:t>c</w:t>
                    </w:r>
                    <w:r>
                      <w:rPr>
                        <w:w w:val="94"/>
                        <w:sz w:val="16"/>
                      </w:rPr>
                      <w:t>a</w:t>
                    </w:r>
                    <w:r>
                      <w:rPr>
                        <w:spacing w:val="-2"/>
                        <w:w w:val="102"/>
                        <w:sz w:val="16"/>
                      </w:rPr>
                      <w:t>t</w:t>
                    </w:r>
                    <w:r>
                      <w:rPr>
                        <w:spacing w:val="3"/>
                        <w:w w:val="95"/>
                        <w:sz w:val="16"/>
                      </w:rPr>
                      <w:t>e</w:t>
                    </w:r>
                    <w:r>
                      <w:rPr>
                        <w:spacing w:val="2"/>
                        <w:w w:val="102"/>
                        <w:sz w:val="16"/>
                      </w:rPr>
                      <w:t>g</w:t>
                    </w:r>
                    <w:r>
                      <w:rPr>
                        <w:spacing w:val="2"/>
                        <w:w w:val="100"/>
                        <w:sz w:val="16"/>
                      </w:rPr>
                      <w:t>o</w:t>
                    </w:r>
                    <w:r>
                      <w:rPr>
                        <w:spacing w:val="1"/>
                        <w:w w:val="95"/>
                        <w:sz w:val="16"/>
                      </w:rPr>
                      <w:t>r</w:t>
                    </w:r>
                    <w:r>
                      <w:rPr>
                        <w:spacing w:val="1"/>
                        <w:w w:val="95"/>
                        <w:sz w:val="16"/>
                      </w:rPr>
                      <w:t>i</w:t>
                    </w:r>
                    <w:r>
                      <w:rPr>
                        <w:spacing w:val="3"/>
                        <w:w w:val="95"/>
                        <w:sz w:val="16"/>
                      </w:rPr>
                      <w:t>e</w:t>
                    </w:r>
                    <w:r>
                      <w:rPr>
                        <w:spacing w:val="1"/>
                        <w:w w:val="95"/>
                        <w:sz w:val="16"/>
                      </w:rPr>
                      <w:t>s</w:t>
                    </w:r>
                    <w:r>
                      <w:rPr>
                        <w:w w:val="61"/>
                        <w:sz w:val="16"/>
                      </w:rPr>
                      <w:t>:</w:t>
                    </w:r>
                  </w:p>
                </w:txbxContent>
              </v:textbox>
              <w10:wrap type="none"/>
            </v:shape>
            <w10:wrap type="none"/>
          </v:group>
        </w:pict>
      </w:r>
      <w:r>
        <w:rPr/>
        <w:t>TLD coordinates an extensive program of professional and career development activities that support organisational growth, strengthen professional and leadership capabilities, enhance career development and foster a collaborative</w:t>
      </w:r>
    </w:p>
    <w:p>
      <w:pPr>
        <w:pStyle w:val="BodyText"/>
        <w:spacing w:line="249" w:lineRule="auto"/>
        <w:ind w:left="327" w:right="-3"/>
      </w:pPr>
      <w:r>
        <w:rPr/>
        <w:t>learning</w:t>
      </w:r>
      <w:r>
        <w:rPr>
          <w:spacing w:val="-21"/>
        </w:rPr>
        <w:t> </w:t>
      </w:r>
      <w:r>
        <w:rPr/>
        <w:t>culture.</w:t>
      </w:r>
      <w:r>
        <w:rPr>
          <w:spacing w:val="-21"/>
        </w:rPr>
        <w:t> </w:t>
      </w:r>
      <w:r>
        <w:rPr/>
        <w:t>TLD</w:t>
      </w:r>
      <w:r>
        <w:rPr>
          <w:spacing w:val="-21"/>
        </w:rPr>
        <w:t> </w:t>
      </w:r>
      <w:r>
        <w:rPr/>
        <w:t>also</w:t>
      </w:r>
      <w:r>
        <w:rPr>
          <w:spacing w:val="-21"/>
        </w:rPr>
        <w:t> </w:t>
      </w:r>
      <w:r>
        <w:rPr/>
        <w:t>provides</w:t>
      </w:r>
      <w:r>
        <w:rPr>
          <w:spacing w:val="-21"/>
        </w:rPr>
        <w:t> </w:t>
      </w:r>
      <w:r>
        <w:rPr/>
        <w:t>an</w:t>
      </w:r>
      <w:r>
        <w:rPr>
          <w:spacing w:val="-21"/>
        </w:rPr>
        <w:t> </w:t>
      </w:r>
      <w:r>
        <w:rPr/>
        <w:t>internal consultancy service to Schools and Divisions to</w:t>
      </w:r>
      <w:r>
        <w:rPr>
          <w:spacing w:val="-16"/>
        </w:rPr>
        <w:t> </w:t>
      </w:r>
      <w:r>
        <w:rPr/>
        <w:t>coordinate</w:t>
      </w:r>
      <w:r>
        <w:rPr>
          <w:spacing w:val="-16"/>
        </w:rPr>
        <w:t> </w:t>
      </w:r>
      <w:r>
        <w:rPr/>
        <w:t>and/or</w:t>
      </w:r>
      <w:r>
        <w:rPr>
          <w:spacing w:val="-16"/>
        </w:rPr>
        <w:t> </w:t>
      </w:r>
      <w:r>
        <w:rPr/>
        <w:t>facilitate</w:t>
      </w:r>
      <w:r>
        <w:rPr>
          <w:spacing w:val="-16"/>
        </w:rPr>
        <w:t> </w:t>
      </w:r>
      <w:r>
        <w:rPr/>
        <w:t>planning</w:t>
      </w:r>
    </w:p>
    <w:p>
      <w:pPr>
        <w:pStyle w:val="BodyText"/>
        <w:spacing w:line="249" w:lineRule="auto"/>
        <w:ind w:left="327" w:right="198"/>
      </w:pPr>
      <w:r>
        <w:rPr/>
        <w:t>days, team building activities, customised training, coaching and career advice.</w:t>
      </w:r>
    </w:p>
    <w:p>
      <w:pPr>
        <w:pStyle w:val="BodyText"/>
        <w:rPr>
          <w:sz w:val="14"/>
        </w:rPr>
      </w:pPr>
    </w:p>
    <w:p>
      <w:pPr>
        <w:pStyle w:val="BodyText"/>
        <w:spacing w:line="249" w:lineRule="auto"/>
        <w:ind w:left="327" w:right="141"/>
      </w:pPr>
      <w:r>
        <w:rPr>
          <w:spacing w:val="1"/>
          <w:w w:val="97"/>
        </w:rPr>
        <w:t>Throughout</w:t>
      </w:r>
      <w:r>
        <w:rPr>
          <w:w w:val="97"/>
        </w:rPr>
        <w:t> </w:t>
      </w:r>
      <w:r>
        <w:rPr>
          <w:spacing w:val="2"/>
          <w:w w:val="85"/>
        </w:rPr>
        <w:t>2016,</w:t>
      </w:r>
      <w:r>
        <w:rPr>
          <w:w w:val="85"/>
        </w:rPr>
        <w:t> </w:t>
      </w:r>
      <w:r>
        <w:rPr>
          <w:spacing w:val="1"/>
          <w:w w:val="98"/>
        </w:rPr>
        <w:t>TLD</w:t>
      </w:r>
      <w:r>
        <w:rPr>
          <w:w w:val="98"/>
        </w:rPr>
        <w:t> </w:t>
      </w:r>
      <w:r>
        <w:rPr>
          <w:w w:val="98"/>
        </w:rPr>
        <w:t>coordinated </w:t>
      </w:r>
      <w:r>
        <w:rPr>
          <w:w w:val="100"/>
        </w:rPr>
        <w:t>and/or </w:t>
      </w:r>
      <w:r>
        <w:rPr/>
        <w:t>delivered more than 127 courses and 239 online</w:t>
      </w:r>
      <w:r>
        <w:rPr>
          <w:spacing w:val="-18"/>
        </w:rPr>
        <w:t> </w:t>
      </w:r>
      <w:r>
        <w:rPr/>
        <w:t>modules.</w:t>
      </w:r>
      <w:r>
        <w:rPr>
          <w:spacing w:val="-18"/>
        </w:rPr>
        <w:t> </w:t>
      </w:r>
      <w:r>
        <w:rPr/>
        <w:t>A</w:t>
      </w:r>
      <w:r>
        <w:rPr>
          <w:spacing w:val="-18"/>
        </w:rPr>
        <w:t> </w:t>
      </w:r>
      <w:r>
        <w:rPr/>
        <w:t>total</w:t>
      </w:r>
      <w:r>
        <w:rPr>
          <w:spacing w:val="-18"/>
        </w:rPr>
        <w:t> </w:t>
      </w:r>
      <w:r>
        <w:rPr/>
        <w:t>of</w:t>
      </w:r>
      <w:r>
        <w:rPr>
          <w:spacing w:val="-18"/>
        </w:rPr>
        <w:t> </w:t>
      </w:r>
      <w:r>
        <w:rPr/>
        <w:t>4,247</w:t>
      </w:r>
      <w:r>
        <w:rPr>
          <w:spacing w:val="-18"/>
        </w:rPr>
        <w:t> </w:t>
      </w:r>
      <w:r>
        <w:rPr/>
        <w:t>enrolments from staff were received for the following face-to-face</w:t>
      </w:r>
      <w:r>
        <w:rPr>
          <w:spacing w:val="-24"/>
        </w:rPr>
        <w:t> </w:t>
      </w:r>
      <w:r>
        <w:rPr/>
        <w:t>program</w:t>
      </w:r>
      <w:r>
        <w:rPr>
          <w:spacing w:val="-24"/>
        </w:rPr>
        <w:t> </w:t>
      </w:r>
      <w:r>
        <w:rPr/>
        <w:t>streams:</w:t>
      </w:r>
    </w:p>
    <w:p>
      <w:pPr>
        <w:pStyle w:val="BodyText"/>
        <w:spacing w:before="7"/>
        <w:rPr>
          <w:sz w:val="17"/>
        </w:rPr>
      </w:pPr>
      <w:r>
        <w:rPr/>
        <w:br w:type="column"/>
      </w:r>
      <w:r>
        <w:rPr>
          <w:sz w:val="17"/>
        </w:rPr>
      </w:r>
    </w:p>
    <w:p>
      <w:pPr>
        <w:pStyle w:val="BodyText"/>
        <w:spacing w:line="244" w:lineRule="auto"/>
        <w:ind w:left="450" w:right="520" w:hanging="199"/>
      </w:pPr>
      <w:r>
        <w:rPr>
          <w:rFonts w:ascii="Century Gothic" w:hAnsi="Century Gothic"/>
          <w:b/>
          <w:w w:val="115"/>
        </w:rPr>
        <w:t>≥</w:t>
      </w:r>
      <w:r>
        <w:rPr>
          <w:rFonts w:ascii="Century Gothic" w:hAnsi="Century Gothic"/>
          <w:b/>
          <w:spacing w:val="-22"/>
          <w:w w:val="115"/>
        </w:rPr>
        <w:t> </w:t>
      </w:r>
      <w:r>
        <w:rPr/>
        <w:t>Career</w:t>
      </w:r>
      <w:r>
        <w:rPr>
          <w:spacing w:val="-34"/>
        </w:rPr>
        <w:t> </w:t>
      </w:r>
      <w:r>
        <w:rPr/>
        <w:t>Development:</w:t>
      </w:r>
      <w:r>
        <w:rPr>
          <w:spacing w:val="-34"/>
        </w:rPr>
        <w:t> </w:t>
      </w:r>
      <w:r>
        <w:rPr/>
        <w:t>1,412</w:t>
      </w:r>
      <w:r>
        <w:rPr>
          <w:spacing w:val="-34"/>
        </w:rPr>
        <w:t> </w:t>
      </w:r>
      <w:r>
        <w:rPr/>
        <w:t>(33%</w:t>
      </w:r>
      <w:r>
        <w:rPr>
          <w:spacing w:val="-34"/>
        </w:rPr>
        <w:t> </w:t>
      </w:r>
      <w:r>
        <w:rPr/>
        <w:t>of enrolments)</w:t>
      </w:r>
    </w:p>
    <w:p>
      <w:pPr>
        <w:pStyle w:val="BodyText"/>
        <w:spacing w:before="58"/>
        <w:ind w:left="252" w:right="-9"/>
      </w:pPr>
      <w:r>
        <w:rPr>
          <w:rFonts w:ascii="Century Gothic" w:hAnsi="Century Gothic"/>
          <w:b/>
          <w:w w:val="145"/>
        </w:rPr>
        <w:t>≥</w:t>
      </w:r>
      <w:r>
        <w:rPr>
          <w:rFonts w:ascii="Century Gothic" w:hAnsi="Century Gothic"/>
          <w:b/>
        </w:rPr>
        <w:t> </w:t>
      </w:r>
      <w:r>
        <w:rPr>
          <w:rFonts w:ascii="Century Gothic" w:hAnsi="Century Gothic"/>
          <w:b/>
          <w:spacing w:val="-19"/>
        </w:rPr>
        <w:t> </w:t>
      </w:r>
      <w:r>
        <w:rPr>
          <w:spacing w:val="-1"/>
          <w:w w:val="103"/>
        </w:rPr>
        <w:t>L</w:t>
      </w:r>
      <w:r>
        <w:rPr>
          <w:spacing w:val="2"/>
          <w:w w:val="95"/>
        </w:rPr>
        <w:t>e</w:t>
      </w:r>
      <w:r>
        <w:rPr>
          <w:spacing w:val="2"/>
          <w:w w:val="94"/>
        </w:rPr>
        <w:t>a</w:t>
      </w:r>
      <w:r>
        <w:rPr>
          <w:spacing w:val="2"/>
          <w:w w:val="99"/>
        </w:rPr>
        <w:t>de</w:t>
      </w:r>
      <w:r>
        <w:rPr>
          <w:spacing w:val="2"/>
          <w:w w:val="95"/>
        </w:rPr>
        <w:t>r</w:t>
      </w:r>
      <w:r>
        <w:rPr>
          <w:spacing w:val="1"/>
          <w:w w:val="95"/>
        </w:rPr>
        <w:t>s</w:t>
      </w:r>
      <w:r>
        <w:rPr>
          <w:spacing w:val="1"/>
          <w:w w:val="95"/>
        </w:rPr>
        <w:t>h</w:t>
      </w:r>
      <w:r>
        <w:rPr>
          <w:spacing w:val="1"/>
          <w:w w:val="95"/>
        </w:rPr>
        <w:t>i</w:t>
      </w:r>
      <w:r>
        <w:rPr>
          <w:w w:val="102"/>
        </w:rPr>
        <w:t>p</w:t>
      </w:r>
      <w:r>
        <w:rPr>
          <w:spacing w:val="-12"/>
        </w:rPr>
        <w:t> </w:t>
      </w:r>
      <w:r>
        <w:rPr>
          <w:spacing w:val="2"/>
          <w:w w:val="95"/>
        </w:rPr>
        <w:t>an</w:t>
      </w:r>
      <w:r>
        <w:rPr>
          <w:w w:val="102"/>
        </w:rPr>
        <w:t>d</w:t>
      </w:r>
      <w:r>
        <w:rPr>
          <w:spacing w:val="-12"/>
        </w:rPr>
        <w:t> </w:t>
      </w:r>
      <w:r>
        <w:rPr>
          <w:spacing w:val="3"/>
          <w:w w:val="97"/>
        </w:rPr>
        <w:t>M</w:t>
      </w:r>
      <w:r>
        <w:rPr>
          <w:spacing w:val="2"/>
          <w:w w:val="95"/>
        </w:rPr>
        <w:t>an</w:t>
      </w:r>
      <w:r>
        <w:rPr>
          <w:spacing w:val="2"/>
          <w:w w:val="94"/>
        </w:rPr>
        <w:t>a</w:t>
      </w:r>
      <w:r>
        <w:rPr>
          <w:spacing w:val="2"/>
          <w:w w:val="99"/>
        </w:rPr>
        <w:t>ge</w:t>
      </w:r>
      <w:r>
        <w:rPr>
          <w:spacing w:val="2"/>
          <w:w w:val="98"/>
        </w:rPr>
        <w:t>m</w:t>
      </w:r>
      <w:r>
        <w:rPr>
          <w:spacing w:val="2"/>
          <w:w w:val="95"/>
        </w:rPr>
        <w:t>e</w:t>
      </w:r>
      <w:r>
        <w:rPr>
          <w:w w:val="95"/>
        </w:rPr>
        <w:t>n</w:t>
      </w:r>
      <w:r>
        <w:rPr>
          <w:spacing w:val="2"/>
          <w:w w:val="102"/>
        </w:rPr>
        <w:t>t</w:t>
      </w:r>
      <w:r>
        <w:rPr>
          <w:w w:val="61"/>
        </w:rPr>
        <w:t>:</w:t>
      </w:r>
      <w:r>
        <w:rPr>
          <w:spacing w:val="-12"/>
        </w:rPr>
        <w:t> </w:t>
      </w:r>
      <w:r>
        <w:rPr>
          <w:spacing w:val="4"/>
          <w:w w:val="54"/>
        </w:rPr>
        <w:t>1</w:t>
      </w:r>
      <w:r>
        <w:rPr>
          <w:spacing w:val="1"/>
          <w:w w:val="68"/>
        </w:rPr>
        <w:t>,</w:t>
      </w:r>
      <w:r>
        <w:rPr>
          <w:w w:val="111"/>
        </w:rPr>
        <w:t>0</w:t>
      </w:r>
      <w:r>
        <w:rPr>
          <w:spacing w:val="3"/>
          <w:w w:val="94"/>
        </w:rPr>
        <w:t>3</w:t>
      </w:r>
      <w:r>
        <w:rPr>
          <w:w w:val="101"/>
        </w:rPr>
        <w:t>6</w:t>
      </w:r>
      <w:r>
        <w:rPr>
          <w:spacing w:val="-12"/>
        </w:rPr>
        <w:t> </w:t>
      </w:r>
      <w:r>
        <w:rPr>
          <w:w w:val="96"/>
        </w:rPr>
        <w:t>(</w:t>
      </w:r>
      <w:r>
        <w:rPr>
          <w:spacing w:val="-3"/>
          <w:w w:val="93"/>
        </w:rPr>
        <w:t>2</w:t>
      </w:r>
      <w:r>
        <w:rPr>
          <w:spacing w:val="-1"/>
          <w:w w:val="103"/>
        </w:rPr>
        <w:t>4</w:t>
      </w:r>
      <w:r>
        <w:rPr>
          <w:w w:val="74"/>
        </w:rPr>
        <w:t>%</w:t>
      </w:r>
      <w:r>
        <w:rPr>
          <w:w w:val="96"/>
        </w:rPr>
        <w:t>)</w:t>
      </w:r>
    </w:p>
    <w:p>
      <w:pPr>
        <w:pStyle w:val="BodyText"/>
        <w:spacing w:line="244" w:lineRule="auto" w:before="60"/>
        <w:ind w:left="450" w:right="-9" w:hanging="199"/>
      </w:pPr>
      <w:r>
        <w:rPr>
          <w:rFonts w:ascii="Century Gothic" w:hAnsi="Century Gothic"/>
          <w:b/>
          <w:w w:val="110"/>
        </w:rPr>
        <w:t>≥</w:t>
      </w:r>
      <w:r>
        <w:rPr>
          <w:rFonts w:ascii="Century Gothic" w:hAnsi="Century Gothic"/>
          <w:b/>
          <w:spacing w:val="-26"/>
          <w:w w:val="110"/>
        </w:rPr>
        <w:t> </w:t>
      </w:r>
      <w:r>
        <w:rPr>
          <w:w w:val="105"/>
        </w:rPr>
        <w:t>Computer</w:t>
      </w:r>
      <w:r>
        <w:rPr>
          <w:spacing w:val="-40"/>
          <w:w w:val="105"/>
        </w:rPr>
        <w:t> </w:t>
      </w:r>
      <w:r>
        <w:rPr>
          <w:w w:val="105"/>
        </w:rPr>
        <w:t>Software</w:t>
      </w:r>
      <w:r>
        <w:rPr>
          <w:spacing w:val="-40"/>
          <w:w w:val="105"/>
        </w:rPr>
        <w:t> </w:t>
      </w:r>
      <w:r>
        <w:rPr>
          <w:w w:val="105"/>
        </w:rPr>
        <w:t>and</w:t>
      </w:r>
      <w:r>
        <w:rPr>
          <w:spacing w:val="-40"/>
          <w:w w:val="105"/>
        </w:rPr>
        <w:t> </w:t>
      </w:r>
      <w:r>
        <w:rPr>
          <w:w w:val="105"/>
        </w:rPr>
        <w:t>Systems</w:t>
      </w:r>
      <w:r>
        <w:rPr>
          <w:spacing w:val="-40"/>
          <w:w w:val="105"/>
        </w:rPr>
        <w:t> </w:t>
      </w:r>
      <w:r>
        <w:rPr>
          <w:w w:val="105"/>
        </w:rPr>
        <w:t>Training: </w:t>
      </w:r>
      <w:r>
        <w:rPr>
          <w:w w:val="90"/>
        </w:rPr>
        <w:t>642</w:t>
      </w:r>
      <w:r>
        <w:rPr>
          <w:spacing w:val="-16"/>
          <w:w w:val="90"/>
        </w:rPr>
        <w:t> </w:t>
      </w:r>
      <w:r>
        <w:rPr>
          <w:w w:val="90"/>
        </w:rPr>
        <w:t>(15%)</w:t>
      </w:r>
    </w:p>
    <w:p>
      <w:pPr>
        <w:pStyle w:val="BodyText"/>
        <w:spacing w:line="244" w:lineRule="auto" w:before="58"/>
        <w:ind w:left="450" w:right="175" w:hanging="199"/>
      </w:pPr>
      <w:r>
        <w:rPr>
          <w:rFonts w:ascii="Century Gothic" w:hAnsi="Century Gothic"/>
          <w:b/>
          <w:w w:val="115"/>
        </w:rPr>
        <w:t>≥</w:t>
      </w:r>
      <w:r>
        <w:rPr>
          <w:rFonts w:ascii="Century Gothic" w:hAnsi="Century Gothic"/>
          <w:b/>
          <w:spacing w:val="-24"/>
          <w:w w:val="115"/>
        </w:rPr>
        <w:t> </w:t>
      </w:r>
      <w:r>
        <w:rPr>
          <w:w w:val="105"/>
        </w:rPr>
        <w:t>Organisational</w:t>
      </w:r>
      <w:r>
        <w:rPr>
          <w:spacing w:val="-38"/>
          <w:w w:val="105"/>
        </w:rPr>
        <w:t> </w:t>
      </w:r>
      <w:r>
        <w:rPr>
          <w:w w:val="105"/>
        </w:rPr>
        <w:t>Knowledge</w:t>
      </w:r>
      <w:r>
        <w:rPr>
          <w:spacing w:val="-38"/>
          <w:w w:val="105"/>
        </w:rPr>
        <w:t> </w:t>
      </w:r>
      <w:r>
        <w:rPr>
          <w:w w:val="105"/>
        </w:rPr>
        <w:t>and</w:t>
      </w:r>
      <w:r>
        <w:rPr>
          <w:spacing w:val="-38"/>
          <w:w w:val="105"/>
        </w:rPr>
        <w:t> </w:t>
      </w:r>
      <w:r>
        <w:rPr>
          <w:w w:val="105"/>
        </w:rPr>
        <w:t>Policies: </w:t>
      </w:r>
      <w:r>
        <w:rPr>
          <w:w w:val="90"/>
        </w:rPr>
        <w:t>659</w:t>
      </w:r>
      <w:r>
        <w:rPr>
          <w:spacing w:val="-10"/>
          <w:w w:val="90"/>
        </w:rPr>
        <w:t> </w:t>
      </w:r>
      <w:r>
        <w:rPr>
          <w:w w:val="90"/>
        </w:rPr>
        <w:t>(16%)</w:t>
      </w:r>
    </w:p>
    <w:p>
      <w:pPr>
        <w:pStyle w:val="BodyText"/>
        <w:spacing w:before="58"/>
        <w:ind w:left="252" w:right="-9"/>
      </w:pPr>
      <w:r>
        <w:rPr>
          <w:rFonts w:ascii="Century Gothic" w:hAnsi="Century Gothic"/>
          <w:b/>
          <w:w w:val="110"/>
        </w:rPr>
        <w:t>≥ </w:t>
      </w:r>
      <w:r>
        <w:rPr>
          <w:w w:val="105"/>
        </w:rPr>
        <w:t>Diversity and Wellbeing: 320 (8%)</w:t>
      </w:r>
    </w:p>
    <w:p>
      <w:pPr>
        <w:pStyle w:val="BodyText"/>
        <w:spacing w:before="60"/>
        <w:ind w:left="252" w:right="520"/>
      </w:pPr>
      <w:r>
        <w:rPr>
          <w:rFonts w:ascii="Century Gothic" w:hAnsi="Century Gothic"/>
          <w:b/>
          <w:w w:val="115"/>
        </w:rPr>
        <w:t>≥ </w:t>
      </w:r>
      <w:r>
        <w:rPr/>
        <w:t>Internal Consultancies: 178 (4%)</w:t>
      </w:r>
    </w:p>
    <w:p>
      <w:pPr>
        <w:pStyle w:val="BodyText"/>
        <w:spacing w:before="5"/>
        <w:rPr>
          <w:sz w:val="14"/>
        </w:rPr>
      </w:pPr>
    </w:p>
    <w:p>
      <w:pPr>
        <w:pStyle w:val="BodyText"/>
        <w:spacing w:line="249" w:lineRule="auto"/>
        <w:ind w:left="252" w:right="-11"/>
      </w:pPr>
      <w:r>
        <w:rPr/>
        <w:t>Online learning represented 65% of all </w:t>
      </w:r>
      <w:r>
        <w:rPr>
          <w:w w:val="96"/>
        </w:rPr>
        <w:t>learning </w:t>
      </w:r>
      <w:r>
        <w:rPr>
          <w:w w:val="98"/>
        </w:rPr>
        <w:t>activities </w:t>
      </w:r>
      <w:r>
        <w:rPr>
          <w:w w:val="97"/>
        </w:rPr>
        <w:t>undertaken </w:t>
      </w:r>
      <w:r>
        <w:rPr>
          <w:w w:val="95"/>
        </w:rPr>
        <w:t>in </w:t>
      </w:r>
      <w:r>
        <w:rPr>
          <w:w w:val="90"/>
        </w:rPr>
        <w:t>2016 </w:t>
      </w:r>
      <w:r>
        <w:rPr>
          <w:w w:val="98"/>
        </w:rPr>
        <w:t>with </w:t>
      </w:r>
      <w:r>
        <w:rPr>
          <w:w w:val="95"/>
        </w:rPr>
        <w:t>an </w:t>
      </w:r>
      <w:r>
        <w:rPr/>
        <w:t>additional 8,020 online course completions.</w:t>
      </w:r>
    </w:p>
    <w:p>
      <w:pPr>
        <w:pStyle w:val="BodyText"/>
        <w:spacing w:before="2"/>
        <w:rPr>
          <w:sz w:val="18"/>
        </w:rPr>
      </w:pPr>
      <w:r>
        <w:rPr/>
        <w:br w:type="column"/>
      </w:r>
      <w:r>
        <w:rPr>
          <w:sz w:val="18"/>
        </w:rPr>
      </w:r>
    </w:p>
    <w:p>
      <w:pPr>
        <w:pStyle w:val="Heading7"/>
        <w:ind w:left="288" w:right="422"/>
      </w:pPr>
      <w:r>
        <w:rPr>
          <w:color w:val="615C58"/>
          <w:w w:val="95"/>
        </w:rPr>
        <w:t>Key Projects and Programs:</w:t>
      </w:r>
    </w:p>
    <w:p>
      <w:pPr>
        <w:pStyle w:val="BodyText"/>
        <w:spacing w:line="247" w:lineRule="auto" w:before="85"/>
        <w:ind w:left="288" w:right="422"/>
      </w:pPr>
      <w:r>
        <w:rPr>
          <w:w w:val="95"/>
        </w:rPr>
        <w:t>The </w:t>
      </w:r>
      <w:r>
        <w:rPr>
          <w:rFonts w:ascii="Century Gothic"/>
          <w:i/>
          <w:w w:val="95"/>
        </w:rPr>
        <w:t>Academic Careers and Development </w:t>
      </w:r>
      <w:r>
        <w:rPr>
          <w:rFonts w:ascii="Century Gothic"/>
          <w:i/>
        </w:rPr>
        <w:t>Project </w:t>
      </w:r>
      <w:r>
        <w:rPr/>
        <w:t>focuses on the development and implementation</w:t>
      </w:r>
      <w:r>
        <w:rPr>
          <w:spacing w:val="-11"/>
        </w:rPr>
        <w:t> </w:t>
      </w:r>
      <w:r>
        <w:rPr/>
        <w:t>of</w:t>
      </w:r>
      <w:r>
        <w:rPr>
          <w:spacing w:val="-11"/>
        </w:rPr>
        <w:t> </w:t>
      </w:r>
      <w:r>
        <w:rPr/>
        <w:t>the</w:t>
      </w:r>
      <w:r>
        <w:rPr>
          <w:spacing w:val="-11"/>
        </w:rPr>
        <w:t> </w:t>
      </w:r>
      <w:r>
        <w:rPr/>
        <w:t>Academic</w:t>
      </w:r>
      <w:r>
        <w:rPr>
          <w:spacing w:val="-11"/>
        </w:rPr>
        <w:t> </w:t>
      </w:r>
      <w:r>
        <w:rPr/>
        <w:t>Capabilities and Performance Expectations Framework to enable the building of an innovative, flexible, responsive and high performing academic</w:t>
      </w:r>
      <w:r>
        <w:rPr>
          <w:spacing w:val="-18"/>
        </w:rPr>
        <w:t> </w:t>
      </w:r>
      <w:r>
        <w:rPr/>
        <w:t>workforce.</w:t>
      </w:r>
      <w:r>
        <w:rPr>
          <w:spacing w:val="-18"/>
        </w:rPr>
        <w:t> </w:t>
      </w:r>
      <w:r>
        <w:rPr/>
        <w:t>The</w:t>
      </w:r>
      <w:r>
        <w:rPr>
          <w:spacing w:val="-18"/>
        </w:rPr>
        <w:t> </w:t>
      </w:r>
      <w:r>
        <w:rPr/>
        <w:t>program</w:t>
      </w:r>
      <w:r>
        <w:rPr>
          <w:spacing w:val="-18"/>
        </w:rPr>
        <w:t> </w:t>
      </w:r>
      <w:r>
        <w:rPr/>
        <w:t>delivers</w:t>
      </w:r>
    </w:p>
    <w:p>
      <w:pPr>
        <w:pStyle w:val="BodyText"/>
        <w:spacing w:line="249" w:lineRule="auto" w:before="1"/>
        <w:ind w:left="288" w:right="422"/>
      </w:pPr>
      <w:r>
        <w:rPr/>
        <w:t>a suite of career development resources, workshops and activities to support academic staff and their supervisors. The </w:t>
      </w:r>
      <w:r>
        <w:rPr>
          <w:w w:val="98"/>
        </w:rPr>
        <w:t>program </w:t>
      </w:r>
      <w:r>
        <w:rPr>
          <w:w w:val="96"/>
        </w:rPr>
        <w:t>was </w:t>
      </w:r>
      <w:r>
        <w:rPr>
          <w:w w:val="99"/>
        </w:rPr>
        <w:t>piloted </w:t>
      </w:r>
      <w:r>
        <w:rPr>
          <w:w w:val="97"/>
        </w:rPr>
        <w:t>during </w:t>
      </w:r>
      <w:r>
        <w:rPr>
          <w:w w:val="90"/>
        </w:rPr>
        <w:t>2016 </w:t>
      </w:r>
      <w:r>
        <w:rPr>
          <w:w w:val="98"/>
        </w:rPr>
        <w:t>with </w:t>
      </w:r>
      <w:r>
        <w:rPr>
          <w:w w:val="97"/>
        </w:rPr>
        <w:t>the </w:t>
      </w:r>
      <w:r>
        <w:rPr/>
        <w:t>School of Education and the School of Nursing &amp; Midwifery, with materials now available online to all academic staff.</w:t>
      </w:r>
    </w:p>
    <w:p>
      <w:pPr>
        <w:spacing w:after="0" w:line="249" w:lineRule="auto"/>
        <w:sectPr>
          <w:type w:val="continuous"/>
          <w:pgSz w:w="11910" w:h="16840"/>
          <w:pgMar w:top="1580" w:bottom="280" w:left="580" w:right="580"/>
          <w:cols w:num="3" w:equalWidth="0">
            <w:col w:w="3475" w:space="40"/>
            <w:col w:w="3364" w:space="40"/>
            <w:col w:w="38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pPr>
      <w:r>
        <w:rPr/>
        <w:t>Key programs that support academic career development include:</w:t>
      </w:r>
    </w:p>
    <w:p>
      <w:pPr>
        <w:spacing w:line="247" w:lineRule="auto" w:before="55"/>
        <w:ind w:left="305" w:right="28" w:hanging="199"/>
        <w:jc w:val="left"/>
        <w:rPr>
          <w:sz w:val="16"/>
        </w:rPr>
      </w:pPr>
      <w:r>
        <w:rPr>
          <w:rFonts w:ascii="Century Gothic" w:hAnsi="Century Gothic"/>
          <w:b/>
          <w:w w:val="95"/>
          <w:sz w:val="16"/>
        </w:rPr>
        <w:t>≥</w:t>
      </w:r>
      <w:r>
        <w:rPr>
          <w:rFonts w:ascii="Century Gothic" w:hAnsi="Century Gothic"/>
          <w:b/>
          <w:spacing w:val="4"/>
          <w:w w:val="95"/>
          <w:sz w:val="16"/>
        </w:rPr>
        <w:t> </w:t>
      </w:r>
      <w:r>
        <w:rPr>
          <w:rFonts w:ascii="Century Gothic" w:hAnsi="Century Gothic"/>
          <w:i/>
          <w:w w:val="95"/>
          <w:sz w:val="16"/>
        </w:rPr>
        <w:t>The</w:t>
      </w:r>
      <w:r>
        <w:rPr>
          <w:rFonts w:ascii="Century Gothic" w:hAnsi="Century Gothic"/>
          <w:i/>
          <w:spacing w:val="-18"/>
          <w:w w:val="95"/>
          <w:sz w:val="16"/>
        </w:rPr>
        <w:t> </w:t>
      </w:r>
      <w:r>
        <w:rPr>
          <w:rFonts w:ascii="Century Gothic" w:hAnsi="Century Gothic"/>
          <w:i/>
          <w:w w:val="95"/>
          <w:sz w:val="16"/>
        </w:rPr>
        <w:t>Foundations</w:t>
      </w:r>
      <w:r>
        <w:rPr>
          <w:rFonts w:ascii="Century Gothic" w:hAnsi="Century Gothic"/>
          <w:i/>
          <w:spacing w:val="-18"/>
          <w:w w:val="95"/>
          <w:sz w:val="16"/>
        </w:rPr>
        <w:t> </w:t>
      </w:r>
      <w:r>
        <w:rPr>
          <w:rFonts w:ascii="Century Gothic" w:hAnsi="Century Gothic"/>
          <w:i/>
          <w:w w:val="95"/>
          <w:sz w:val="16"/>
        </w:rPr>
        <w:t>of</w:t>
      </w:r>
      <w:r>
        <w:rPr>
          <w:rFonts w:ascii="Century Gothic" w:hAnsi="Century Gothic"/>
          <w:i/>
          <w:spacing w:val="-18"/>
          <w:w w:val="95"/>
          <w:sz w:val="16"/>
        </w:rPr>
        <w:t> </w:t>
      </w:r>
      <w:r>
        <w:rPr>
          <w:rFonts w:ascii="Century Gothic" w:hAnsi="Century Gothic"/>
          <w:i/>
          <w:w w:val="95"/>
          <w:sz w:val="16"/>
        </w:rPr>
        <w:t>University</w:t>
      </w:r>
      <w:r>
        <w:rPr>
          <w:rFonts w:ascii="Century Gothic" w:hAnsi="Century Gothic"/>
          <w:i/>
          <w:spacing w:val="-18"/>
          <w:w w:val="95"/>
          <w:sz w:val="16"/>
        </w:rPr>
        <w:t> </w:t>
      </w:r>
      <w:r>
        <w:rPr>
          <w:rFonts w:ascii="Century Gothic" w:hAnsi="Century Gothic"/>
          <w:i/>
          <w:w w:val="95"/>
          <w:sz w:val="16"/>
        </w:rPr>
        <w:t>Learning</w:t>
      </w:r>
      <w:r>
        <w:rPr>
          <w:rFonts w:ascii="Century Gothic" w:hAnsi="Century Gothic"/>
          <w:i/>
          <w:spacing w:val="-18"/>
          <w:w w:val="95"/>
          <w:sz w:val="16"/>
        </w:rPr>
        <w:t> </w:t>
      </w:r>
      <w:r>
        <w:rPr>
          <w:rFonts w:ascii="Century Gothic" w:hAnsi="Century Gothic"/>
          <w:i/>
          <w:w w:val="95"/>
          <w:sz w:val="16"/>
        </w:rPr>
        <w:t>and </w:t>
      </w:r>
      <w:r>
        <w:rPr>
          <w:rFonts w:ascii="Century Gothic" w:hAnsi="Century Gothic"/>
          <w:i/>
          <w:sz w:val="16"/>
        </w:rPr>
        <w:t>Teaching</w:t>
      </w:r>
      <w:r>
        <w:rPr>
          <w:rFonts w:ascii="Century Gothic" w:hAnsi="Century Gothic"/>
          <w:i/>
          <w:spacing w:val="-27"/>
          <w:sz w:val="16"/>
        </w:rPr>
        <w:t> </w:t>
      </w:r>
      <w:r>
        <w:rPr>
          <w:rFonts w:ascii="Century Gothic" w:hAnsi="Century Gothic"/>
          <w:i/>
          <w:sz w:val="16"/>
        </w:rPr>
        <w:t>Program</w:t>
      </w:r>
      <w:r>
        <w:rPr>
          <w:rFonts w:ascii="Century Gothic" w:hAnsi="Century Gothic"/>
          <w:i/>
          <w:spacing w:val="-27"/>
          <w:sz w:val="16"/>
        </w:rPr>
        <w:t> </w:t>
      </w:r>
      <w:r>
        <w:rPr>
          <w:rFonts w:ascii="Century Gothic" w:hAnsi="Century Gothic"/>
          <w:i/>
          <w:sz w:val="16"/>
        </w:rPr>
        <w:t>(FULT)</w:t>
      </w:r>
      <w:r>
        <w:rPr>
          <w:rFonts w:ascii="Century Gothic" w:hAnsi="Century Gothic"/>
          <w:i/>
          <w:spacing w:val="-27"/>
          <w:sz w:val="16"/>
        </w:rPr>
        <w:t> </w:t>
      </w:r>
      <w:r>
        <w:rPr>
          <w:sz w:val="16"/>
        </w:rPr>
        <w:t>–</w:t>
      </w:r>
      <w:r>
        <w:rPr>
          <w:spacing w:val="-32"/>
          <w:sz w:val="16"/>
        </w:rPr>
        <w:t> </w:t>
      </w:r>
      <w:r>
        <w:rPr>
          <w:sz w:val="16"/>
        </w:rPr>
        <w:t>a</w:t>
      </w:r>
      <w:r>
        <w:rPr>
          <w:spacing w:val="-32"/>
          <w:sz w:val="16"/>
        </w:rPr>
        <w:t> </w:t>
      </w:r>
      <w:r>
        <w:rPr>
          <w:sz w:val="16"/>
        </w:rPr>
        <w:t>professional development program for new teaching staff aimed at encouraging student- focused</w:t>
      </w:r>
      <w:r>
        <w:rPr>
          <w:spacing w:val="-17"/>
          <w:sz w:val="16"/>
        </w:rPr>
        <w:t> </w:t>
      </w:r>
      <w:r>
        <w:rPr>
          <w:sz w:val="16"/>
        </w:rPr>
        <w:t>teaching,</w:t>
      </w:r>
      <w:r>
        <w:rPr>
          <w:spacing w:val="-17"/>
          <w:sz w:val="16"/>
        </w:rPr>
        <w:t> </w:t>
      </w:r>
      <w:r>
        <w:rPr>
          <w:sz w:val="16"/>
        </w:rPr>
        <w:t>engaging</w:t>
      </w:r>
      <w:r>
        <w:rPr>
          <w:spacing w:val="-17"/>
          <w:sz w:val="16"/>
        </w:rPr>
        <w:t> </w:t>
      </w:r>
      <w:r>
        <w:rPr>
          <w:sz w:val="16"/>
        </w:rPr>
        <w:t>students</w:t>
      </w:r>
    </w:p>
    <w:p>
      <w:pPr>
        <w:pStyle w:val="BodyText"/>
        <w:spacing w:line="249" w:lineRule="auto" w:before="1"/>
        <w:ind w:left="305" w:right="6"/>
      </w:pPr>
      <w:r>
        <w:rPr/>
        <w:t>in learning, and aligning teaching and reflective practice with the scholarship of learning</w:t>
      </w:r>
      <w:r>
        <w:rPr>
          <w:spacing w:val="-17"/>
        </w:rPr>
        <w:t> </w:t>
      </w:r>
      <w:r>
        <w:rPr/>
        <w:t>and</w:t>
      </w:r>
      <w:r>
        <w:rPr>
          <w:spacing w:val="-17"/>
        </w:rPr>
        <w:t> </w:t>
      </w:r>
      <w:r>
        <w:rPr/>
        <w:t>teaching.</w:t>
      </w:r>
      <w:r>
        <w:rPr>
          <w:spacing w:val="-17"/>
        </w:rPr>
        <w:t> </w:t>
      </w:r>
      <w:r>
        <w:rPr/>
        <w:t>Four</w:t>
      </w:r>
      <w:r>
        <w:rPr>
          <w:spacing w:val="-17"/>
        </w:rPr>
        <w:t> </w:t>
      </w:r>
      <w:r>
        <w:rPr/>
        <w:t>FULT</w:t>
      </w:r>
      <w:r>
        <w:rPr>
          <w:spacing w:val="-17"/>
        </w:rPr>
        <w:t> </w:t>
      </w:r>
      <w:r>
        <w:rPr/>
        <w:t>programs </w:t>
      </w:r>
      <w:r>
        <w:rPr>
          <w:w w:val="97"/>
        </w:rPr>
        <w:t>were </w:t>
      </w:r>
      <w:r>
        <w:rPr>
          <w:spacing w:val="1"/>
          <w:w w:val="97"/>
        </w:rPr>
        <w:t>held</w:t>
      </w:r>
      <w:r>
        <w:rPr>
          <w:w w:val="97"/>
        </w:rPr>
        <w:t> </w:t>
      </w:r>
      <w:r>
        <w:rPr>
          <w:w w:val="95"/>
        </w:rPr>
        <w:t>in </w:t>
      </w:r>
      <w:r>
        <w:rPr>
          <w:spacing w:val="1"/>
          <w:w w:val="90"/>
        </w:rPr>
        <w:t>2016</w:t>
      </w:r>
      <w:r>
        <w:rPr>
          <w:w w:val="90"/>
        </w:rPr>
        <w:t> </w:t>
      </w:r>
      <w:r>
        <w:rPr>
          <w:w w:val="89"/>
        </w:rPr>
        <w:t>– </w:t>
      </w:r>
      <w:r>
        <w:rPr>
          <w:w w:val="101"/>
        </w:rPr>
        <w:t>two </w:t>
      </w:r>
      <w:r>
        <w:rPr>
          <w:w w:val="98"/>
        </w:rPr>
        <w:t>for </w:t>
      </w:r>
      <w:r>
        <w:rPr>
          <w:spacing w:val="1"/>
          <w:w w:val="97"/>
        </w:rPr>
        <w:t>full-time</w:t>
      </w:r>
      <w:r>
        <w:rPr>
          <w:w w:val="97"/>
        </w:rPr>
        <w:t> </w:t>
      </w:r>
      <w:r>
        <w:rPr>
          <w:spacing w:val="1"/>
          <w:w w:val="97"/>
        </w:rPr>
        <w:t>staff</w:t>
      </w:r>
      <w:r>
        <w:rPr>
          <w:w w:val="97"/>
        </w:rPr>
        <w:t> </w:t>
      </w:r>
      <w:r>
        <w:rPr/>
        <w:t>and two for sessional staff – with 68 academic staff</w:t>
      </w:r>
      <w:r>
        <w:rPr>
          <w:spacing w:val="-28"/>
        </w:rPr>
        <w:t> </w:t>
      </w:r>
      <w:r>
        <w:rPr/>
        <w:t>participating.</w:t>
      </w:r>
    </w:p>
    <w:p>
      <w:pPr>
        <w:pStyle w:val="BodyText"/>
        <w:spacing w:line="247" w:lineRule="auto" w:before="55"/>
        <w:ind w:left="305" w:right="-17" w:hanging="199"/>
      </w:pPr>
      <w:r>
        <w:rPr>
          <w:rFonts w:ascii="Century Gothic" w:hAnsi="Century Gothic"/>
          <w:b/>
          <w:w w:val="115"/>
        </w:rPr>
        <w:t>≥ </w:t>
      </w:r>
      <w:r>
        <w:rPr>
          <w:rFonts w:ascii="Century Gothic" w:hAnsi="Century Gothic"/>
          <w:i/>
        </w:rPr>
        <w:t>Mentoring </w:t>
      </w:r>
      <w:r>
        <w:rPr/>
        <w:t>– a number of academic mentoring programs are offered for early to</w:t>
      </w:r>
      <w:r>
        <w:rPr>
          <w:spacing w:val="-15"/>
        </w:rPr>
        <w:t> </w:t>
      </w:r>
      <w:r>
        <w:rPr/>
        <w:t>mid-career</w:t>
      </w:r>
      <w:r>
        <w:rPr>
          <w:spacing w:val="-15"/>
        </w:rPr>
        <w:t> </w:t>
      </w:r>
      <w:r>
        <w:rPr/>
        <w:t>academic</w:t>
      </w:r>
      <w:r>
        <w:rPr>
          <w:spacing w:val="-15"/>
        </w:rPr>
        <w:t> </w:t>
      </w:r>
      <w:r>
        <w:rPr/>
        <w:t>staff,</w:t>
      </w:r>
      <w:r>
        <w:rPr>
          <w:spacing w:val="-15"/>
        </w:rPr>
        <w:t> </w:t>
      </w:r>
      <w:r>
        <w:rPr/>
        <w:t>and</w:t>
      </w:r>
      <w:r>
        <w:rPr>
          <w:spacing w:val="-15"/>
        </w:rPr>
        <w:t> </w:t>
      </w:r>
      <w:r>
        <w:rPr/>
        <w:t>provide</w:t>
      </w:r>
      <w:r>
        <w:rPr>
          <w:spacing w:val="-15"/>
        </w:rPr>
        <w:t> </w:t>
      </w:r>
      <w:r>
        <w:rPr/>
        <w:t>a unique opportunity to broaden knowledge, skills</w:t>
      </w:r>
      <w:r>
        <w:rPr>
          <w:spacing w:val="-23"/>
        </w:rPr>
        <w:t> </w:t>
      </w:r>
      <w:r>
        <w:rPr/>
        <w:t>and</w:t>
      </w:r>
      <w:r>
        <w:rPr>
          <w:spacing w:val="-23"/>
        </w:rPr>
        <w:t> </w:t>
      </w:r>
      <w:r>
        <w:rPr/>
        <w:t>experience</w:t>
      </w:r>
      <w:r>
        <w:rPr>
          <w:spacing w:val="-23"/>
        </w:rPr>
        <w:t> </w:t>
      </w:r>
      <w:r>
        <w:rPr/>
        <w:t>through</w:t>
      </w:r>
      <w:r>
        <w:rPr>
          <w:spacing w:val="-23"/>
        </w:rPr>
        <w:t> </w:t>
      </w:r>
      <w:r>
        <w:rPr/>
        <w:t>mentoring.</w:t>
      </w:r>
    </w:p>
    <w:p>
      <w:pPr>
        <w:pStyle w:val="BodyText"/>
        <w:spacing w:line="249" w:lineRule="auto" w:before="1"/>
        <w:ind w:left="305" w:right="229"/>
      </w:pPr>
      <w:r>
        <w:rPr>
          <w:w w:val="80"/>
        </w:rPr>
        <w:t>In </w:t>
      </w:r>
      <w:r>
        <w:rPr>
          <w:w w:val="85"/>
        </w:rPr>
        <w:t>2016, </w:t>
      </w:r>
      <w:r>
        <w:rPr>
          <w:w w:val="95"/>
        </w:rPr>
        <w:t>55 </w:t>
      </w:r>
      <w:r>
        <w:rPr>
          <w:w w:val="97"/>
        </w:rPr>
        <w:t>staff </w:t>
      </w:r>
      <w:r>
        <w:rPr>
          <w:w w:val="98"/>
        </w:rPr>
        <w:t>participated </w:t>
      </w:r>
      <w:r>
        <w:rPr>
          <w:w w:val="95"/>
        </w:rPr>
        <w:t>in </w:t>
      </w:r>
      <w:r>
        <w:rPr>
          <w:w w:val="97"/>
        </w:rPr>
        <w:t>the </w:t>
      </w:r>
      <w:r>
        <w:rPr>
          <w:w w:val="96"/>
        </w:rPr>
        <w:t>nine- </w:t>
      </w:r>
      <w:r>
        <w:rPr/>
        <w:t>month Academic Mentoring Program.</w:t>
      </w:r>
    </w:p>
    <w:p>
      <w:pPr>
        <w:pStyle w:val="BodyText"/>
        <w:spacing w:line="249" w:lineRule="auto"/>
        <w:ind w:left="305" w:right="229"/>
      </w:pPr>
      <w:r>
        <w:rPr/>
        <w:t>12 early-career female researchers participated in Speed Mentoring with </w:t>
      </w:r>
      <w:r>
        <w:rPr>
          <w:w w:val="97"/>
        </w:rPr>
        <w:t>the </w:t>
      </w:r>
      <w:r>
        <w:rPr>
          <w:w w:val="98"/>
        </w:rPr>
        <w:t>Executive </w:t>
      </w:r>
      <w:r>
        <w:rPr>
          <w:w w:val="97"/>
        </w:rPr>
        <w:t>and </w:t>
      </w:r>
      <w:r>
        <w:rPr>
          <w:w w:val="82"/>
        </w:rPr>
        <w:t>10 </w:t>
      </w:r>
      <w:r>
        <w:rPr>
          <w:w w:val="97"/>
        </w:rPr>
        <w:t>early-career</w:t>
      </w:r>
    </w:p>
    <w:p>
      <w:pPr>
        <w:pStyle w:val="BodyText"/>
        <w:spacing w:line="249" w:lineRule="auto"/>
        <w:ind w:left="305"/>
      </w:pPr>
      <w:r>
        <w:rPr/>
        <w:t>academics participated in Campus-based Speed Mentoring with members of the professoriate.</w:t>
      </w:r>
    </w:p>
    <w:p>
      <w:pPr>
        <w:spacing w:line="247" w:lineRule="auto" w:before="55"/>
        <w:ind w:left="305" w:right="166" w:hanging="199"/>
        <w:jc w:val="left"/>
        <w:rPr>
          <w:sz w:val="16"/>
        </w:rPr>
      </w:pPr>
      <w:r>
        <w:rPr>
          <w:rFonts w:ascii="Century Gothic" w:hAnsi="Century Gothic"/>
          <w:b/>
          <w:w w:val="95"/>
          <w:sz w:val="16"/>
        </w:rPr>
        <w:t>≥ </w:t>
      </w:r>
      <w:r>
        <w:rPr>
          <w:rFonts w:ascii="Century Gothic" w:hAnsi="Century Gothic"/>
          <w:i/>
          <w:w w:val="95"/>
          <w:sz w:val="16"/>
        </w:rPr>
        <w:t>Early</w:t>
      </w:r>
      <w:r>
        <w:rPr>
          <w:rFonts w:ascii="Century Gothic" w:hAnsi="Century Gothic"/>
          <w:i/>
          <w:spacing w:val="-20"/>
          <w:w w:val="95"/>
          <w:sz w:val="16"/>
        </w:rPr>
        <w:t> </w:t>
      </w:r>
      <w:r>
        <w:rPr>
          <w:rFonts w:ascii="Century Gothic" w:hAnsi="Century Gothic"/>
          <w:i/>
          <w:w w:val="95"/>
          <w:sz w:val="16"/>
        </w:rPr>
        <w:t>Career</w:t>
      </w:r>
      <w:r>
        <w:rPr>
          <w:rFonts w:ascii="Century Gothic" w:hAnsi="Century Gothic"/>
          <w:i/>
          <w:spacing w:val="-20"/>
          <w:w w:val="95"/>
          <w:sz w:val="16"/>
        </w:rPr>
        <w:t> </w:t>
      </w:r>
      <w:r>
        <w:rPr>
          <w:rFonts w:ascii="Century Gothic" w:hAnsi="Century Gothic"/>
          <w:i/>
          <w:w w:val="95"/>
          <w:sz w:val="16"/>
        </w:rPr>
        <w:t>Academics</w:t>
      </w:r>
      <w:r>
        <w:rPr>
          <w:rFonts w:ascii="Century Gothic" w:hAnsi="Century Gothic"/>
          <w:i/>
          <w:spacing w:val="-20"/>
          <w:w w:val="95"/>
          <w:sz w:val="16"/>
        </w:rPr>
        <w:t> </w:t>
      </w:r>
      <w:r>
        <w:rPr>
          <w:rFonts w:ascii="Century Gothic" w:hAnsi="Century Gothic"/>
          <w:i/>
          <w:w w:val="95"/>
          <w:sz w:val="16"/>
        </w:rPr>
        <w:t>(ECA)</w:t>
      </w:r>
      <w:r>
        <w:rPr>
          <w:rFonts w:ascii="Century Gothic" w:hAnsi="Century Gothic"/>
          <w:i/>
          <w:spacing w:val="-20"/>
          <w:w w:val="95"/>
          <w:sz w:val="16"/>
        </w:rPr>
        <w:t> </w:t>
      </w:r>
      <w:r>
        <w:rPr>
          <w:w w:val="95"/>
          <w:sz w:val="16"/>
        </w:rPr>
        <w:t>–</w:t>
      </w:r>
      <w:r>
        <w:rPr>
          <w:spacing w:val="-25"/>
          <w:w w:val="95"/>
          <w:sz w:val="16"/>
        </w:rPr>
        <w:t> </w:t>
      </w:r>
      <w:r>
        <w:rPr>
          <w:w w:val="95"/>
          <w:sz w:val="16"/>
        </w:rPr>
        <w:t>campus- </w:t>
      </w:r>
      <w:r>
        <w:rPr>
          <w:sz w:val="16"/>
        </w:rPr>
        <w:t>based Network Forums which enable peer</w:t>
      </w:r>
      <w:r>
        <w:rPr>
          <w:spacing w:val="-15"/>
          <w:sz w:val="16"/>
        </w:rPr>
        <w:t> </w:t>
      </w:r>
      <w:r>
        <w:rPr>
          <w:sz w:val="16"/>
        </w:rPr>
        <w:t>networking</w:t>
      </w:r>
      <w:r>
        <w:rPr>
          <w:spacing w:val="-15"/>
          <w:sz w:val="16"/>
        </w:rPr>
        <w:t> </w:t>
      </w:r>
      <w:r>
        <w:rPr>
          <w:sz w:val="16"/>
        </w:rPr>
        <w:t>across</w:t>
      </w:r>
      <w:r>
        <w:rPr>
          <w:spacing w:val="-15"/>
          <w:sz w:val="16"/>
        </w:rPr>
        <w:t> </w:t>
      </w:r>
      <w:r>
        <w:rPr>
          <w:sz w:val="16"/>
        </w:rPr>
        <w:t>disciplines</w:t>
      </w:r>
      <w:r>
        <w:rPr>
          <w:spacing w:val="-15"/>
          <w:sz w:val="16"/>
        </w:rPr>
        <w:t> </w:t>
      </w:r>
      <w:r>
        <w:rPr>
          <w:sz w:val="16"/>
        </w:rPr>
        <w:t>and</w:t>
      </w:r>
    </w:p>
    <w:p>
      <w:pPr>
        <w:pStyle w:val="BodyText"/>
        <w:spacing w:line="249" w:lineRule="auto" w:before="1"/>
        <w:ind w:left="305" w:right="2"/>
      </w:pPr>
      <w:r>
        <w:rPr/>
        <w:t>Schools and provide vital support for ECAs </w:t>
      </w:r>
      <w:r>
        <w:rPr>
          <w:w w:val="95"/>
        </w:rPr>
        <w:t>in </w:t>
      </w:r>
      <w:r>
        <w:rPr>
          <w:w w:val="98"/>
        </w:rPr>
        <w:t>developing </w:t>
      </w:r>
      <w:r>
        <w:rPr>
          <w:w w:val="97"/>
        </w:rPr>
        <w:t>their </w:t>
      </w:r>
      <w:r>
        <w:rPr>
          <w:w w:val="93"/>
        </w:rPr>
        <w:t>careers. </w:t>
      </w:r>
      <w:r>
        <w:rPr>
          <w:w w:val="80"/>
        </w:rPr>
        <w:t>In </w:t>
      </w:r>
      <w:r>
        <w:rPr>
          <w:w w:val="85"/>
        </w:rPr>
        <w:t>2016, </w:t>
      </w:r>
      <w:r>
        <w:rPr>
          <w:w w:val="98"/>
        </w:rPr>
        <w:t>42 </w:t>
      </w:r>
      <w:r>
        <w:rPr/>
        <w:t>academics participated in the Network Forums.</w:t>
      </w:r>
    </w:p>
    <w:p>
      <w:pPr>
        <w:pStyle w:val="BodyText"/>
        <w:spacing w:line="247" w:lineRule="auto" w:before="55"/>
        <w:ind w:left="305" w:right="336" w:hanging="199"/>
      </w:pPr>
      <w:r>
        <w:rPr>
          <w:rFonts w:ascii="Century Gothic" w:hAnsi="Century Gothic"/>
          <w:b/>
          <w:w w:val="95"/>
        </w:rPr>
        <w:t>≥ </w:t>
      </w:r>
      <w:r>
        <w:rPr>
          <w:rFonts w:ascii="Century Gothic" w:hAnsi="Century Gothic"/>
          <w:i/>
          <w:w w:val="95"/>
        </w:rPr>
        <w:t>Researcher Development </w:t>
      </w:r>
      <w:r>
        <w:rPr>
          <w:w w:val="95"/>
        </w:rPr>
        <w:t>– events for </w:t>
      </w:r>
      <w:r>
        <w:rPr/>
        <w:t>early-mid career researchers focusing on professional skills for researchers </w:t>
      </w:r>
      <w:r>
        <w:rPr>
          <w:w w:val="97"/>
        </w:rPr>
        <w:t>and </w:t>
      </w:r>
      <w:r>
        <w:rPr>
          <w:w w:val="96"/>
        </w:rPr>
        <w:t>research </w:t>
      </w:r>
      <w:r>
        <w:rPr>
          <w:w w:val="93"/>
        </w:rPr>
        <w:t>impact; </w:t>
      </w:r>
      <w:r>
        <w:rPr>
          <w:w w:val="95"/>
        </w:rPr>
        <w:t>in </w:t>
      </w:r>
      <w:r>
        <w:rPr>
          <w:w w:val="85"/>
        </w:rPr>
        <w:t>2016, </w:t>
      </w:r>
      <w:r>
        <w:rPr>
          <w:w w:val="102"/>
        </w:rPr>
        <w:t>49 </w:t>
      </w:r>
      <w:r>
        <w:rPr>
          <w:w w:val="97"/>
        </w:rPr>
        <w:t>staff </w:t>
      </w:r>
      <w:r>
        <w:rPr/>
        <w:t>participated.</w:t>
      </w:r>
    </w:p>
    <w:p>
      <w:pPr>
        <w:pStyle w:val="BodyText"/>
        <w:spacing w:before="2"/>
        <w:rPr>
          <w:sz w:val="14"/>
        </w:rPr>
      </w:pPr>
    </w:p>
    <w:p>
      <w:pPr>
        <w:pStyle w:val="BodyText"/>
        <w:spacing w:line="249" w:lineRule="auto"/>
        <w:ind w:left="107" w:right="158"/>
      </w:pPr>
      <w:r>
        <w:rPr/>
        <w:t>Key programs that enhance leadership and staff capabilities include:</w:t>
      </w:r>
    </w:p>
    <w:p>
      <w:pPr>
        <w:pStyle w:val="BodyText"/>
        <w:spacing w:line="247" w:lineRule="auto" w:before="55"/>
        <w:ind w:left="305" w:right="-2" w:hanging="199"/>
      </w:pPr>
      <w:r>
        <w:rPr>
          <w:rFonts w:ascii="Century Gothic" w:hAnsi="Century Gothic"/>
          <w:b/>
          <w:w w:val="115"/>
        </w:rPr>
        <w:t>≥</w:t>
      </w:r>
      <w:r>
        <w:rPr>
          <w:rFonts w:ascii="Century Gothic" w:hAnsi="Century Gothic"/>
          <w:b/>
          <w:spacing w:val="-25"/>
          <w:w w:val="115"/>
        </w:rPr>
        <w:t> </w:t>
      </w:r>
      <w:r>
        <w:rPr>
          <w:rFonts w:ascii="Century Gothic" w:hAnsi="Century Gothic"/>
          <w:i/>
        </w:rPr>
        <w:t>The</w:t>
      </w:r>
      <w:r>
        <w:rPr>
          <w:rFonts w:ascii="Century Gothic" w:hAnsi="Century Gothic"/>
          <w:i/>
          <w:spacing w:val="-30"/>
        </w:rPr>
        <w:t> </w:t>
      </w:r>
      <w:r>
        <w:rPr>
          <w:rFonts w:ascii="Century Gothic" w:hAnsi="Century Gothic"/>
          <w:i/>
        </w:rPr>
        <w:t>Inspire</w:t>
      </w:r>
      <w:r>
        <w:rPr>
          <w:rFonts w:ascii="Century Gothic" w:hAnsi="Century Gothic"/>
          <w:i/>
          <w:spacing w:val="-30"/>
        </w:rPr>
        <w:t> </w:t>
      </w:r>
      <w:r>
        <w:rPr>
          <w:rFonts w:ascii="Century Gothic" w:hAnsi="Century Gothic"/>
          <w:i/>
        </w:rPr>
        <w:t>Leadership</w:t>
      </w:r>
      <w:r>
        <w:rPr>
          <w:rFonts w:ascii="Century Gothic" w:hAnsi="Century Gothic"/>
          <w:i/>
          <w:spacing w:val="-30"/>
        </w:rPr>
        <w:t> </w:t>
      </w:r>
      <w:r>
        <w:rPr>
          <w:rFonts w:ascii="Century Gothic" w:hAnsi="Century Gothic"/>
          <w:i/>
        </w:rPr>
        <w:t>Program</w:t>
      </w:r>
      <w:r>
        <w:rPr>
          <w:rFonts w:ascii="Century Gothic" w:hAnsi="Century Gothic"/>
          <w:i/>
          <w:spacing w:val="-30"/>
        </w:rPr>
        <w:t> </w:t>
      </w:r>
      <w:r>
        <w:rPr/>
        <w:t>–</w:t>
      </w:r>
      <w:r>
        <w:rPr>
          <w:spacing w:val="-36"/>
        </w:rPr>
        <w:t> </w:t>
      </w:r>
      <w:r>
        <w:rPr/>
        <w:t>designed to develop and enhance the leadership skills and capabilities of academic and </w:t>
      </w:r>
      <w:r>
        <w:rPr>
          <w:spacing w:val="1"/>
          <w:w w:val="97"/>
        </w:rPr>
        <w:t>professional</w:t>
      </w:r>
      <w:r>
        <w:rPr>
          <w:w w:val="97"/>
        </w:rPr>
        <w:t> </w:t>
      </w:r>
      <w:r>
        <w:rPr>
          <w:spacing w:val="2"/>
          <w:w w:val="93"/>
        </w:rPr>
        <w:t>managers.</w:t>
      </w:r>
      <w:r>
        <w:rPr>
          <w:w w:val="93"/>
        </w:rPr>
        <w:t> </w:t>
      </w:r>
      <w:r>
        <w:rPr>
          <w:spacing w:val="1"/>
          <w:w w:val="80"/>
        </w:rPr>
        <w:t>In</w:t>
      </w:r>
      <w:r>
        <w:rPr>
          <w:w w:val="80"/>
        </w:rPr>
        <w:t> </w:t>
      </w:r>
      <w:r>
        <w:rPr>
          <w:spacing w:val="2"/>
          <w:w w:val="85"/>
        </w:rPr>
        <w:t>2016,</w:t>
      </w:r>
      <w:r>
        <w:rPr>
          <w:w w:val="85"/>
        </w:rPr>
        <w:t> </w:t>
      </w:r>
      <w:r>
        <w:rPr>
          <w:spacing w:val="1"/>
          <w:w w:val="93"/>
        </w:rPr>
        <w:t>37</w:t>
      </w:r>
      <w:r>
        <w:rPr>
          <w:w w:val="93"/>
        </w:rPr>
        <w:t> </w:t>
      </w:r>
      <w:r>
        <w:rPr/>
        <w:t>supervisors and managers completed leadership</w:t>
      </w:r>
      <w:r>
        <w:rPr>
          <w:spacing w:val="-16"/>
        </w:rPr>
        <w:t> </w:t>
      </w:r>
      <w:r>
        <w:rPr/>
        <w:t>projects</w:t>
      </w:r>
      <w:r>
        <w:rPr>
          <w:spacing w:val="-16"/>
        </w:rPr>
        <w:t> </w:t>
      </w:r>
      <w:r>
        <w:rPr/>
        <w:t>in</w:t>
      </w:r>
      <w:r>
        <w:rPr>
          <w:spacing w:val="-16"/>
        </w:rPr>
        <w:t> </w:t>
      </w:r>
      <w:r>
        <w:rPr/>
        <w:t>the</w:t>
      </w:r>
      <w:r>
        <w:rPr>
          <w:spacing w:val="-16"/>
        </w:rPr>
        <w:t> </w:t>
      </w:r>
      <w:r>
        <w:rPr/>
        <w:t>workplace</w:t>
      </w:r>
      <w:r>
        <w:rPr>
          <w:spacing w:val="-16"/>
        </w:rPr>
        <w:t> </w:t>
      </w:r>
      <w:r>
        <w:rPr/>
        <w:t>as</w:t>
      </w:r>
      <w:r>
        <w:rPr>
          <w:spacing w:val="-16"/>
        </w:rPr>
        <w:t> </w:t>
      </w:r>
      <w:r>
        <w:rPr>
          <w:spacing w:val="2"/>
        </w:rPr>
        <w:t>part </w:t>
      </w:r>
      <w:r>
        <w:rPr/>
        <w:t>of the</w:t>
      </w:r>
      <w:r>
        <w:rPr>
          <w:spacing w:val="-38"/>
        </w:rPr>
        <w:t> </w:t>
      </w:r>
      <w:r>
        <w:rPr/>
        <w:t>program.</w:t>
      </w:r>
    </w:p>
    <w:p>
      <w:pPr>
        <w:spacing w:before="57"/>
        <w:ind w:left="107" w:right="0" w:firstLine="0"/>
        <w:jc w:val="left"/>
        <w:rPr>
          <w:rFonts w:ascii="Century Gothic" w:hAnsi="Century Gothic"/>
          <w:i/>
          <w:sz w:val="16"/>
        </w:rPr>
      </w:pPr>
      <w:r>
        <w:rPr>
          <w:rFonts w:ascii="Century Gothic" w:hAnsi="Century Gothic"/>
          <w:b/>
          <w:w w:val="90"/>
          <w:sz w:val="16"/>
        </w:rPr>
        <w:t>≥ </w:t>
      </w:r>
      <w:r>
        <w:rPr>
          <w:rFonts w:ascii="Century Gothic" w:hAnsi="Century Gothic"/>
          <w:i/>
          <w:w w:val="90"/>
          <w:sz w:val="16"/>
        </w:rPr>
        <w:t>Foundational Leadership and Management</w:t>
      </w:r>
    </w:p>
    <w:p>
      <w:pPr>
        <w:pStyle w:val="BodyText"/>
        <w:spacing w:line="249" w:lineRule="auto" w:before="4"/>
        <w:ind w:left="305" w:right="324"/>
      </w:pPr>
      <w:r>
        <w:rPr/>
        <w:t>–</w:t>
      </w:r>
      <w:r>
        <w:rPr>
          <w:spacing w:val="-15"/>
        </w:rPr>
        <w:t> </w:t>
      </w:r>
      <w:r>
        <w:rPr/>
        <w:t>a</w:t>
      </w:r>
      <w:r>
        <w:rPr>
          <w:spacing w:val="-15"/>
        </w:rPr>
        <w:t> </w:t>
      </w:r>
      <w:r>
        <w:rPr/>
        <w:t>required</w:t>
      </w:r>
      <w:r>
        <w:rPr>
          <w:spacing w:val="-15"/>
        </w:rPr>
        <w:t> </w:t>
      </w:r>
      <w:r>
        <w:rPr/>
        <w:t>development</w:t>
      </w:r>
      <w:r>
        <w:rPr>
          <w:spacing w:val="-15"/>
        </w:rPr>
        <w:t> </w:t>
      </w:r>
      <w:r>
        <w:rPr/>
        <w:t>program</w:t>
      </w:r>
      <w:r>
        <w:rPr>
          <w:spacing w:val="-15"/>
        </w:rPr>
        <w:t> </w:t>
      </w:r>
      <w:r>
        <w:rPr/>
        <w:t>for all new supervisors and managers at the</w:t>
      </w:r>
      <w:r>
        <w:rPr>
          <w:spacing w:val="-19"/>
        </w:rPr>
        <w:t> </w:t>
      </w:r>
      <w:r>
        <w:rPr/>
        <w:t>University.</w:t>
      </w:r>
      <w:r>
        <w:rPr>
          <w:spacing w:val="-19"/>
        </w:rPr>
        <w:t> </w:t>
      </w:r>
      <w:r>
        <w:rPr/>
        <w:t>It</w:t>
      </w:r>
      <w:r>
        <w:rPr>
          <w:spacing w:val="-19"/>
        </w:rPr>
        <w:t> </w:t>
      </w:r>
      <w:r>
        <w:rPr/>
        <w:t>is</w:t>
      </w:r>
      <w:r>
        <w:rPr>
          <w:spacing w:val="-19"/>
        </w:rPr>
        <w:t> </w:t>
      </w:r>
      <w:r>
        <w:rPr/>
        <w:t>designed</w:t>
      </w:r>
      <w:r>
        <w:rPr>
          <w:spacing w:val="-19"/>
        </w:rPr>
        <w:t> </w:t>
      </w:r>
      <w:r>
        <w:rPr/>
        <w:t>to</w:t>
      </w:r>
      <w:r>
        <w:rPr>
          <w:spacing w:val="-19"/>
        </w:rPr>
        <w:t> </w:t>
      </w:r>
      <w:r>
        <w:rPr/>
        <w:t>provide commencing</w:t>
      </w:r>
      <w:r>
        <w:rPr>
          <w:spacing w:val="-13"/>
        </w:rPr>
        <w:t> </w:t>
      </w:r>
      <w:r>
        <w:rPr/>
        <w:t>staff</w:t>
      </w:r>
      <w:r>
        <w:rPr>
          <w:spacing w:val="-13"/>
        </w:rPr>
        <w:t> </w:t>
      </w:r>
      <w:r>
        <w:rPr/>
        <w:t>with</w:t>
      </w:r>
      <w:r>
        <w:rPr>
          <w:spacing w:val="-13"/>
        </w:rPr>
        <w:t> </w:t>
      </w:r>
      <w:r>
        <w:rPr/>
        <w:t>the</w:t>
      </w:r>
      <w:r>
        <w:rPr>
          <w:spacing w:val="-13"/>
        </w:rPr>
        <w:t> </w:t>
      </w:r>
      <w:r>
        <w:rPr/>
        <w:t>critical</w:t>
      </w:r>
    </w:p>
    <w:p>
      <w:pPr>
        <w:pStyle w:val="BodyText"/>
        <w:spacing w:before="1"/>
        <w:rPr>
          <w:sz w:val="20"/>
        </w:rPr>
      </w:pPr>
      <w:r>
        <w:rPr/>
        <w:br w:type="column"/>
      </w:r>
      <w:r>
        <w:rPr>
          <w:sz w:val="20"/>
        </w:rPr>
      </w:r>
    </w:p>
    <w:p>
      <w:pPr>
        <w:pStyle w:val="BodyText"/>
        <w:spacing w:line="249" w:lineRule="auto"/>
        <w:ind w:left="305" w:right="-1"/>
      </w:pPr>
      <w:r>
        <w:rPr/>
        <w:t>policy and legislative knowledge and requirements</w:t>
      </w:r>
      <w:r>
        <w:rPr>
          <w:spacing w:val="-18"/>
        </w:rPr>
        <w:t> </w:t>
      </w:r>
      <w:r>
        <w:rPr/>
        <w:t>to</w:t>
      </w:r>
      <w:r>
        <w:rPr>
          <w:spacing w:val="-18"/>
        </w:rPr>
        <w:t> </w:t>
      </w:r>
      <w:r>
        <w:rPr/>
        <w:t>succeed</w:t>
      </w:r>
      <w:r>
        <w:rPr>
          <w:spacing w:val="-18"/>
        </w:rPr>
        <w:t> </w:t>
      </w:r>
      <w:r>
        <w:rPr/>
        <w:t>in</w:t>
      </w:r>
      <w:r>
        <w:rPr>
          <w:spacing w:val="-18"/>
        </w:rPr>
        <w:t> </w:t>
      </w:r>
      <w:r>
        <w:rPr/>
        <w:t>their</w:t>
      </w:r>
      <w:r>
        <w:rPr>
          <w:spacing w:val="-18"/>
        </w:rPr>
        <w:t> </w:t>
      </w:r>
      <w:r>
        <w:rPr/>
        <w:t>leadership roles.</w:t>
      </w:r>
      <w:r>
        <w:rPr>
          <w:spacing w:val="-16"/>
        </w:rPr>
        <w:t> </w:t>
      </w:r>
      <w:r>
        <w:rPr/>
        <w:t>The</w:t>
      </w:r>
      <w:r>
        <w:rPr>
          <w:spacing w:val="-16"/>
        </w:rPr>
        <w:t> </w:t>
      </w:r>
      <w:r>
        <w:rPr/>
        <w:t>program</w:t>
      </w:r>
      <w:r>
        <w:rPr>
          <w:spacing w:val="-16"/>
        </w:rPr>
        <w:t> </w:t>
      </w:r>
      <w:r>
        <w:rPr/>
        <w:t>is</w:t>
      </w:r>
      <w:r>
        <w:rPr>
          <w:spacing w:val="-16"/>
        </w:rPr>
        <w:t> </w:t>
      </w:r>
      <w:r>
        <w:rPr/>
        <w:t>designed</w:t>
      </w:r>
      <w:r>
        <w:rPr>
          <w:spacing w:val="-16"/>
        </w:rPr>
        <w:t> </w:t>
      </w:r>
      <w:r>
        <w:rPr/>
        <w:t>to</w:t>
      </w:r>
      <w:r>
        <w:rPr>
          <w:spacing w:val="-16"/>
        </w:rPr>
        <w:t> </w:t>
      </w:r>
      <w:r>
        <w:rPr/>
        <w:t>run</w:t>
      </w:r>
      <w:r>
        <w:rPr>
          <w:spacing w:val="-16"/>
        </w:rPr>
        <w:t> </w:t>
      </w:r>
      <w:r>
        <w:rPr/>
        <w:t>over two years. 70 new staff commenced the </w:t>
      </w:r>
      <w:r>
        <w:rPr>
          <w:spacing w:val="1"/>
          <w:w w:val="98"/>
        </w:rPr>
        <w:t>program</w:t>
      </w:r>
      <w:r>
        <w:rPr>
          <w:w w:val="98"/>
        </w:rPr>
        <w:t> </w:t>
      </w:r>
      <w:r>
        <w:rPr>
          <w:w w:val="95"/>
        </w:rPr>
        <w:t>in</w:t>
      </w:r>
      <w:r>
        <w:rPr>
          <w:spacing w:val="-9"/>
          <w:w w:val="95"/>
        </w:rPr>
        <w:t> </w:t>
      </w:r>
      <w:r>
        <w:rPr>
          <w:spacing w:val="2"/>
          <w:w w:val="85"/>
        </w:rPr>
        <w:t>2016.</w:t>
      </w:r>
    </w:p>
    <w:p>
      <w:pPr>
        <w:pStyle w:val="BodyText"/>
        <w:spacing w:line="247" w:lineRule="auto" w:before="55"/>
        <w:ind w:left="305" w:right="-2" w:hanging="199"/>
      </w:pPr>
      <w:r>
        <w:rPr>
          <w:rFonts w:ascii="Century Gothic" w:hAnsi="Century Gothic"/>
          <w:b/>
          <w:w w:val="115"/>
        </w:rPr>
        <w:t>≥ </w:t>
      </w:r>
      <w:r>
        <w:rPr>
          <w:rFonts w:ascii="Century Gothic" w:hAnsi="Century Gothic"/>
          <w:i/>
        </w:rPr>
        <w:t>The Compass Program </w:t>
      </w:r>
      <w:r>
        <w:rPr/>
        <w:t>– </w:t>
      </w:r>
      <w:r>
        <w:rPr>
          <w:spacing w:val="2"/>
        </w:rPr>
        <w:t>supports </w:t>
      </w:r>
      <w:r>
        <w:rPr/>
        <w:t>and guides staff through various career pathways and development opportunities, and</w:t>
      </w:r>
      <w:r>
        <w:rPr>
          <w:spacing w:val="-16"/>
        </w:rPr>
        <w:t> </w:t>
      </w:r>
      <w:r>
        <w:rPr/>
        <w:t>to</w:t>
      </w:r>
      <w:r>
        <w:rPr>
          <w:spacing w:val="-16"/>
        </w:rPr>
        <w:t> </w:t>
      </w:r>
      <w:r>
        <w:rPr/>
        <w:t>plan</w:t>
      </w:r>
      <w:r>
        <w:rPr>
          <w:spacing w:val="-16"/>
        </w:rPr>
        <w:t> </w:t>
      </w:r>
      <w:r>
        <w:rPr/>
        <w:t>their</w:t>
      </w:r>
      <w:r>
        <w:rPr>
          <w:spacing w:val="-16"/>
        </w:rPr>
        <w:t> </w:t>
      </w:r>
      <w:r>
        <w:rPr/>
        <w:t>work</w:t>
      </w:r>
      <w:r>
        <w:rPr>
          <w:spacing w:val="-16"/>
        </w:rPr>
        <w:t> </w:t>
      </w:r>
      <w:r>
        <w:rPr/>
        <w:t>in</w:t>
      </w:r>
      <w:r>
        <w:rPr>
          <w:spacing w:val="-16"/>
        </w:rPr>
        <w:t> </w:t>
      </w:r>
      <w:r>
        <w:rPr/>
        <w:t>alignment</w:t>
      </w:r>
      <w:r>
        <w:rPr>
          <w:spacing w:val="-16"/>
        </w:rPr>
        <w:t> </w:t>
      </w:r>
      <w:r>
        <w:rPr/>
        <w:t>with</w:t>
      </w:r>
      <w:r>
        <w:rPr>
          <w:spacing w:val="-16"/>
        </w:rPr>
        <w:t> </w:t>
      </w:r>
      <w:r>
        <w:rPr/>
        <w:t>the Securing</w:t>
      </w:r>
      <w:r>
        <w:rPr>
          <w:spacing w:val="-18"/>
        </w:rPr>
        <w:t> </w:t>
      </w:r>
      <w:r>
        <w:rPr/>
        <w:t>Success</w:t>
      </w:r>
      <w:r>
        <w:rPr>
          <w:spacing w:val="-18"/>
        </w:rPr>
        <w:t> </w:t>
      </w:r>
      <w:r>
        <w:rPr/>
        <w:t>Strategy</w:t>
      </w:r>
      <w:r>
        <w:rPr>
          <w:spacing w:val="-18"/>
        </w:rPr>
        <w:t> </w:t>
      </w:r>
      <w:r>
        <w:rPr/>
        <w:t>and</w:t>
      </w:r>
      <w:r>
        <w:rPr>
          <w:spacing w:val="-18"/>
        </w:rPr>
        <w:t> </w:t>
      </w:r>
      <w:r>
        <w:rPr/>
        <w:t>goals.</w:t>
      </w:r>
    </w:p>
    <w:p>
      <w:pPr>
        <w:pStyle w:val="BodyText"/>
        <w:spacing w:before="2"/>
        <w:rPr>
          <w:sz w:val="14"/>
        </w:rPr>
      </w:pPr>
    </w:p>
    <w:p>
      <w:pPr>
        <w:pStyle w:val="BodyText"/>
        <w:spacing w:line="249" w:lineRule="auto"/>
        <w:ind w:left="107" w:right="12"/>
      </w:pPr>
      <w:r>
        <w:rPr/>
        <w:t>Each year, the Vice-Chancellor convenes two major conferences at WSU:</w:t>
      </w:r>
    </w:p>
    <w:p>
      <w:pPr>
        <w:pStyle w:val="BodyText"/>
        <w:spacing w:line="247" w:lineRule="auto" w:before="55"/>
        <w:ind w:left="305" w:right="44" w:hanging="199"/>
      </w:pPr>
      <w:r>
        <w:rPr>
          <w:rFonts w:ascii="Century Gothic" w:hAnsi="Century Gothic"/>
          <w:b/>
          <w:w w:val="95"/>
        </w:rPr>
        <w:t>≥ </w:t>
      </w:r>
      <w:r>
        <w:rPr>
          <w:rFonts w:ascii="Century Gothic" w:hAnsi="Century Gothic"/>
          <w:i/>
          <w:w w:val="95"/>
        </w:rPr>
        <w:t>The Senior Management Conference </w:t>
      </w:r>
      <w:r>
        <w:rPr>
          <w:w w:val="95"/>
        </w:rPr>
        <w:t>– </w:t>
      </w:r>
      <w:r>
        <w:rPr>
          <w:w w:val="97"/>
        </w:rPr>
        <w:t>the </w:t>
      </w:r>
      <w:r>
        <w:rPr>
          <w:w w:val="97"/>
        </w:rPr>
        <w:t>theme </w:t>
      </w:r>
      <w:r>
        <w:rPr>
          <w:w w:val="99"/>
        </w:rPr>
        <w:t>of </w:t>
      </w:r>
      <w:r>
        <w:rPr>
          <w:w w:val="97"/>
        </w:rPr>
        <w:t>the </w:t>
      </w:r>
      <w:r>
        <w:rPr>
          <w:w w:val="90"/>
        </w:rPr>
        <w:t>2016 </w:t>
      </w:r>
      <w:r>
        <w:rPr>
          <w:w w:val="97"/>
        </w:rPr>
        <w:t>Conference </w:t>
      </w:r>
      <w:r>
        <w:rPr>
          <w:w w:val="96"/>
        </w:rPr>
        <w:t>was </w:t>
      </w:r>
      <w:r>
        <w:rPr/>
        <w:t>Transformation in a Volatile Environment. 56 senior staff engaged in strategic conversations around the key challenges and opportunities for WSU to identify key actions for implementing the Securing Success Strategic Plan.</w:t>
      </w:r>
    </w:p>
    <w:p>
      <w:pPr>
        <w:spacing w:line="244" w:lineRule="auto" w:before="57"/>
        <w:ind w:left="305" w:right="141" w:hanging="199"/>
        <w:jc w:val="left"/>
        <w:rPr>
          <w:sz w:val="16"/>
        </w:rPr>
      </w:pPr>
      <w:r>
        <w:rPr>
          <w:rFonts w:ascii="Century Gothic" w:hAnsi="Century Gothic"/>
          <w:b/>
          <w:w w:val="115"/>
          <w:sz w:val="16"/>
        </w:rPr>
        <w:t>≥ </w:t>
      </w:r>
      <w:r>
        <w:rPr>
          <w:rFonts w:ascii="Century Gothic" w:hAnsi="Century Gothic"/>
          <w:i/>
          <w:sz w:val="16"/>
        </w:rPr>
        <w:t>The Quality Forum </w:t>
      </w:r>
      <w:r>
        <w:rPr>
          <w:sz w:val="16"/>
        </w:rPr>
        <w:t>– the theme of the </w:t>
      </w:r>
      <w:r>
        <w:rPr>
          <w:w w:val="90"/>
          <w:sz w:val="16"/>
        </w:rPr>
        <w:t>2016 </w:t>
      </w:r>
      <w:r>
        <w:rPr>
          <w:w w:val="99"/>
          <w:sz w:val="16"/>
        </w:rPr>
        <w:t>Forum </w:t>
      </w:r>
      <w:r>
        <w:rPr>
          <w:w w:val="96"/>
          <w:sz w:val="16"/>
        </w:rPr>
        <w:t>was </w:t>
      </w:r>
      <w:r>
        <w:rPr>
          <w:w w:val="97"/>
          <w:sz w:val="16"/>
        </w:rPr>
        <w:t>Standards </w:t>
      </w:r>
      <w:r>
        <w:rPr>
          <w:w w:val="98"/>
          <w:sz w:val="16"/>
        </w:rPr>
        <w:t>for </w:t>
      </w:r>
      <w:r>
        <w:rPr>
          <w:w w:val="94"/>
          <w:sz w:val="16"/>
        </w:rPr>
        <w:t>Success.</w:t>
      </w:r>
    </w:p>
    <w:p>
      <w:pPr>
        <w:pStyle w:val="BodyText"/>
        <w:spacing w:line="249" w:lineRule="auto" w:before="3"/>
        <w:ind w:left="305" w:right="-11"/>
      </w:pPr>
      <w:r>
        <w:rPr/>
        <w:t>This year, 152 academic and professional participated in discussions that focused on the requirements of the Higher Education Standards Framework, which featured a feedback session from WSU students.</w:t>
      </w:r>
    </w:p>
    <w:p>
      <w:pPr>
        <w:pStyle w:val="BodyText"/>
        <w:spacing w:before="3"/>
        <w:rPr>
          <w:sz w:val="19"/>
        </w:rPr>
      </w:pPr>
    </w:p>
    <w:p>
      <w:pPr>
        <w:pStyle w:val="Heading7"/>
        <w:ind w:right="141"/>
      </w:pPr>
      <w:r>
        <w:rPr/>
        <w:t>WORK HEALTH AND SAFETY</w:t>
      </w:r>
    </w:p>
    <w:p>
      <w:pPr>
        <w:pStyle w:val="BodyText"/>
        <w:spacing w:line="249" w:lineRule="auto" w:before="58"/>
        <w:ind w:left="107" w:right="34"/>
      </w:pPr>
      <w:r>
        <w:rPr/>
        <w:t>The primary objective of the WHS Unit is to provide quality in-house work health safety and risk consultancy services to the Western Sydney University in a timely and efficient manner, whilst remaining cognizant of </w:t>
      </w:r>
      <w:r>
        <w:rPr>
          <w:w w:val="95"/>
        </w:rPr>
        <w:t>legislative requirements.</w:t>
      </w:r>
    </w:p>
    <w:p>
      <w:pPr>
        <w:pStyle w:val="BodyText"/>
        <w:rPr>
          <w:sz w:val="14"/>
        </w:rPr>
      </w:pPr>
    </w:p>
    <w:p>
      <w:pPr>
        <w:pStyle w:val="BodyText"/>
        <w:spacing w:line="249" w:lineRule="auto"/>
        <w:ind w:left="107" w:right="169"/>
      </w:pPr>
      <w:r>
        <w:rPr/>
        <w:t>A new senior appointment was made to </w:t>
      </w:r>
      <w:r>
        <w:rPr>
          <w:w w:val="97"/>
        </w:rPr>
        <w:t>the </w:t>
      </w:r>
      <w:r>
        <w:rPr>
          <w:w w:val="100"/>
        </w:rPr>
        <w:t>WHS </w:t>
      </w:r>
      <w:r>
        <w:rPr>
          <w:w w:val="97"/>
        </w:rPr>
        <w:t>team </w:t>
      </w:r>
      <w:r>
        <w:rPr>
          <w:w w:val="97"/>
        </w:rPr>
        <w:t>during </w:t>
      </w:r>
      <w:r>
        <w:rPr>
          <w:w w:val="90"/>
        </w:rPr>
        <w:t>2016 </w:t>
      </w:r>
      <w:r>
        <w:rPr>
          <w:w w:val="98"/>
        </w:rPr>
        <w:t>at </w:t>
      </w:r>
      <w:r>
        <w:rPr>
          <w:w w:val="97"/>
        </w:rPr>
        <w:t>the </w:t>
      </w:r>
      <w:r>
        <w:rPr>
          <w:w w:val="99"/>
        </w:rPr>
        <w:t>Associate </w:t>
      </w:r>
      <w:r>
        <w:rPr/>
        <w:t>Director level.</w:t>
      </w:r>
    </w:p>
    <w:p>
      <w:pPr>
        <w:pStyle w:val="BodyText"/>
        <w:rPr>
          <w:sz w:val="14"/>
        </w:rPr>
      </w:pPr>
    </w:p>
    <w:p>
      <w:pPr>
        <w:pStyle w:val="BodyText"/>
        <w:spacing w:line="249" w:lineRule="auto"/>
        <w:ind w:left="107" w:right="60"/>
      </w:pPr>
      <w:r>
        <w:rPr>
          <w:spacing w:val="1"/>
          <w:w w:val="90"/>
        </w:rPr>
        <w:t>2016</w:t>
      </w:r>
      <w:r>
        <w:rPr>
          <w:w w:val="90"/>
        </w:rPr>
        <w:t> </w:t>
      </w:r>
      <w:r>
        <w:rPr>
          <w:spacing w:val="1"/>
          <w:w w:val="97"/>
        </w:rPr>
        <w:t>achievements</w:t>
      </w:r>
      <w:r>
        <w:rPr>
          <w:w w:val="97"/>
        </w:rPr>
        <w:t> </w:t>
      </w:r>
      <w:r>
        <w:rPr>
          <w:w w:val="96"/>
        </w:rPr>
        <w:t>have </w:t>
      </w:r>
      <w:r>
        <w:rPr>
          <w:spacing w:val="1"/>
          <w:w w:val="98"/>
        </w:rPr>
        <w:t>included</w:t>
      </w:r>
      <w:r>
        <w:rPr>
          <w:w w:val="98"/>
        </w:rPr>
        <w:t> </w:t>
      </w:r>
      <w:r>
        <w:rPr>
          <w:spacing w:val="1"/>
          <w:w w:val="97"/>
        </w:rPr>
        <w:t>increased</w:t>
      </w:r>
      <w:r>
        <w:rPr>
          <w:w w:val="97"/>
        </w:rPr>
        <w:t> </w:t>
      </w:r>
      <w:r>
        <w:rPr/>
        <w:t>compliance</w:t>
      </w:r>
      <w:r>
        <w:rPr>
          <w:spacing w:val="-15"/>
        </w:rPr>
        <w:t> </w:t>
      </w:r>
      <w:r>
        <w:rPr/>
        <w:t>for</w:t>
      </w:r>
      <w:r>
        <w:rPr>
          <w:spacing w:val="-15"/>
        </w:rPr>
        <w:t> </w:t>
      </w:r>
      <w:r>
        <w:rPr/>
        <w:t>ergonomic</w:t>
      </w:r>
      <w:r>
        <w:rPr>
          <w:spacing w:val="-15"/>
        </w:rPr>
        <w:t> </w:t>
      </w:r>
      <w:r>
        <w:rPr/>
        <w:t>training</w:t>
      </w:r>
      <w:r>
        <w:rPr>
          <w:spacing w:val="-15"/>
        </w:rPr>
        <w:t> </w:t>
      </w:r>
      <w:r>
        <w:rPr/>
        <w:t>across</w:t>
      </w:r>
      <w:r>
        <w:rPr>
          <w:spacing w:val="-15"/>
        </w:rPr>
        <w:t> </w:t>
      </w:r>
      <w:r>
        <w:rPr/>
        <w:t>the University,</w:t>
      </w:r>
      <w:r>
        <w:rPr>
          <w:spacing w:val="-17"/>
        </w:rPr>
        <w:t> </w:t>
      </w:r>
      <w:r>
        <w:rPr/>
        <w:t>including</w:t>
      </w:r>
      <w:r>
        <w:rPr>
          <w:spacing w:val="-17"/>
        </w:rPr>
        <w:t> </w:t>
      </w:r>
      <w:r>
        <w:rPr/>
        <w:t>a</w:t>
      </w:r>
      <w:r>
        <w:rPr>
          <w:spacing w:val="-17"/>
        </w:rPr>
        <w:t> </w:t>
      </w:r>
      <w:r>
        <w:rPr/>
        <w:t>significant</w:t>
      </w:r>
      <w:r>
        <w:rPr>
          <w:spacing w:val="-17"/>
        </w:rPr>
        <w:t> </w:t>
      </w:r>
      <w:r>
        <w:rPr/>
        <w:t>completion of</w:t>
      </w:r>
      <w:r>
        <w:rPr>
          <w:spacing w:val="-16"/>
        </w:rPr>
        <w:t> </w:t>
      </w:r>
      <w:r>
        <w:rPr/>
        <w:t>training</w:t>
      </w:r>
      <w:r>
        <w:rPr>
          <w:spacing w:val="-16"/>
        </w:rPr>
        <w:t> </w:t>
      </w:r>
      <w:r>
        <w:rPr/>
        <w:t>by</w:t>
      </w:r>
      <w:r>
        <w:rPr>
          <w:spacing w:val="-16"/>
        </w:rPr>
        <w:t> </w:t>
      </w:r>
      <w:r>
        <w:rPr/>
        <w:t>casual</w:t>
      </w:r>
      <w:r>
        <w:rPr>
          <w:spacing w:val="-16"/>
        </w:rPr>
        <w:t> </w:t>
      </w:r>
      <w:r>
        <w:rPr/>
        <w:t>staff</w:t>
      </w:r>
      <w:r>
        <w:rPr>
          <w:spacing w:val="-16"/>
        </w:rPr>
        <w:t> </w:t>
      </w:r>
      <w:r>
        <w:rPr/>
        <w:t>and</w:t>
      </w:r>
      <w:r>
        <w:rPr>
          <w:spacing w:val="-16"/>
        </w:rPr>
        <w:t> </w:t>
      </w:r>
      <w:r>
        <w:rPr/>
        <w:t>a</w:t>
      </w:r>
      <w:r>
        <w:rPr>
          <w:spacing w:val="-16"/>
        </w:rPr>
        <w:t> </w:t>
      </w:r>
      <w:r>
        <w:rPr/>
        <w:t>near</w:t>
      </w:r>
      <w:r>
        <w:rPr>
          <w:spacing w:val="-16"/>
        </w:rPr>
        <w:t> </w:t>
      </w:r>
      <w:r>
        <w:rPr/>
        <w:t>halving of the claims across a triennium associated with occupational overuse/musculoskeletal disorders. This converts to a dramatic decrease</w:t>
      </w:r>
      <w:r>
        <w:rPr>
          <w:spacing w:val="-15"/>
        </w:rPr>
        <w:t> </w:t>
      </w:r>
      <w:r>
        <w:rPr/>
        <w:t>in</w:t>
      </w:r>
      <w:r>
        <w:rPr>
          <w:spacing w:val="-15"/>
        </w:rPr>
        <w:t> </w:t>
      </w:r>
      <w:r>
        <w:rPr/>
        <w:t>cost</w:t>
      </w:r>
      <w:r>
        <w:rPr>
          <w:spacing w:val="-15"/>
        </w:rPr>
        <w:t> </w:t>
      </w:r>
      <w:r>
        <w:rPr/>
        <w:t>of</w:t>
      </w:r>
      <w:r>
        <w:rPr>
          <w:spacing w:val="-15"/>
        </w:rPr>
        <w:t> </w:t>
      </w:r>
      <w:r>
        <w:rPr/>
        <w:t>claims</w:t>
      </w:r>
      <w:r>
        <w:rPr>
          <w:spacing w:val="-15"/>
        </w:rPr>
        <w:t> </w:t>
      </w:r>
      <w:r>
        <w:rPr/>
        <w:t>and</w:t>
      </w:r>
      <w:r>
        <w:rPr>
          <w:spacing w:val="-15"/>
        </w:rPr>
        <w:t> </w:t>
      </w:r>
      <w:r>
        <w:rPr/>
        <w:t>a</w:t>
      </w:r>
      <w:r>
        <w:rPr>
          <w:spacing w:val="-15"/>
        </w:rPr>
        <w:t> </w:t>
      </w:r>
      <w:r>
        <w:rPr/>
        <w:t>reduction</w:t>
      </w:r>
    </w:p>
    <w:p>
      <w:pPr>
        <w:pStyle w:val="BodyText"/>
        <w:spacing w:line="249" w:lineRule="auto"/>
        <w:ind w:left="107" w:right="317"/>
      </w:pPr>
      <w:r>
        <w:rPr/>
        <w:t>in days lost associated with occupational </w:t>
      </w:r>
      <w:r>
        <w:rPr>
          <w:w w:val="95"/>
        </w:rPr>
        <w:t>overuse/musculoskeletal  disorders.</w:t>
      </w:r>
    </w:p>
    <w:p>
      <w:pPr>
        <w:pStyle w:val="BodyText"/>
        <w:rPr>
          <w:sz w:val="14"/>
        </w:rPr>
      </w:pPr>
    </w:p>
    <w:p>
      <w:pPr>
        <w:pStyle w:val="BodyText"/>
        <w:spacing w:line="249" w:lineRule="auto"/>
        <w:ind w:left="107" w:right="116"/>
      </w:pPr>
      <w:r>
        <w:rPr/>
        <w:t>There was a significant increase in the completion rates of mandatory training and</w:t>
      </w:r>
    </w:p>
    <w:p>
      <w:pPr>
        <w:pStyle w:val="BodyText"/>
        <w:rPr>
          <w:sz w:val="20"/>
        </w:rPr>
      </w:pPr>
      <w:r>
        <w:rPr/>
        <w:br w:type="column"/>
      </w:r>
      <w:r>
        <w:rPr>
          <w:sz w:val="20"/>
        </w:rPr>
      </w:r>
    </w:p>
    <w:p>
      <w:pPr>
        <w:pStyle w:val="BodyText"/>
        <w:spacing w:line="249" w:lineRule="auto"/>
        <w:ind w:left="107" w:right="197"/>
      </w:pPr>
      <w:r>
        <w:rPr>
          <w:spacing w:val="1"/>
          <w:w w:val="100"/>
        </w:rPr>
        <w:t>WHS</w:t>
      </w:r>
      <w:r>
        <w:rPr>
          <w:w w:val="100"/>
        </w:rPr>
        <w:t> </w:t>
      </w:r>
      <w:r>
        <w:rPr>
          <w:spacing w:val="1"/>
          <w:w w:val="97"/>
        </w:rPr>
        <w:t>modules</w:t>
      </w:r>
      <w:r>
        <w:rPr>
          <w:w w:val="97"/>
        </w:rPr>
        <w:t> </w:t>
      </w:r>
      <w:r>
        <w:rPr>
          <w:spacing w:val="1"/>
          <w:w w:val="97"/>
        </w:rPr>
        <w:t>during</w:t>
      </w:r>
      <w:r>
        <w:rPr>
          <w:w w:val="97"/>
        </w:rPr>
        <w:t> </w:t>
      </w:r>
      <w:r>
        <w:rPr>
          <w:spacing w:val="2"/>
          <w:w w:val="85"/>
        </w:rPr>
        <w:t>2016.</w:t>
      </w:r>
      <w:r>
        <w:rPr>
          <w:w w:val="85"/>
        </w:rPr>
        <w:t> </w:t>
      </w:r>
      <w:r>
        <w:rPr>
          <w:spacing w:val="1"/>
          <w:w w:val="94"/>
        </w:rPr>
        <w:t>This</w:t>
      </w:r>
      <w:r>
        <w:rPr>
          <w:w w:val="94"/>
        </w:rPr>
        <w:t> </w:t>
      </w:r>
      <w:r>
        <w:rPr>
          <w:spacing w:val="1"/>
          <w:w w:val="97"/>
        </w:rPr>
        <w:t>suggests</w:t>
      </w:r>
      <w:r>
        <w:rPr>
          <w:w w:val="97"/>
        </w:rPr>
        <w:t> </w:t>
      </w:r>
      <w:r>
        <w:rPr/>
        <w:t>there</w:t>
      </w:r>
      <w:r>
        <w:rPr>
          <w:spacing w:val="-21"/>
        </w:rPr>
        <w:t> </w:t>
      </w:r>
      <w:r>
        <w:rPr/>
        <w:t>is</w:t>
      </w:r>
      <w:r>
        <w:rPr>
          <w:spacing w:val="-21"/>
        </w:rPr>
        <w:t> </w:t>
      </w:r>
      <w:r>
        <w:rPr/>
        <w:t>greater</w:t>
      </w:r>
      <w:r>
        <w:rPr>
          <w:spacing w:val="-21"/>
        </w:rPr>
        <w:t> </w:t>
      </w:r>
      <w:r>
        <w:rPr/>
        <w:t>awareness</w:t>
      </w:r>
      <w:r>
        <w:rPr>
          <w:spacing w:val="-21"/>
        </w:rPr>
        <w:t> </w:t>
      </w:r>
      <w:r>
        <w:rPr/>
        <w:t>of</w:t>
      </w:r>
      <w:r>
        <w:rPr>
          <w:spacing w:val="-21"/>
        </w:rPr>
        <w:t> </w:t>
      </w:r>
      <w:r>
        <w:rPr/>
        <w:t>the</w:t>
      </w:r>
      <w:r>
        <w:rPr>
          <w:spacing w:val="-21"/>
        </w:rPr>
        <w:t> </w:t>
      </w:r>
      <w:r>
        <w:rPr/>
        <w:t>modules,</w:t>
      </w:r>
      <w:r>
        <w:rPr>
          <w:spacing w:val="-21"/>
        </w:rPr>
        <w:t> </w:t>
      </w:r>
      <w:r>
        <w:rPr/>
        <w:t>as well as greater willingness to increase WHS compliance.</w:t>
      </w:r>
      <w:r>
        <w:rPr>
          <w:spacing w:val="-22"/>
        </w:rPr>
        <w:t> </w:t>
      </w:r>
      <w:r>
        <w:rPr/>
        <w:t>The</w:t>
      </w:r>
      <w:r>
        <w:rPr>
          <w:spacing w:val="-22"/>
        </w:rPr>
        <w:t> </w:t>
      </w:r>
      <w:r>
        <w:rPr/>
        <w:t>average</w:t>
      </w:r>
      <w:r>
        <w:rPr>
          <w:spacing w:val="-22"/>
        </w:rPr>
        <w:t> </w:t>
      </w:r>
      <w:r>
        <w:rPr/>
        <w:t>completion</w:t>
      </w:r>
      <w:r>
        <w:rPr>
          <w:spacing w:val="-22"/>
        </w:rPr>
        <w:t> </w:t>
      </w:r>
      <w:r>
        <w:rPr/>
        <w:t>rate</w:t>
      </w:r>
    </w:p>
    <w:p>
      <w:pPr>
        <w:pStyle w:val="BodyText"/>
        <w:spacing w:line="249" w:lineRule="auto"/>
        <w:ind w:left="107" w:right="197"/>
      </w:pPr>
      <w:r>
        <w:rPr/>
        <w:t>of mandatory training modules across all Schools,</w:t>
      </w:r>
      <w:r>
        <w:rPr>
          <w:spacing w:val="-32"/>
        </w:rPr>
        <w:t> </w:t>
      </w:r>
      <w:r>
        <w:rPr/>
        <w:t>Institutes</w:t>
      </w:r>
      <w:r>
        <w:rPr>
          <w:spacing w:val="-32"/>
        </w:rPr>
        <w:t> </w:t>
      </w:r>
      <w:r>
        <w:rPr/>
        <w:t>and</w:t>
      </w:r>
      <w:r>
        <w:rPr>
          <w:spacing w:val="-32"/>
        </w:rPr>
        <w:t> </w:t>
      </w:r>
      <w:r>
        <w:rPr/>
        <w:t>business</w:t>
      </w:r>
      <w:r>
        <w:rPr>
          <w:spacing w:val="-32"/>
        </w:rPr>
        <w:t> </w:t>
      </w:r>
      <w:r>
        <w:rPr/>
        <w:t>units</w:t>
      </w:r>
      <w:r>
        <w:rPr>
          <w:spacing w:val="-32"/>
        </w:rPr>
        <w:t> </w:t>
      </w:r>
      <w:r>
        <w:rPr/>
        <w:t>is</w:t>
      </w:r>
      <w:r>
        <w:rPr>
          <w:spacing w:val="-32"/>
        </w:rPr>
        <w:t> </w:t>
      </w:r>
      <w:r>
        <w:rPr>
          <w:spacing w:val="2"/>
        </w:rPr>
        <w:t>87%.</w:t>
      </w:r>
    </w:p>
    <w:p>
      <w:pPr>
        <w:pStyle w:val="BodyText"/>
        <w:rPr>
          <w:sz w:val="14"/>
        </w:rPr>
      </w:pPr>
    </w:p>
    <w:p>
      <w:pPr>
        <w:pStyle w:val="BodyText"/>
        <w:spacing w:line="249" w:lineRule="auto"/>
        <w:ind w:left="107" w:right="369"/>
      </w:pPr>
      <w:r>
        <w:rPr/>
        <w:t>There has been continued effective management of high-risk areas such as laboratories and areas with biological and radiation safety risks.</w:t>
      </w:r>
    </w:p>
    <w:p>
      <w:pPr>
        <w:pStyle w:val="BodyText"/>
        <w:rPr>
          <w:sz w:val="14"/>
        </w:rPr>
      </w:pPr>
    </w:p>
    <w:p>
      <w:pPr>
        <w:pStyle w:val="BodyText"/>
        <w:spacing w:line="249" w:lineRule="auto"/>
        <w:ind w:left="107" w:right="42"/>
      </w:pPr>
      <w:r>
        <w:rPr/>
        <w:t>The injury management portfolio continued to demonstrate significant progress in terms of rehabilitation for injured employees, staff care arrangements and the cost of claims.</w:t>
      </w:r>
    </w:p>
    <w:p>
      <w:pPr>
        <w:pStyle w:val="BodyText"/>
        <w:rPr>
          <w:sz w:val="14"/>
        </w:rPr>
      </w:pPr>
    </w:p>
    <w:p>
      <w:pPr>
        <w:pStyle w:val="BodyText"/>
        <w:spacing w:line="249" w:lineRule="auto"/>
        <w:ind w:left="107" w:right="-1"/>
      </w:pPr>
      <w:r>
        <w:rPr/>
        <w:t>There</w:t>
      </w:r>
      <w:r>
        <w:rPr>
          <w:spacing w:val="-32"/>
        </w:rPr>
        <w:t> </w:t>
      </w:r>
      <w:r>
        <w:rPr/>
        <w:t>were</w:t>
      </w:r>
      <w:r>
        <w:rPr>
          <w:spacing w:val="-32"/>
        </w:rPr>
        <w:t> </w:t>
      </w:r>
      <w:r>
        <w:rPr/>
        <w:t>no</w:t>
      </w:r>
      <w:r>
        <w:rPr>
          <w:spacing w:val="-32"/>
        </w:rPr>
        <w:t> </w:t>
      </w:r>
      <w:r>
        <w:rPr/>
        <w:t>prosecutions</w:t>
      </w:r>
      <w:r>
        <w:rPr>
          <w:spacing w:val="-32"/>
        </w:rPr>
        <w:t> </w:t>
      </w:r>
      <w:r>
        <w:rPr/>
        <w:t>of</w:t>
      </w:r>
      <w:r>
        <w:rPr>
          <w:spacing w:val="-32"/>
        </w:rPr>
        <w:t> </w:t>
      </w:r>
      <w:r>
        <w:rPr/>
        <w:t>the</w:t>
      </w:r>
      <w:r>
        <w:rPr>
          <w:spacing w:val="-32"/>
        </w:rPr>
        <w:t> </w:t>
      </w:r>
      <w:r>
        <w:rPr/>
        <w:t>University</w:t>
      </w:r>
      <w:r>
        <w:rPr>
          <w:spacing w:val="-32"/>
        </w:rPr>
        <w:t> </w:t>
      </w:r>
      <w:r>
        <w:rPr/>
        <w:t>for </w:t>
      </w:r>
      <w:r>
        <w:rPr>
          <w:spacing w:val="-1"/>
          <w:w w:val="97"/>
        </w:rPr>
        <w:t>breaches</w:t>
      </w:r>
      <w:r>
        <w:rPr>
          <w:spacing w:val="-10"/>
          <w:w w:val="97"/>
        </w:rPr>
        <w:t> </w:t>
      </w:r>
      <w:r>
        <w:rPr>
          <w:spacing w:val="-1"/>
          <w:w w:val="97"/>
        </w:rPr>
        <w:t>under</w:t>
      </w:r>
      <w:r>
        <w:rPr>
          <w:spacing w:val="-10"/>
          <w:w w:val="97"/>
        </w:rPr>
        <w:t> </w:t>
      </w:r>
      <w:r>
        <w:rPr>
          <w:w w:val="100"/>
        </w:rPr>
        <w:t>WHS</w:t>
      </w:r>
      <w:r>
        <w:rPr>
          <w:spacing w:val="-12"/>
          <w:w w:val="100"/>
        </w:rPr>
        <w:t> </w:t>
      </w:r>
      <w:r>
        <w:rPr>
          <w:spacing w:val="-1"/>
          <w:w w:val="97"/>
        </w:rPr>
        <w:t>legislation</w:t>
      </w:r>
      <w:r>
        <w:rPr>
          <w:spacing w:val="-10"/>
          <w:w w:val="97"/>
        </w:rPr>
        <w:t> </w:t>
      </w:r>
      <w:r>
        <w:rPr>
          <w:spacing w:val="-1"/>
          <w:w w:val="97"/>
        </w:rPr>
        <w:t>during</w:t>
      </w:r>
      <w:r>
        <w:rPr>
          <w:spacing w:val="-11"/>
          <w:w w:val="97"/>
        </w:rPr>
        <w:t> </w:t>
      </w:r>
      <w:r>
        <w:rPr>
          <w:w w:val="85"/>
        </w:rPr>
        <w:t>2016.</w:t>
      </w:r>
    </w:p>
    <w:p>
      <w:pPr>
        <w:pStyle w:val="BodyText"/>
        <w:rPr>
          <w:sz w:val="14"/>
        </w:rPr>
      </w:pPr>
    </w:p>
    <w:p>
      <w:pPr>
        <w:pStyle w:val="BodyText"/>
        <w:spacing w:line="249" w:lineRule="auto"/>
        <w:ind w:left="107" w:right="226"/>
      </w:pPr>
      <w:r>
        <w:rPr>
          <w:spacing w:val="1"/>
          <w:w w:val="94"/>
        </w:rPr>
        <w:t>The</w:t>
      </w:r>
      <w:r>
        <w:rPr>
          <w:w w:val="94"/>
        </w:rPr>
        <w:t> </w:t>
      </w:r>
      <w:r>
        <w:rPr>
          <w:spacing w:val="1"/>
          <w:w w:val="98"/>
        </w:rPr>
        <w:t>percentage</w:t>
      </w:r>
      <w:r>
        <w:rPr>
          <w:w w:val="98"/>
        </w:rPr>
        <w:t> </w:t>
      </w:r>
      <w:r>
        <w:rPr>
          <w:w w:val="99"/>
        </w:rPr>
        <w:t>of </w:t>
      </w:r>
      <w:r>
        <w:rPr>
          <w:spacing w:val="1"/>
          <w:w w:val="97"/>
        </w:rPr>
        <w:t>claims</w:t>
      </w:r>
      <w:r>
        <w:rPr>
          <w:w w:val="97"/>
        </w:rPr>
        <w:t> </w:t>
      </w:r>
      <w:r>
        <w:rPr>
          <w:spacing w:val="1"/>
          <w:w w:val="99"/>
        </w:rPr>
        <w:t>lodged</w:t>
      </w:r>
      <w:r>
        <w:rPr>
          <w:w w:val="99"/>
        </w:rPr>
        <w:t> </w:t>
      </w:r>
      <w:r>
        <w:rPr>
          <w:spacing w:val="1"/>
          <w:w w:val="98"/>
        </w:rPr>
        <w:t>from</w:t>
      </w:r>
      <w:r>
        <w:rPr>
          <w:w w:val="98"/>
        </w:rPr>
        <w:t> </w:t>
      </w:r>
      <w:r>
        <w:rPr>
          <w:spacing w:val="1"/>
          <w:w w:val="88"/>
        </w:rPr>
        <w:t>2015</w:t>
      </w:r>
      <w:r>
        <w:rPr>
          <w:w w:val="88"/>
        </w:rPr>
        <w:t> </w:t>
      </w:r>
      <w:r>
        <w:rPr>
          <w:spacing w:val="-1"/>
          <w:w w:val="101"/>
        </w:rPr>
        <w:t>to</w:t>
      </w:r>
      <w:r>
        <w:rPr>
          <w:w w:val="101"/>
        </w:rPr>
        <w:t> </w:t>
      </w:r>
      <w:r>
        <w:rPr>
          <w:spacing w:val="1"/>
          <w:w w:val="90"/>
        </w:rPr>
        <w:t>2016</w:t>
      </w:r>
      <w:r>
        <w:rPr>
          <w:w w:val="90"/>
        </w:rPr>
        <w:t> </w:t>
      </w:r>
      <w:r>
        <w:rPr>
          <w:spacing w:val="1"/>
          <w:w w:val="97"/>
        </w:rPr>
        <w:t>decreased</w:t>
      </w:r>
      <w:r>
        <w:rPr>
          <w:w w:val="97"/>
        </w:rPr>
        <w:t> </w:t>
      </w:r>
      <w:r>
        <w:rPr>
          <w:spacing w:val="-1"/>
          <w:w w:val="102"/>
        </w:rPr>
        <w:t>by</w:t>
      </w:r>
      <w:r>
        <w:rPr>
          <w:w w:val="102"/>
        </w:rPr>
        <w:t> </w:t>
      </w:r>
      <w:r>
        <w:rPr>
          <w:spacing w:val="3"/>
          <w:w w:val="82"/>
        </w:rPr>
        <w:t>22.8%.</w:t>
      </w:r>
      <w:r>
        <w:rPr>
          <w:w w:val="82"/>
        </w:rPr>
        <w:t> </w:t>
      </w:r>
      <w:r>
        <w:rPr>
          <w:spacing w:val="1"/>
          <w:w w:val="94"/>
        </w:rPr>
        <w:t>The</w:t>
      </w:r>
      <w:r>
        <w:rPr>
          <w:w w:val="94"/>
        </w:rPr>
        <w:t> </w:t>
      </w:r>
      <w:r>
        <w:rPr>
          <w:spacing w:val="1"/>
          <w:w w:val="98"/>
        </w:rPr>
        <w:t>reduction</w:t>
      </w:r>
      <w:r>
        <w:rPr>
          <w:w w:val="98"/>
        </w:rPr>
        <w:t> </w:t>
      </w:r>
      <w:r>
        <w:rPr>
          <w:w w:val="95"/>
        </w:rPr>
        <w:t>in </w:t>
      </w:r>
      <w:r>
        <w:rPr>
          <w:w w:val="97"/>
        </w:rPr>
        <w:t>overall </w:t>
      </w:r>
      <w:r>
        <w:rPr>
          <w:spacing w:val="1"/>
          <w:w w:val="97"/>
        </w:rPr>
        <w:t>claims</w:t>
      </w:r>
      <w:r>
        <w:rPr>
          <w:w w:val="97"/>
        </w:rPr>
        <w:t> </w:t>
      </w:r>
      <w:r>
        <w:rPr>
          <w:w w:val="98"/>
        </w:rPr>
        <w:t>for </w:t>
      </w:r>
      <w:r>
        <w:rPr>
          <w:spacing w:val="1"/>
          <w:w w:val="90"/>
        </w:rPr>
        <w:t>2016</w:t>
      </w:r>
      <w:r>
        <w:rPr>
          <w:w w:val="90"/>
        </w:rPr>
        <w:t> </w:t>
      </w:r>
      <w:r>
        <w:rPr>
          <w:w w:val="95"/>
        </w:rPr>
        <w:t>is </w:t>
      </w:r>
      <w:r>
        <w:rPr>
          <w:w w:val="97"/>
        </w:rPr>
        <w:t>the </w:t>
      </w:r>
      <w:r>
        <w:rPr>
          <w:spacing w:val="1"/>
          <w:w w:val="99"/>
        </w:rPr>
        <w:t>direct</w:t>
      </w:r>
      <w:r>
        <w:rPr>
          <w:w w:val="99"/>
        </w:rPr>
        <w:t> </w:t>
      </w:r>
      <w:r>
        <w:rPr>
          <w:w w:val="96"/>
        </w:rPr>
        <w:t>result </w:t>
      </w:r>
      <w:r>
        <w:rPr/>
        <w:t>of</w:t>
      </w:r>
      <w:r>
        <w:rPr>
          <w:spacing w:val="-15"/>
        </w:rPr>
        <w:t> </w:t>
      </w:r>
      <w:r>
        <w:rPr/>
        <w:t>early</w:t>
      </w:r>
      <w:r>
        <w:rPr>
          <w:spacing w:val="-15"/>
        </w:rPr>
        <w:t> </w:t>
      </w:r>
      <w:r>
        <w:rPr/>
        <w:t>intervention</w:t>
      </w:r>
      <w:r>
        <w:rPr>
          <w:spacing w:val="-15"/>
        </w:rPr>
        <w:t> </w:t>
      </w:r>
      <w:r>
        <w:rPr/>
        <w:t>strategies</w:t>
      </w:r>
      <w:r>
        <w:rPr>
          <w:spacing w:val="-15"/>
        </w:rPr>
        <w:t> </w:t>
      </w:r>
      <w:r>
        <w:rPr/>
        <w:t>being</w:t>
      </w:r>
      <w:r>
        <w:rPr>
          <w:spacing w:val="-15"/>
        </w:rPr>
        <w:t> </w:t>
      </w:r>
      <w:r>
        <w:rPr/>
        <w:t>applied</w:t>
      </w:r>
    </w:p>
    <w:p>
      <w:pPr>
        <w:pStyle w:val="BodyText"/>
        <w:spacing w:line="249" w:lineRule="auto"/>
        <w:ind w:left="107" w:right="129"/>
      </w:pPr>
      <w:r>
        <w:rPr/>
        <w:t>and</w:t>
      </w:r>
      <w:r>
        <w:rPr>
          <w:spacing w:val="-16"/>
        </w:rPr>
        <w:t> </w:t>
      </w:r>
      <w:r>
        <w:rPr/>
        <w:t>the</w:t>
      </w:r>
      <w:r>
        <w:rPr>
          <w:spacing w:val="-16"/>
        </w:rPr>
        <w:t> </w:t>
      </w:r>
      <w:r>
        <w:rPr/>
        <w:t>engagement</w:t>
      </w:r>
      <w:r>
        <w:rPr>
          <w:spacing w:val="-16"/>
        </w:rPr>
        <w:t> </w:t>
      </w:r>
      <w:r>
        <w:rPr/>
        <w:t>of</w:t>
      </w:r>
      <w:r>
        <w:rPr>
          <w:spacing w:val="-16"/>
        </w:rPr>
        <w:t> </w:t>
      </w:r>
      <w:r>
        <w:rPr/>
        <w:t>exercise</w:t>
      </w:r>
      <w:r>
        <w:rPr>
          <w:spacing w:val="-16"/>
        </w:rPr>
        <w:t> </w:t>
      </w:r>
      <w:r>
        <w:rPr/>
        <w:t>physiologists and rehabilitation consultants to develop tailor made programs to suit the employee’s </w:t>
      </w:r>
      <w:r>
        <w:rPr>
          <w:w w:val="95"/>
        </w:rPr>
        <w:t>individual</w:t>
      </w:r>
      <w:r>
        <w:rPr>
          <w:spacing w:val="19"/>
          <w:w w:val="95"/>
        </w:rPr>
        <w:t> </w:t>
      </w:r>
      <w:r>
        <w:rPr>
          <w:spacing w:val="2"/>
          <w:w w:val="95"/>
        </w:rPr>
        <w:t>needs.</w:t>
      </w:r>
    </w:p>
    <w:p>
      <w:pPr>
        <w:pStyle w:val="BodyText"/>
        <w:spacing w:before="3"/>
        <w:rPr>
          <w:sz w:val="19"/>
        </w:rPr>
      </w:pPr>
    </w:p>
    <w:p>
      <w:pPr>
        <w:pStyle w:val="Heading7"/>
        <w:ind w:right="460"/>
      </w:pPr>
      <w:r>
        <w:rPr>
          <w:w w:val="95"/>
        </w:rPr>
        <w:t>WORKPLACE  RELATIONS</w:t>
      </w:r>
    </w:p>
    <w:p>
      <w:pPr>
        <w:spacing w:before="64"/>
        <w:ind w:left="107" w:right="460" w:firstLine="0"/>
        <w:jc w:val="left"/>
        <w:rPr>
          <w:rFonts w:ascii="Gotham Narrow Bold"/>
          <w:b/>
          <w:sz w:val="16"/>
        </w:rPr>
      </w:pPr>
      <w:r>
        <w:rPr>
          <w:rFonts w:ascii="Gotham Narrow Bold"/>
          <w:b/>
          <w:color w:val="615C58"/>
          <w:w w:val="95"/>
          <w:sz w:val="16"/>
        </w:rPr>
        <w:t>Enterprise Bargaining</w:t>
      </w:r>
    </w:p>
    <w:p>
      <w:pPr>
        <w:pStyle w:val="BodyText"/>
        <w:spacing w:line="249" w:lineRule="auto" w:before="86"/>
        <w:ind w:left="107" w:right="600"/>
      </w:pPr>
      <w:r>
        <w:rPr/>
        <w:t>Enterprise Bargaining preparations </w:t>
      </w:r>
      <w:r>
        <w:rPr>
          <w:w w:val="99"/>
        </w:rPr>
        <w:t>commenced </w:t>
      </w:r>
      <w:r>
        <w:rPr>
          <w:w w:val="98"/>
        </w:rPr>
        <w:t>at </w:t>
      </w:r>
      <w:r>
        <w:rPr>
          <w:w w:val="97"/>
        </w:rPr>
        <w:t>the </w:t>
      </w:r>
      <w:r>
        <w:rPr>
          <w:w w:val="97"/>
        </w:rPr>
        <w:t>end </w:t>
      </w:r>
      <w:r>
        <w:rPr>
          <w:w w:val="99"/>
        </w:rPr>
        <w:t>of </w:t>
      </w:r>
      <w:r>
        <w:rPr>
          <w:w w:val="85"/>
        </w:rPr>
        <w:t>2016. </w:t>
      </w:r>
      <w:r>
        <w:rPr>
          <w:w w:val="94"/>
        </w:rPr>
        <w:t>The </w:t>
      </w:r>
      <w:r>
        <w:rPr/>
        <w:t>bargaining team has been formed and</w:t>
      </w:r>
    </w:p>
    <w:p>
      <w:pPr>
        <w:pStyle w:val="BodyText"/>
        <w:spacing w:line="249" w:lineRule="auto"/>
        <w:ind w:left="107" w:right="197"/>
      </w:pPr>
      <w:r>
        <w:rPr/>
        <w:t>pre-bargaining meetings with the National Tertiary Education Union (NTEU) and the Community and Public Sector Union (CPSU) have been held ahead of a bargaining </w:t>
      </w:r>
      <w:r>
        <w:rPr>
          <w:w w:val="98"/>
        </w:rPr>
        <w:t>commencement </w:t>
      </w:r>
      <w:r>
        <w:rPr>
          <w:w w:val="98"/>
        </w:rPr>
        <w:t>date </w:t>
      </w:r>
      <w:r>
        <w:rPr>
          <w:w w:val="99"/>
        </w:rPr>
        <w:t>of </w:t>
      </w:r>
      <w:r>
        <w:rPr>
          <w:w w:val="54"/>
        </w:rPr>
        <w:t>1 </w:t>
      </w:r>
      <w:r>
        <w:rPr>
          <w:w w:val="97"/>
        </w:rPr>
        <w:t>March </w:t>
      </w:r>
      <w:r>
        <w:rPr>
          <w:w w:val="83"/>
        </w:rPr>
        <w:t>2017.</w:t>
      </w:r>
    </w:p>
    <w:p>
      <w:pPr>
        <w:pStyle w:val="BodyText"/>
        <w:spacing w:line="249" w:lineRule="auto"/>
        <w:ind w:left="107" w:right="302"/>
      </w:pPr>
      <w:r>
        <w:rPr/>
        <w:t>Eight fortnightly bargaining meetings have been scheduled between March and June </w:t>
      </w:r>
      <w:r>
        <w:rPr>
          <w:w w:val="83"/>
        </w:rPr>
        <w:t>2017, </w:t>
      </w:r>
      <w:r>
        <w:rPr>
          <w:w w:val="98"/>
        </w:rPr>
        <w:t>with </w:t>
      </w:r>
      <w:r>
        <w:rPr>
          <w:w w:val="97"/>
        </w:rPr>
        <w:t>the </w:t>
      </w:r>
      <w:r>
        <w:rPr>
          <w:w w:val="97"/>
        </w:rPr>
        <w:t>intention </w:t>
      </w:r>
      <w:r>
        <w:rPr>
          <w:w w:val="98"/>
        </w:rPr>
        <w:t>that </w:t>
      </w:r>
      <w:r>
        <w:rPr>
          <w:w w:val="97"/>
        </w:rPr>
        <w:t>bargaining</w:t>
      </w:r>
    </w:p>
    <w:p>
      <w:pPr>
        <w:pStyle w:val="BodyText"/>
        <w:spacing w:line="192" w:lineRule="exact"/>
        <w:ind w:left="107" w:right="460"/>
      </w:pPr>
      <w:r>
        <w:rPr/>
        <w:t>be completed within this timeframe.</w:t>
      </w:r>
    </w:p>
    <w:p>
      <w:pPr>
        <w:pStyle w:val="BodyText"/>
        <w:spacing w:before="7"/>
        <w:rPr>
          <w:sz w:val="14"/>
        </w:rPr>
      </w:pPr>
    </w:p>
    <w:p>
      <w:pPr>
        <w:pStyle w:val="BodyText"/>
        <w:spacing w:line="249" w:lineRule="auto" w:before="1"/>
        <w:ind w:left="107" w:right="34"/>
      </w:pPr>
      <w:r>
        <w:rPr/>
        <w:t>During the year, new Enterprise Agreements were successfully led and negotiated for both WSU Early Learning Limited and WSU College.</w:t>
      </w:r>
    </w:p>
    <w:p>
      <w:pPr>
        <w:pStyle w:val="BodyText"/>
        <w:spacing w:before="6"/>
        <w:rPr>
          <w:sz w:val="14"/>
        </w:rPr>
      </w:pPr>
    </w:p>
    <w:p>
      <w:pPr>
        <w:pStyle w:val="Heading7"/>
        <w:ind w:right="460"/>
      </w:pPr>
      <w:r>
        <w:rPr>
          <w:color w:val="615C58"/>
          <w:w w:val="95"/>
        </w:rPr>
        <w:t>Fair Work Commission Matters</w:t>
      </w:r>
    </w:p>
    <w:p>
      <w:pPr>
        <w:pStyle w:val="BodyText"/>
        <w:spacing w:line="249" w:lineRule="auto" w:before="86"/>
        <w:ind w:left="107" w:right="218"/>
      </w:pPr>
      <w:r>
        <w:rPr/>
        <w:t>A small number of industrial matters were initiated before the Fair Work Commission, all of which were resolved and discontinued</w:t>
      </w:r>
    </w:p>
    <w:p>
      <w:pPr>
        <w:pStyle w:val="BodyText"/>
        <w:spacing w:line="249" w:lineRule="auto"/>
        <w:ind w:left="107" w:right="88"/>
      </w:pPr>
      <w:r>
        <w:rPr/>
        <w:t>without proceeding to arbitration. No adverse findings were made against the University.</w:t>
      </w:r>
    </w:p>
    <w:p>
      <w:pPr>
        <w:spacing w:after="0" w:line="249" w:lineRule="auto"/>
        <w:sectPr>
          <w:type w:val="continuous"/>
          <w:pgSz w:w="11910" w:h="16840"/>
          <w:pgMar w:top="1580" w:bottom="280" w:left="800" w:right="800"/>
          <w:cols w:num="3" w:equalWidth="0">
            <w:col w:w="3319" w:space="120"/>
            <w:col w:w="3307" w:space="133"/>
            <w:col w:w="3431"/>
          </w:cols>
        </w:sectPr>
      </w:pPr>
    </w:p>
    <w:p>
      <w:pPr>
        <w:pStyle w:val="BodyText"/>
        <w:spacing w:before="9"/>
        <w:rPr>
          <w:sz w:val="28"/>
        </w:rPr>
      </w:pPr>
    </w:p>
    <w:p>
      <w:pPr>
        <w:pStyle w:val="Heading2"/>
        <w:ind w:right="7796"/>
        <w:rPr>
          <w:b w:val="0"/>
        </w:rPr>
      </w:pPr>
      <w:r>
        <w:rPr>
          <w:b w:val="0"/>
        </w:rPr>
        <w:t>People and Advancement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62"/>
          <w:footerReference w:type="default" r:id="rId63"/>
          <w:pgSz w:w="11910" w:h="16840"/>
          <w:pgMar w:footer="472" w:header="496" w:top="680" w:bottom="660" w:left="800" w:right="800"/>
          <w:pgNumType w:start="52"/>
        </w:sectPr>
      </w:pPr>
    </w:p>
    <w:p>
      <w:pPr>
        <w:pStyle w:val="BodyText"/>
        <w:spacing w:before="5"/>
        <w:rPr>
          <w:rFonts w:ascii="Chronicle Text G1"/>
          <w:b w:val="0"/>
          <w:sz w:val="17"/>
        </w:rPr>
      </w:pPr>
    </w:p>
    <w:p>
      <w:pPr>
        <w:pStyle w:val="Heading7"/>
        <w:ind w:right="-7"/>
      </w:pPr>
      <w:r>
        <w:rPr>
          <w:color w:val="615C58"/>
          <w:w w:val="95"/>
        </w:rPr>
        <w:t>Change Management</w:t>
      </w:r>
    </w:p>
    <w:p>
      <w:pPr>
        <w:pStyle w:val="BodyText"/>
        <w:spacing w:line="249" w:lineRule="auto" w:before="86"/>
        <w:ind w:left="107" w:right="53"/>
        <w:jc w:val="both"/>
      </w:pPr>
      <w:r>
        <w:rPr/>
        <w:t>A</w:t>
      </w:r>
      <w:r>
        <w:rPr>
          <w:spacing w:val="-14"/>
        </w:rPr>
        <w:t> </w:t>
      </w:r>
      <w:r>
        <w:rPr/>
        <w:t>total</w:t>
      </w:r>
      <w:r>
        <w:rPr>
          <w:spacing w:val="-14"/>
        </w:rPr>
        <w:t> </w:t>
      </w:r>
      <w:r>
        <w:rPr/>
        <w:t>of</w:t>
      </w:r>
      <w:r>
        <w:rPr>
          <w:spacing w:val="-14"/>
        </w:rPr>
        <w:t> </w:t>
      </w:r>
      <w:r>
        <w:rPr/>
        <w:t>seven</w:t>
      </w:r>
      <w:r>
        <w:rPr>
          <w:spacing w:val="-14"/>
        </w:rPr>
        <w:t> </w:t>
      </w:r>
      <w:r>
        <w:rPr/>
        <w:t>change</w:t>
      </w:r>
      <w:r>
        <w:rPr>
          <w:spacing w:val="-14"/>
        </w:rPr>
        <w:t> </w:t>
      </w:r>
      <w:r>
        <w:rPr/>
        <w:t>proposals</w:t>
      </w:r>
      <w:r>
        <w:rPr>
          <w:spacing w:val="-14"/>
        </w:rPr>
        <w:t> </w:t>
      </w:r>
      <w:r>
        <w:rPr/>
        <w:t>across</w:t>
      </w:r>
      <w:r>
        <w:rPr>
          <w:spacing w:val="-14"/>
        </w:rPr>
        <w:t> </w:t>
      </w:r>
      <w:r>
        <w:rPr/>
        <w:t>the Divisions</w:t>
      </w:r>
      <w:r>
        <w:rPr>
          <w:spacing w:val="-15"/>
        </w:rPr>
        <w:t> </w:t>
      </w:r>
      <w:r>
        <w:rPr/>
        <w:t>and</w:t>
      </w:r>
      <w:r>
        <w:rPr>
          <w:spacing w:val="-15"/>
        </w:rPr>
        <w:t> </w:t>
      </w:r>
      <w:r>
        <w:rPr/>
        <w:t>Schools</w:t>
      </w:r>
      <w:r>
        <w:rPr>
          <w:spacing w:val="-15"/>
        </w:rPr>
        <w:t> </w:t>
      </w:r>
      <w:r>
        <w:rPr/>
        <w:t>of</w:t>
      </w:r>
      <w:r>
        <w:rPr>
          <w:spacing w:val="-15"/>
        </w:rPr>
        <w:t> </w:t>
      </w:r>
      <w:r>
        <w:rPr/>
        <w:t>the</w:t>
      </w:r>
      <w:r>
        <w:rPr>
          <w:spacing w:val="-15"/>
        </w:rPr>
        <w:t> </w:t>
      </w:r>
      <w:r>
        <w:rPr/>
        <w:t>University</w:t>
      </w:r>
      <w:r>
        <w:rPr>
          <w:spacing w:val="-15"/>
        </w:rPr>
        <w:t> </w:t>
      </w:r>
      <w:r>
        <w:rPr/>
        <w:t>were </w:t>
      </w:r>
      <w:r>
        <w:rPr>
          <w:spacing w:val="1"/>
          <w:w w:val="96"/>
        </w:rPr>
        <w:t>released</w:t>
      </w:r>
      <w:r>
        <w:rPr>
          <w:w w:val="96"/>
        </w:rPr>
        <w:t> </w:t>
      </w:r>
      <w:r>
        <w:rPr>
          <w:spacing w:val="1"/>
          <w:w w:val="97"/>
        </w:rPr>
        <w:t>and</w:t>
      </w:r>
      <w:r>
        <w:rPr>
          <w:w w:val="97"/>
        </w:rPr>
        <w:t> </w:t>
      </w:r>
      <w:r>
        <w:rPr>
          <w:spacing w:val="1"/>
          <w:w w:val="98"/>
        </w:rPr>
        <w:t>implemented</w:t>
      </w:r>
      <w:r>
        <w:rPr>
          <w:w w:val="98"/>
        </w:rPr>
        <w:t> </w:t>
      </w:r>
      <w:r>
        <w:rPr>
          <w:w w:val="95"/>
        </w:rPr>
        <w:t>in</w:t>
      </w:r>
      <w:r>
        <w:rPr>
          <w:spacing w:val="-24"/>
          <w:w w:val="95"/>
        </w:rPr>
        <w:t> </w:t>
      </w:r>
      <w:r>
        <w:rPr>
          <w:spacing w:val="2"/>
          <w:w w:val="85"/>
        </w:rPr>
        <w:t>2016.</w:t>
      </w:r>
    </w:p>
    <w:p>
      <w:pPr>
        <w:pStyle w:val="BodyText"/>
      </w:pPr>
    </w:p>
    <w:p>
      <w:pPr>
        <w:pStyle w:val="Heading5"/>
        <w:spacing w:before="136"/>
        <w:ind w:right="-7"/>
      </w:pPr>
      <w:bookmarkStart w:name="_TOC_250031" w:id="23"/>
      <w:r>
        <w:rPr>
          <w:spacing w:val="-3"/>
          <w:w w:val="95"/>
        </w:rPr>
        <w:t>2016 </w:t>
      </w:r>
      <w:bookmarkEnd w:id="23"/>
      <w:r>
        <w:rPr>
          <w:w w:val="95"/>
        </w:rPr>
        <w:t>EQUITY AND DIVERSITY</w:t>
      </w:r>
    </w:p>
    <w:p>
      <w:pPr>
        <w:pStyle w:val="BodyText"/>
        <w:spacing w:line="249" w:lineRule="auto" w:before="95"/>
        <w:ind w:left="107" w:right="140"/>
      </w:pPr>
      <w:r>
        <w:rPr/>
        <w:t>The Equity and Diversity Unit (E&amp;D) provides advice, strategic planning, policy and program development, community engagement, education and information on a broad range of equity and diversity matters</w:t>
      </w:r>
      <w:r>
        <w:rPr>
          <w:spacing w:val="-21"/>
        </w:rPr>
        <w:t> </w:t>
      </w:r>
      <w:r>
        <w:rPr/>
        <w:t>across</w:t>
      </w:r>
      <w:r>
        <w:rPr>
          <w:spacing w:val="-21"/>
        </w:rPr>
        <w:t> </w:t>
      </w:r>
      <w:r>
        <w:rPr/>
        <w:t>the</w:t>
      </w:r>
      <w:r>
        <w:rPr>
          <w:spacing w:val="-21"/>
        </w:rPr>
        <w:t> </w:t>
      </w:r>
      <w:r>
        <w:rPr/>
        <w:t>organisation.</w:t>
      </w:r>
      <w:r>
        <w:rPr>
          <w:spacing w:val="-21"/>
        </w:rPr>
        <w:t> </w:t>
      </w:r>
      <w:r>
        <w:rPr/>
        <w:t>Their</w:t>
      </w:r>
      <w:r>
        <w:rPr>
          <w:spacing w:val="-21"/>
        </w:rPr>
        <w:t> </w:t>
      </w:r>
      <w:r>
        <w:rPr/>
        <w:t>work focuses</w:t>
      </w:r>
      <w:r>
        <w:rPr>
          <w:spacing w:val="-17"/>
        </w:rPr>
        <w:t> </w:t>
      </w:r>
      <w:r>
        <w:rPr/>
        <w:t>on</w:t>
      </w:r>
      <w:r>
        <w:rPr>
          <w:spacing w:val="-17"/>
        </w:rPr>
        <w:t> </w:t>
      </w:r>
      <w:r>
        <w:rPr/>
        <w:t>key</w:t>
      </w:r>
      <w:r>
        <w:rPr>
          <w:spacing w:val="-17"/>
        </w:rPr>
        <w:t> </w:t>
      </w:r>
      <w:r>
        <w:rPr/>
        <w:t>equity</w:t>
      </w:r>
      <w:r>
        <w:rPr>
          <w:spacing w:val="-17"/>
        </w:rPr>
        <w:t> </w:t>
      </w:r>
      <w:r>
        <w:rPr/>
        <w:t>portfolios,</w:t>
      </w:r>
      <w:r>
        <w:rPr>
          <w:spacing w:val="-17"/>
        </w:rPr>
        <w:t> </w:t>
      </w:r>
      <w:r>
        <w:rPr/>
        <w:t>including:</w:t>
      </w:r>
    </w:p>
    <w:p>
      <w:pPr>
        <w:spacing w:before="55"/>
        <w:ind w:left="107" w:right="-7" w:firstLine="0"/>
        <w:jc w:val="left"/>
        <w:rPr>
          <w:sz w:val="16"/>
        </w:rPr>
      </w:pPr>
      <w:r>
        <w:rPr>
          <w:rFonts w:ascii="Century Gothic" w:hAnsi="Century Gothic"/>
          <w:b/>
          <w:w w:val="110"/>
          <w:sz w:val="16"/>
        </w:rPr>
        <w:t>≥ </w:t>
      </w:r>
      <w:r>
        <w:rPr>
          <w:w w:val="110"/>
          <w:sz w:val="16"/>
        </w:rPr>
        <w:t>women</w:t>
      </w:r>
    </w:p>
    <w:p>
      <w:pPr>
        <w:pStyle w:val="BodyText"/>
        <w:spacing w:before="60"/>
        <w:ind w:left="107" w:right="-7"/>
      </w:pPr>
      <w:r>
        <w:rPr>
          <w:rFonts w:ascii="Century Gothic" w:hAnsi="Century Gothic"/>
          <w:b/>
          <w:w w:val="115"/>
        </w:rPr>
        <w:t>≥ </w:t>
      </w:r>
      <w:r>
        <w:rPr>
          <w:w w:val="105"/>
        </w:rPr>
        <w:t>disability access and support</w:t>
      </w:r>
    </w:p>
    <w:p>
      <w:pPr>
        <w:pStyle w:val="BodyText"/>
        <w:spacing w:before="60"/>
        <w:ind w:left="107" w:right="-7"/>
      </w:pPr>
      <w:r>
        <w:rPr>
          <w:rFonts w:ascii="Century Gothic" w:hAnsi="Century Gothic"/>
          <w:b/>
          <w:w w:val="115"/>
        </w:rPr>
        <w:t>≥ </w:t>
      </w:r>
      <w:r>
        <w:rPr>
          <w:w w:val="105"/>
        </w:rPr>
        <w:t>sexuality and gender diversity</w:t>
      </w:r>
    </w:p>
    <w:p>
      <w:pPr>
        <w:pStyle w:val="BodyText"/>
        <w:spacing w:before="60"/>
        <w:ind w:left="107" w:right="-7"/>
      </w:pPr>
      <w:r>
        <w:rPr>
          <w:rFonts w:ascii="Century Gothic" w:hAnsi="Century Gothic"/>
          <w:b/>
          <w:w w:val="115"/>
        </w:rPr>
        <w:t>≥ </w:t>
      </w:r>
      <w:r>
        <w:rPr>
          <w:w w:val="105"/>
        </w:rPr>
        <w:t>cultural and linguistic diversity.</w:t>
      </w:r>
    </w:p>
    <w:p>
      <w:pPr>
        <w:pStyle w:val="BodyText"/>
        <w:spacing w:before="5"/>
        <w:rPr>
          <w:sz w:val="14"/>
        </w:rPr>
      </w:pPr>
    </w:p>
    <w:p>
      <w:pPr>
        <w:spacing w:line="247" w:lineRule="auto" w:before="0"/>
        <w:ind w:left="107" w:right="-7" w:firstLine="0"/>
        <w:jc w:val="left"/>
        <w:rPr>
          <w:sz w:val="16"/>
        </w:rPr>
      </w:pPr>
      <w:r>
        <w:rPr>
          <w:spacing w:val="1"/>
          <w:w w:val="94"/>
          <w:sz w:val="16"/>
        </w:rPr>
        <w:t>The</w:t>
      </w:r>
      <w:r>
        <w:rPr>
          <w:spacing w:val="-6"/>
          <w:w w:val="94"/>
          <w:sz w:val="16"/>
        </w:rPr>
        <w:t> </w:t>
      </w:r>
      <w:r>
        <w:rPr>
          <w:spacing w:val="-1"/>
          <w:w w:val="97"/>
          <w:sz w:val="16"/>
        </w:rPr>
        <w:t>team’s</w:t>
      </w:r>
      <w:r>
        <w:rPr>
          <w:spacing w:val="-7"/>
          <w:w w:val="97"/>
          <w:sz w:val="16"/>
        </w:rPr>
        <w:t> </w:t>
      </w:r>
      <w:r>
        <w:rPr>
          <w:spacing w:val="-1"/>
          <w:w w:val="98"/>
          <w:sz w:val="16"/>
        </w:rPr>
        <w:t>key</w:t>
      </w:r>
      <w:r>
        <w:rPr>
          <w:spacing w:val="-8"/>
          <w:w w:val="98"/>
          <w:sz w:val="16"/>
        </w:rPr>
        <w:t> </w:t>
      </w:r>
      <w:r>
        <w:rPr>
          <w:w w:val="98"/>
          <w:sz w:val="16"/>
        </w:rPr>
        <w:t>strategic</w:t>
      </w:r>
      <w:r>
        <w:rPr>
          <w:spacing w:val="-8"/>
          <w:w w:val="98"/>
          <w:sz w:val="16"/>
        </w:rPr>
        <w:t> </w:t>
      </w:r>
      <w:r>
        <w:rPr>
          <w:spacing w:val="1"/>
          <w:w w:val="96"/>
          <w:sz w:val="16"/>
        </w:rPr>
        <w:t>objectives</w:t>
      </w:r>
      <w:r>
        <w:rPr>
          <w:spacing w:val="-7"/>
          <w:w w:val="96"/>
          <w:sz w:val="16"/>
        </w:rPr>
        <w:t> </w:t>
      </w:r>
      <w:r>
        <w:rPr>
          <w:w w:val="95"/>
          <w:sz w:val="16"/>
        </w:rPr>
        <w:t>in</w:t>
      </w:r>
      <w:r>
        <w:rPr>
          <w:spacing w:val="-6"/>
          <w:w w:val="95"/>
          <w:sz w:val="16"/>
        </w:rPr>
        <w:t> </w:t>
      </w:r>
      <w:r>
        <w:rPr>
          <w:w w:val="85"/>
          <w:sz w:val="16"/>
        </w:rPr>
        <w:t>2017–19 </w:t>
      </w:r>
      <w:r>
        <w:rPr>
          <w:sz w:val="16"/>
        </w:rPr>
        <w:t>align</w:t>
      </w:r>
      <w:r>
        <w:rPr>
          <w:spacing w:val="-32"/>
          <w:sz w:val="16"/>
        </w:rPr>
        <w:t> </w:t>
      </w:r>
      <w:r>
        <w:rPr>
          <w:sz w:val="16"/>
        </w:rPr>
        <w:t>with</w:t>
      </w:r>
      <w:r>
        <w:rPr>
          <w:spacing w:val="-32"/>
          <w:sz w:val="16"/>
        </w:rPr>
        <w:t> </w:t>
      </w:r>
      <w:r>
        <w:rPr>
          <w:sz w:val="16"/>
        </w:rPr>
        <w:t>the</w:t>
      </w:r>
      <w:r>
        <w:rPr>
          <w:spacing w:val="-32"/>
          <w:sz w:val="16"/>
        </w:rPr>
        <w:t> </w:t>
      </w:r>
      <w:r>
        <w:rPr>
          <w:sz w:val="16"/>
        </w:rPr>
        <w:t>University’s</w:t>
      </w:r>
      <w:r>
        <w:rPr>
          <w:spacing w:val="-32"/>
          <w:sz w:val="16"/>
        </w:rPr>
        <w:t> </w:t>
      </w:r>
      <w:r>
        <w:rPr>
          <w:rFonts w:ascii="Century Gothic" w:hAnsi="Century Gothic"/>
          <w:i/>
          <w:sz w:val="16"/>
        </w:rPr>
        <w:t>Securing</w:t>
      </w:r>
      <w:r>
        <w:rPr>
          <w:rFonts w:ascii="Century Gothic" w:hAnsi="Century Gothic"/>
          <w:i/>
          <w:spacing w:val="-27"/>
          <w:sz w:val="16"/>
        </w:rPr>
        <w:t> </w:t>
      </w:r>
      <w:r>
        <w:rPr>
          <w:rFonts w:ascii="Century Gothic" w:hAnsi="Century Gothic"/>
          <w:i/>
          <w:sz w:val="16"/>
        </w:rPr>
        <w:t>Success: </w:t>
      </w:r>
      <w:r>
        <w:rPr>
          <w:rFonts w:ascii="Century Gothic" w:hAnsi="Century Gothic"/>
          <w:i/>
          <w:w w:val="95"/>
          <w:sz w:val="16"/>
        </w:rPr>
        <w:t>2015–2020</w:t>
      </w:r>
      <w:r>
        <w:rPr>
          <w:rFonts w:ascii="Century Gothic" w:hAnsi="Century Gothic"/>
          <w:i/>
          <w:spacing w:val="-18"/>
          <w:w w:val="95"/>
          <w:sz w:val="16"/>
        </w:rPr>
        <w:t> </w:t>
      </w:r>
      <w:r>
        <w:rPr>
          <w:rFonts w:ascii="Century Gothic" w:hAnsi="Century Gothic"/>
          <w:i/>
          <w:w w:val="95"/>
          <w:sz w:val="16"/>
        </w:rPr>
        <w:t>Strategic</w:t>
      </w:r>
      <w:r>
        <w:rPr>
          <w:rFonts w:ascii="Century Gothic" w:hAnsi="Century Gothic"/>
          <w:i/>
          <w:spacing w:val="-18"/>
          <w:w w:val="95"/>
          <w:sz w:val="16"/>
        </w:rPr>
        <w:t> </w:t>
      </w:r>
      <w:r>
        <w:rPr>
          <w:rFonts w:ascii="Century Gothic" w:hAnsi="Century Gothic"/>
          <w:i/>
          <w:w w:val="95"/>
          <w:sz w:val="16"/>
        </w:rPr>
        <w:t>Plan</w:t>
      </w:r>
      <w:r>
        <w:rPr>
          <w:rFonts w:ascii="Century Gothic" w:hAnsi="Century Gothic"/>
          <w:i/>
          <w:spacing w:val="-18"/>
          <w:w w:val="95"/>
          <w:sz w:val="16"/>
        </w:rPr>
        <w:t> </w:t>
      </w:r>
      <w:r>
        <w:rPr>
          <w:w w:val="95"/>
          <w:sz w:val="16"/>
        </w:rPr>
        <w:t>and</w:t>
      </w:r>
      <w:r>
        <w:rPr>
          <w:spacing w:val="-23"/>
          <w:w w:val="95"/>
          <w:sz w:val="16"/>
        </w:rPr>
        <w:t> </w:t>
      </w:r>
      <w:r>
        <w:rPr>
          <w:w w:val="95"/>
          <w:sz w:val="16"/>
        </w:rPr>
        <w:t>include:</w:t>
      </w:r>
    </w:p>
    <w:p>
      <w:pPr>
        <w:pStyle w:val="BodyText"/>
        <w:spacing w:line="247" w:lineRule="auto" w:before="54"/>
        <w:ind w:left="305" w:right="-7" w:hanging="199"/>
      </w:pPr>
      <w:r>
        <w:rPr>
          <w:rFonts w:ascii="Century Gothic" w:hAnsi="Century Gothic"/>
          <w:b/>
          <w:w w:val="115"/>
        </w:rPr>
        <w:t>≥ </w:t>
      </w:r>
      <w:r>
        <w:rPr/>
        <w:t>helping ensure the University’s unique learning experience is accessible and responsive to a diverse range of people, with respect given to gender, sexual orientation, socio-economic background, cultural and linguistic background,</w:t>
      </w:r>
    </w:p>
    <w:p>
      <w:pPr>
        <w:pStyle w:val="BodyText"/>
        <w:spacing w:before="1"/>
        <w:ind w:left="305" w:right="-7"/>
      </w:pPr>
      <w:r>
        <w:rPr/>
        <w:t>and disability</w:t>
      </w:r>
    </w:p>
    <w:p>
      <w:pPr>
        <w:pStyle w:val="BodyText"/>
        <w:spacing w:line="247" w:lineRule="auto" w:before="62"/>
        <w:ind w:left="305" w:right="382" w:hanging="199"/>
      </w:pPr>
      <w:r>
        <w:rPr>
          <w:rFonts w:ascii="Century Gothic" w:hAnsi="Century Gothic"/>
          <w:b/>
          <w:w w:val="115"/>
        </w:rPr>
        <w:t>≥ </w:t>
      </w:r>
      <w:r>
        <w:rPr>
          <w:w w:val="105"/>
        </w:rPr>
        <w:t>ensuring the University complies </w:t>
      </w:r>
      <w:r>
        <w:rPr/>
        <w:t>with relevant state and federal anti- discrimination laws</w:t>
      </w:r>
    </w:p>
    <w:p>
      <w:pPr>
        <w:pStyle w:val="BodyText"/>
        <w:spacing w:line="247" w:lineRule="auto" w:before="57"/>
        <w:ind w:left="305" w:right="193" w:hanging="199"/>
      </w:pPr>
      <w:r>
        <w:rPr>
          <w:rFonts w:ascii="Century Gothic" w:hAnsi="Century Gothic"/>
          <w:b/>
          <w:w w:val="115"/>
        </w:rPr>
        <w:t>≥ </w:t>
      </w:r>
      <w:r>
        <w:rPr>
          <w:w w:val="105"/>
        </w:rPr>
        <w:t>challenging social and economic </w:t>
      </w:r>
      <w:r>
        <w:rPr/>
        <w:t>disadvantages in higher education and </w:t>
      </w:r>
      <w:r>
        <w:rPr>
          <w:w w:val="105"/>
        </w:rPr>
        <w:t>employment</w:t>
      </w:r>
    </w:p>
    <w:p>
      <w:pPr>
        <w:pStyle w:val="BodyText"/>
        <w:spacing w:line="247" w:lineRule="auto" w:before="57"/>
        <w:ind w:left="305" w:right="117" w:hanging="199"/>
      </w:pPr>
      <w:r>
        <w:rPr>
          <w:rFonts w:ascii="Century Gothic" w:hAnsi="Century Gothic"/>
          <w:b/>
          <w:w w:val="115"/>
        </w:rPr>
        <w:t>≥</w:t>
      </w:r>
      <w:r>
        <w:rPr>
          <w:rFonts w:ascii="Century Gothic" w:hAnsi="Century Gothic"/>
          <w:b/>
          <w:spacing w:val="-16"/>
          <w:w w:val="115"/>
        </w:rPr>
        <w:t> </w:t>
      </w:r>
      <w:r>
        <w:rPr>
          <w:w w:val="105"/>
        </w:rPr>
        <w:t>encouraging</w:t>
      </w:r>
      <w:r>
        <w:rPr>
          <w:spacing w:val="-34"/>
          <w:w w:val="105"/>
        </w:rPr>
        <w:t> </w:t>
      </w:r>
      <w:r>
        <w:rPr>
          <w:w w:val="105"/>
        </w:rPr>
        <w:t>a</w:t>
      </w:r>
      <w:r>
        <w:rPr>
          <w:spacing w:val="-34"/>
          <w:w w:val="105"/>
        </w:rPr>
        <w:t> </w:t>
      </w:r>
      <w:r>
        <w:rPr>
          <w:w w:val="105"/>
        </w:rPr>
        <w:t>University-wide</w:t>
      </w:r>
      <w:r>
        <w:rPr>
          <w:spacing w:val="-34"/>
          <w:w w:val="105"/>
        </w:rPr>
        <w:t> </w:t>
      </w:r>
      <w:r>
        <w:rPr>
          <w:w w:val="105"/>
        </w:rPr>
        <w:t>culture</w:t>
      </w:r>
      <w:r>
        <w:rPr>
          <w:spacing w:val="-34"/>
          <w:w w:val="105"/>
        </w:rPr>
        <w:t> </w:t>
      </w:r>
      <w:r>
        <w:rPr>
          <w:w w:val="105"/>
        </w:rPr>
        <w:t>of civility,</w:t>
      </w:r>
      <w:r>
        <w:rPr>
          <w:spacing w:val="-39"/>
          <w:w w:val="105"/>
        </w:rPr>
        <w:t> </w:t>
      </w:r>
      <w:r>
        <w:rPr>
          <w:w w:val="105"/>
        </w:rPr>
        <w:t>inclusion,</w:t>
      </w:r>
      <w:r>
        <w:rPr>
          <w:spacing w:val="-39"/>
          <w:w w:val="105"/>
        </w:rPr>
        <w:t> </w:t>
      </w:r>
      <w:r>
        <w:rPr>
          <w:w w:val="105"/>
        </w:rPr>
        <w:t>equal</w:t>
      </w:r>
      <w:r>
        <w:rPr>
          <w:spacing w:val="-39"/>
          <w:w w:val="105"/>
        </w:rPr>
        <w:t> </w:t>
      </w:r>
      <w:r>
        <w:rPr>
          <w:w w:val="105"/>
        </w:rPr>
        <w:t>opportunity</w:t>
      </w:r>
      <w:r>
        <w:rPr>
          <w:spacing w:val="-39"/>
          <w:w w:val="105"/>
        </w:rPr>
        <w:t> </w:t>
      </w:r>
      <w:r>
        <w:rPr>
          <w:w w:val="105"/>
        </w:rPr>
        <w:t>and respect</w:t>
      </w:r>
    </w:p>
    <w:p>
      <w:pPr>
        <w:pStyle w:val="BodyText"/>
        <w:spacing w:line="247" w:lineRule="auto" w:before="57"/>
        <w:ind w:left="305" w:right="-7" w:hanging="199"/>
      </w:pPr>
      <w:r>
        <w:rPr>
          <w:rFonts w:ascii="Century Gothic" w:hAnsi="Century Gothic"/>
          <w:b/>
          <w:w w:val="115"/>
        </w:rPr>
        <w:t>≥ </w:t>
      </w:r>
      <w:r>
        <w:rPr/>
        <w:t>maintaining the University’s position as a national champion of social equity with global impact.</w:t>
      </w:r>
    </w:p>
    <w:p>
      <w:pPr>
        <w:pStyle w:val="BodyText"/>
        <w:spacing w:before="3"/>
        <w:rPr>
          <w:sz w:val="17"/>
        </w:rPr>
      </w:pPr>
      <w:r>
        <w:rPr/>
        <w:br w:type="column"/>
      </w:r>
      <w:r>
        <w:rPr>
          <w:sz w:val="17"/>
        </w:rPr>
      </w:r>
    </w:p>
    <w:p>
      <w:pPr>
        <w:pStyle w:val="Heading7"/>
        <w:spacing w:before="1"/>
        <w:ind w:right="19"/>
      </w:pPr>
      <w:r>
        <w:rPr>
          <w:w w:val="95"/>
        </w:rPr>
        <w:t>EQUITY AND DIVERSITY INITIATIVES</w:t>
      </w:r>
    </w:p>
    <w:p>
      <w:pPr>
        <w:spacing w:before="64"/>
        <w:ind w:left="107" w:right="19" w:firstLine="0"/>
        <w:jc w:val="left"/>
        <w:rPr>
          <w:rFonts w:ascii="Gotham Narrow Bold"/>
          <w:b/>
          <w:sz w:val="16"/>
        </w:rPr>
      </w:pPr>
      <w:r>
        <w:rPr>
          <w:rFonts w:ascii="Gotham Narrow Bold"/>
          <w:b/>
          <w:color w:val="615C58"/>
          <w:sz w:val="16"/>
        </w:rPr>
        <w:t>Open Fora and Conferences</w:t>
      </w:r>
    </w:p>
    <w:p>
      <w:pPr>
        <w:pStyle w:val="BodyText"/>
        <w:spacing w:line="249" w:lineRule="auto" w:before="86"/>
        <w:ind w:left="107" w:right="19"/>
      </w:pPr>
      <w:r>
        <w:rPr>
          <w:spacing w:val="1"/>
          <w:w w:val="80"/>
        </w:rPr>
        <w:t>In </w:t>
      </w:r>
      <w:r>
        <w:rPr>
          <w:spacing w:val="2"/>
          <w:w w:val="85"/>
        </w:rPr>
        <w:t>2016,</w:t>
      </w:r>
      <w:r>
        <w:rPr>
          <w:spacing w:val="-2"/>
          <w:w w:val="85"/>
        </w:rPr>
        <w:t> </w:t>
      </w:r>
      <w:r>
        <w:rPr>
          <w:w w:val="97"/>
        </w:rPr>
        <w:t>the</w:t>
      </w:r>
      <w:r>
        <w:rPr>
          <w:spacing w:val="-8"/>
          <w:w w:val="97"/>
        </w:rPr>
        <w:t> </w:t>
      </w:r>
      <w:r>
        <w:rPr>
          <w:spacing w:val="1"/>
          <w:w w:val="97"/>
        </w:rPr>
        <w:t>highly</w:t>
      </w:r>
      <w:r>
        <w:rPr>
          <w:spacing w:val="-8"/>
          <w:w w:val="97"/>
        </w:rPr>
        <w:t> </w:t>
      </w:r>
      <w:r>
        <w:rPr>
          <w:spacing w:val="1"/>
          <w:w w:val="98"/>
        </w:rPr>
        <w:t>regarded</w:t>
      </w:r>
      <w:r>
        <w:rPr>
          <w:spacing w:val="-8"/>
          <w:w w:val="98"/>
        </w:rPr>
        <w:t> </w:t>
      </w:r>
      <w:r>
        <w:rPr>
          <w:spacing w:val="1"/>
          <w:w w:val="98"/>
        </w:rPr>
        <w:t>Open</w:t>
      </w:r>
      <w:r>
        <w:rPr>
          <w:spacing w:val="-8"/>
          <w:w w:val="98"/>
        </w:rPr>
        <w:t> </w:t>
      </w:r>
      <w:r>
        <w:rPr>
          <w:spacing w:val="1"/>
          <w:w w:val="99"/>
        </w:rPr>
        <w:t>Fora</w:t>
      </w:r>
      <w:r>
        <w:rPr>
          <w:spacing w:val="-8"/>
          <w:w w:val="99"/>
        </w:rPr>
        <w:t> </w:t>
      </w:r>
      <w:r>
        <w:rPr>
          <w:spacing w:val="1"/>
          <w:w w:val="95"/>
        </w:rPr>
        <w:t>series</w:t>
      </w:r>
      <w:r>
        <w:rPr>
          <w:w w:val="95"/>
        </w:rPr>
        <w:t> </w:t>
      </w:r>
      <w:r>
        <w:rPr/>
        <w:t>was</w:t>
      </w:r>
      <w:r>
        <w:rPr>
          <w:spacing w:val="-17"/>
        </w:rPr>
        <w:t> </w:t>
      </w:r>
      <w:r>
        <w:rPr/>
        <w:t>popular</w:t>
      </w:r>
      <w:r>
        <w:rPr>
          <w:spacing w:val="-17"/>
        </w:rPr>
        <w:t> </w:t>
      </w:r>
      <w:r>
        <w:rPr/>
        <w:t>once</w:t>
      </w:r>
      <w:r>
        <w:rPr>
          <w:spacing w:val="-17"/>
        </w:rPr>
        <w:t> </w:t>
      </w:r>
      <w:r>
        <w:rPr/>
        <w:t>again,</w:t>
      </w:r>
      <w:r>
        <w:rPr>
          <w:spacing w:val="-17"/>
        </w:rPr>
        <w:t> </w:t>
      </w:r>
      <w:r>
        <w:rPr/>
        <w:t>attracting</w:t>
      </w:r>
      <w:r>
        <w:rPr>
          <w:spacing w:val="-17"/>
        </w:rPr>
        <w:t> </w:t>
      </w:r>
      <w:r>
        <w:rPr/>
        <w:t>more</w:t>
      </w:r>
      <w:r>
        <w:rPr>
          <w:spacing w:val="-17"/>
        </w:rPr>
        <w:t> </w:t>
      </w:r>
      <w:r>
        <w:rPr/>
        <w:t>than 350 attendees across the year. Academics, policymakers, community figures and members of the public gathered at Western Sydney</w:t>
      </w:r>
      <w:r>
        <w:rPr>
          <w:spacing w:val="-17"/>
        </w:rPr>
        <w:t> </w:t>
      </w:r>
      <w:r>
        <w:rPr/>
        <w:t>University</w:t>
      </w:r>
      <w:r>
        <w:rPr>
          <w:spacing w:val="-17"/>
        </w:rPr>
        <w:t> </w:t>
      </w:r>
      <w:r>
        <w:rPr/>
        <w:t>to</w:t>
      </w:r>
      <w:r>
        <w:rPr>
          <w:spacing w:val="-17"/>
        </w:rPr>
        <w:t> </w:t>
      </w:r>
      <w:r>
        <w:rPr/>
        <w:t>hear</w:t>
      </w:r>
      <w:r>
        <w:rPr>
          <w:spacing w:val="-17"/>
        </w:rPr>
        <w:t> </w:t>
      </w:r>
      <w:r>
        <w:rPr/>
        <w:t>speakers</w:t>
      </w:r>
      <w:r>
        <w:rPr>
          <w:spacing w:val="-17"/>
        </w:rPr>
        <w:t> </w:t>
      </w:r>
      <w:r>
        <w:rPr/>
        <w:t>on</w:t>
      </w:r>
      <w:r>
        <w:rPr>
          <w:spacing w:val="-17"/>
        </w:rPr>
        <w:t> </w:t>
      </w:r>
      <w:r>
        <w:rPr/>
        <w:t>a</w:t>
      </w:r>
      <w:r>
        <w:rPr>
          <w:spacing w:val="-17"/>
        </w:rPr>
        <w:t> </w:t>
      </w:r>
      <w:r>
        <w:rPr/>
        <w:t>wide variety</w:t>
      </w:r>
      <w:r>
        <w:rPr>
          <w:spacing w:val="-30"/>
        </w:rPr>
        <w:t> </w:t>
      </w:r>
      <w:r>
        <w:rPr/>
        <w:t>of</w:t>
      </w:r>
      <w:r>
        <w:rPr>
          <w:spacing w:val="-30"/>
        </w:rPr>
        <w:t> </w:t>
      </w:r>
      <w:r>
        <w:rPr>
          <w:spacing w:val="2"/>
        </w:rPr>
        <w:t>subjects,</w:t>
      </w:r>
      <w:r>
        <w:rPr>
          <w:spacing w:val="-30"/>
        </w:rPr>
        <w:t> </w:t>
      </w:r>
      <w:r>
        <w:rPr/>
        <w:t>including:</w:t>
      </w:r>
    </w:p>
    <w:p>
      <w:pPr>
        <w:pStyle w:val="BodyText"/>
        <w:spacing w:line="244" w:lineRule="auto" w:before="55"/>
        <w:ind w:left="305" w:right="433" w:hanging="199"/>
      </w:pPr>
      <w:r>
        <w:rPr>
          <w:rFonts w:ascii="Century Gothic" w:hAnsi="Century Gothic"/>
          <w:b/>
          <w:w w:val="115"/>
        </w:rPr>
        <w:t>≥ </w:t>
      </w:r>
      <w:r>
        <w:rPr/>
        <w:t>‘Tyranny of Status Quo: Challenges of Indian Economic Reforms’ –</w:t>
      </w:r>
    </w:p>
    <w:p>
      <w:pPr>
        <w:pStyle w:val="BodyText"/>
        <w:spacing w:before="3"/>
        <w:ind w:left="305" w:right="19"/>
      </w:pPr>
      <w:r>
        <w:rPr/>
        <w:t>Dr M Govinda Rao</w:t>
      </w:r>
    </w:p>
    <w:p>
      <w:pPr>
        <w:pStyle w:val="BodyText"/>
        <w:spacing w:line="247" w:lineRule="auto" w:before="62"/>
        <w:ind w:left="305" w:right="89" w:hanging="199"/>
      </w:pPr>
      <w:r>
        <w:rPr>
          <w:rFonts w:ascii="Century Gothic" w:hAnsi="Century Gothic"/>
          <w:b/>
          <w:w w:val="115"/>
        </w:rPr>
        <w:t>≥ </w:t>
      </w:r>
      <w:r>
        <w:rPr>
          <w:spacing w:val="2"/>
        </w:rPr>
        <w:t>‘The </w:t>
      </w:r>
      <w:r>
        <w:rPr/>
        <w:t>Fight Against </w:t>
      </w:r>
      <w:r>
        <w:rPr>
          <w:spacing w:val="2"/>
        </w:rPr>
        <w:t>AIDS, </w:t>
      </w:r>
      <w:r>
        <w:rPr/>
        <w:t>Tuberculosis, Malaria</w:t>
      </w:r>
      <w:r>
        <w:rPr>
          <w:spacing w:val="-20"/>
        </w:rPr>
        <w:t> </w:t>
      </w:r>
      <w:r>
        <w:rPr/>
        <w:t>and</w:t>
      </w:r>
      <w:r>
        <w:rPr>
          <w:spacing w:val="-20"/>
        </w:rPr>
        <w:t> </w:t>
      </w:r>
      <w:r>
        <w:rPr/>
        <w:t>now</w:t>
      </w:r>
      <w:r>
        <w:rPr>
          <w:spacing w:val="-20"/>
        </w:rPr>
        <w:t> </w:t>
      </w:r>
      <w:r>
        <w:rPr/>
        <w:t>Zika:</w:t>
      </w:r>
      <w:r>
        <w:rPr>
          <w:spacing w:val="-20"/>
        </w:rPr>
        <w:t> </w:t>
      </w:r>
      <w:r>
        <w:rPr>
          <w:spacing w:val="2"/>
        </w:rPr>
        <w:t>Can</w:t>
      </w:r>
      <w:r>
        <w:rPr>
          <w:spacing w:val="-20"/>
        </w:rPr>
        <w:t> </w:t>
      </w:r>
      <w:r>
        <w:rPr/>
        <w:t>Australia</w:t>
      </w:r>
      <w:r>
        <w:rPr>
          <w:spacing w:val="-20"/>
        </w:rPr>
        <w:t> </w:t>
      </w:r>
      <w:r>
        <w:rPr/>
        <w:t>Make a</w:t>
      </w:r>
      <w:r>
        <w:rPr>
          <w:spacing w:val="-16"/>
        </w:rPr>
        <w:t> </w:t>
      </w:r>
      <w:r>
        <w:rPr/>
        <w:t>Difference?’</w:t>
      </w:r>
      <w:r>
        <w:rPr>
          <w:spacing w:val="-16"/>
        </w:rPr>
        <w:t> </w:t>
      </w:r>
      <w:r>
        <w:rPr/>
        <w:t>–</w:t>
      </w:r>
      <w:r>
        <w:rPr>
          <w:spacing w:val="-16"/>
        </w:rPr>
        <w:t> </w:t>
      </w:r>
      <w:r>
        <w:rPr/>
        <w:t>Associate</w:t>
      </w:r>
      <w:r>
        <w:rPr>
          <w:spacing w:val="-16"/>
        </w:rPr>
        <w:t> </w:t>
      </w:r>
      <w:r>
        <w:rPr/>
        <w:t>Professor</w:t>
      </w:r>
      <w:r>
        <w:rPr>
          <w:spacing w:val="-16"/>
        </w:rPr>
        <w:t> </w:t>
      </w:r>
      <w:r>
        <w:rPr/>
        <w:t>Helen Evans,</w:t>
      </w:r>
      <w:r>
        <w:rPr>
          <w:spacing w:val="-21"/>
        </w:rPr>
        <w:t> </w:t>
      </w:r>
      <w:r>
        <w:rPr/>
        <w:t>AO</w:t>
      </w:r>
    </w:p>
    <w:p>
      <w:pPr>
        <w:pStyle w:val="BodyText"/>
        <w:spacing w:line="244" w:lineRule="auto" w:before="57"/>
        <w:ind w:left="305" w:right="111" w:hanging="199"/>
      </w:pPr>
      <w:r>
        <w:rPr>
          <w:rFonts w:ascii="Century Gothic" w:hAnsi="Century Gothic"/>
          <w:b/>
          <w:w w:val="115"/>
        </w:rPr>
        <w:t>≥ </w:t>
      </w:r>
      <w:r>
        <w:rPr/>
        <w:t>‘Open Markets and the Vietnamese Human</w:t>
      </w:r>
      <w:r>
        <w:rPr>
          <w:spacing w:val="-21"/>
        </w:rPr>
        <w:t> </w:t>
      </w:r>
      <w:r>
        <w:rPr/>
        <w:t>Rights</w:t>
      </w:r>
      <w:r>
        <w:rPr>
          <w:spacing w:val="-21"/>
        </w:rPr>
        <w:t> </w:t>
      </w:r>
      <w:r>
        <w:rPr/>
        <w:t>Dilemma’</w:t>
      </w:r>
      <w:r>
        <w:rPr>
          <w:spacing w:val="-21"/>
        </w:rPr>
        <w:t> </w:t>
      </w:r>
      <w:r>
        <w:rPr/>
        <w:t>–</w:t>
      </w:r>
      <w:r>
        <w:rPr>
          <w:spacing w:val="-21"/>
        </w:rPr>
        <w:t> </w:t>
      </w:r>
      <w:r>
        <w:rPr/>
        <w:t>Mr</w:t>
      </w:r>
      <w:r>
        <w:rPr>
          <w:spacing w:val="-21"/>
        </w:rPr>
        <w:t> </w:t>
      </w:r>
      <w:r>
        <w:rPr/>
        <w:t>Chris</w:t>
      </w:r>
      <w:r>
        <w:rPr>
          <w:spacing w:val="-21"/>
        </w:rPr>
        <w:t> </w:t>
      </w:r>
      <w:r>
        <w:rPr/>
        <w:t>Hayes,</w:t>
      </w:r>
    </w:p>
    <w:p>
      <w:pPr>
        <w:pStyle w:val="BodyText"/>
        <w:spacing w:line="249" w:lineRule="auto" w:before="3"/>
        <w:ind w:left="305" w:right="-1"/>
      </w:pPr>
      <w:r>
        <w:rPr/>
        <w:t>MP</w:t>
      </w:r>
      <w:r>
        <w:rPr>
          <w:spacing w:val="-15"/>
        </w:rPr>
        <w:t> </w:t>
      </w:r>
      <w:r>
        <w:rPr/>
        <w:t>and</w:t>
      </w:r>
      <w:r>
        <w:rPr>
          <w:spacing w:val="-15"/>
        </w:rPr>
        <w:t> </w:t>
      </w:r>
      <w:r>
        <w:rPr/>
        <w:t>Director</w:t>
      </w:r>
      <w:r>
        <w:rPr>
          <w:spacing w:val="-15"/>
        </w:rPr>
        <w:t> </w:t>
      </w:r>
      <w:r>
        <w:rPr/>
        <w:t>of</w:t>
      </w:r>
      <w:r>
        <w:rPr>
          <w:spacing w:val="-15"/>
        </w:rPr>
        <w:t> </w:t>
      </w:r>
      <w:r>
        <w:rPr/>
        <w:t>the</w:t>
      </w:r>
      <w:r>
        <w:rPr>
          <w:spacing w:val="-15"/>
        </w:rPr>
        <w:t> </w:t>
      </w:r>
      <w:r>
        <w:rPr/>
        <w:t>Human</w:t>
      </w:r>
      <w:r>
        <w:rPr>
          <w:spacing w:val="-15"/>
        </w:rPr>
        <w:t> </w:t>
      </w:r>
      <w:r>
        <w:rPr/>
        <w:t>Rights</w:t>
      </w:r>
      <w:r>
        <w:rPr>
          <w:spacing w:val="-15"/>
        </w:rPr>
        <w:t> </w:t>
      </w:r>
      <w:r>
        <w:rPr/>
        <w:t>Relief Foundation</w:t>
      </w:r>
      <w:r>
        <w:rPr>
          <w:spacing w:val="-26"/>
        </w:rPr>
        <w:t> </w:t>
      </w:r>
      <w:r>
        <w:rPr/>
        <w:t>Dinh</w:t>
      </w:r>
      <w:r>
        <w:rPr>
          <w:spacing w:val="-26"/>
        </w:rPr>
        <w:t> </w:t>
      </w:r>
      <w:r>
        <w:rPr/>
        <w:t>Tran</w:t>
      </w:r>
    </w:p>
    <w:p>
      <w:pPr>
        <w:pStyle w:val="BodyText"/>
        <w:spacing w:line="244" w:lineRule="auto" w:before="55"/>
        <w:ind w:left="305" w:right="422" w:hanging="199"/>
      </w:pPr>
      <w:r>
        <w:rPr>
          <w:rFonts w:ascii="Century Gothic" w:hAnsi="Century Gothic"/>
          <w:b/>
          <w:w w:val="115"/>
        </w:rPr>
        <w:t>≥</w:t>
      </w:r>
      <w:r>
        <w:rPr>
          <w:rFonts w:ascii="Century Gothic" w:hAnsi="Century Gothic"/>
          <w:b/>
          <w:spacing w:val="-2"/>
          <w:w w:val="115"/>
        </w:rPr>
        <w:t> </w:t>
      </w:r>
      <w:r>
        <w:rPr>
          <w:w w:val="105"/>
        </w:rPr>
        <w:t>‘Fighting</w:t>
      </w:r>
      <w:r>
        <w:rPr>
          <w:spacing w:val="-26"/>
          <w:w w:val="105"/>
        </w:rPr>
        <w:t> </w:t>
      </w:r>
      <w:r>
        <w:rPr>
          <w:w w:val="105"/>
        </w:rPr>
        <w:t>Global</w:t>
      </w:r>
      <w:r>
        <w:rPr>
          <w:spacing w:val="-26"/>
          <w:w w:val="105"/>
        </w:rPr>
        <w:t> </w:t>
      </w:r>
      <w:r>
        <w:rPr>
          <w:w w:val="105"/>
        </w:rPr>
        <w:t>Poverty</w:t>
      </w:r>
      <w:r>
        <w:rPr>
          <w:spacing w:val="-26"/>
          <w:w w:val="105"/>
        </w:rPr>
        <w:t> </w:t>
      </w:r>
      <w:r>
        <w:rPr>
          <w:w w:val="105"/>
        </w:rPr>
        <w:t>with</w:t>
      </w:r>
      <w:r>
        <w:rPr>
          <w:spacing w:val="-26"/>
          <w:w w:val="105"/>
        </w:rPr>
        <w:t> </w:t>
      </w:r>
      <w:r>
        <w:rPr>
          <w:w w:val="105"/>
        </w:rPr>
        <w:t>Gender Equality’</w:t>
      </w:r>
      <w:r>
        <w:rPr>
          <w:spacing w:val="-40"/>
          <w:w w:val="105"/>
        </w:rPr>
        <w:t> </w:t>
      </w:r>
      <w:r>
        <w:rPr>
          <w:w w:val="105"/>
        </w:rPr>
        <w:t>–</w:t>
      </w:r>
      <w:r>
        <w:rPr>
          <w:spacing w:val="-40"/>
          <w:w w:val="105"/>
        </w:rPr>
        <w:t> </w:t>
      </w:r>
      <w:r>
        <w:rPr>
          <w:w w:val="105"/>
        </w:rPr>
        <w:t>Dr</w:t>
      </w:r>
      <w:r>
        <w:rPr>
          <w:spacing w:val="-40"/>
          <w:w w:val="105"/>
        </w:rPr>
        <w:t> </w:t>
      </w:r>
      <w:r>
        <w:rPr>
          <w:w w:val="105"/>
        </w:rPr>
        <w:t>Helen</w:t>
      </w:r>
      <w:r>
        <w:rPr>
          <w:spacing w:val="-40"/>
          <w:w w:val="105"/>
        </w:rPr>
        <w:t> </w:t>
      </w:r>
      <w:r>
        <w:rPr>
          <w:w w:val="105"/>
        </w:rPr>
        <w:t>Szoke</w:t>
      </w:r>
    </w:p>
    <w:p>
      <w:pPr>
        <w:pStyle w:val="BodyText"/>
        <w:spacing w:line="244" w:lineRule="auto" w:before="58"/>
        <w:ind w:left="305" w:right="316" w:hanging="199"/>
      </w:pPr>
      <w:r>
        <w:rPr>
          <w:rFonts w:ascii="Century Gothic" w:hAnsi="Century Gothic"/>
          <w:b/>
          <w:w w:val="115"/>
        </w:rPr>
        <w:t>≥ </w:t>
      </w:r>
      <w:r>
        <w:rPr>
          <w:w w:val="105"/>
        </w:rPr>
        <w:t>‘Insurance, Genetic Testing and </w:t>
      </w:r>
      <w:r>
        <w:rPr/>
        <w:t>Discrimination’ – Justice Christian Byk</w:t>
      </w:r>
    </w:p>
    <w:p>
      <w:pPr>
        <w:pStyle w:val="BodyText"/>
        <w:spacing w:line="247" w:lineRule="auto" w:before="58"/>
        <w:ind w:left="305" w:right="-17" w:hanging="199"/>
      </w:pPr>
      <w:r>
        <w:rPr>
          <w:rFonts w:ascii="Century Gothic" w:hAnsi="Century Gothic"/>
          <w:b/>
          <w:w w:val="115"/>
        </w:rPr>
        <w:t>≥ </w:t>
      </w:r>
      <w:r>
        <w:rPr/>
        <w:t>‘Nepal – between China and India. Survival of Struggling Democracies’ – Professor Surya Dhungel</w:t>
      </w:r>
    </w:p>
    <w:p>
      <w:pPr>
        <w:pStyle w:val="BodyText"/>
        <w:spacing w:line="244" w:lineRule="auto" w:before="57"/>
        <w:ind w:left="305" w:right="577" w:hanging="199"/>
      </w:pPr>
      <w:r>
        <w:rPr>
          <w:rFonts w:ascii="Century Gothic" w:hAnsi="Century Gothic"/>
          <w:b/>
          <w:w w:val="115"/>
        </w:rPr>
        <w:t>≥ </w:t>
      </w:r>
      <w:r>
        <w:rPr/>
        <w:t>‘The Future of Multiculturalism’ – Dr GK Harinath, OAM</w:t>
      </w:r>
    </w:p>
    <w:p>
      <w:pPr>
        <w:pStyle w:val="BodyText"/>
        <w:spacing w:line="247" w:lineRule="auto" w:before="58"/>
        <w:ind w:left="305" w:right="10" w:hanging="199"/>
        <w:jc w:val="both"/>
      </w:pPr>
      <w:r>
        <w:rPr>
          <w:rFonts w:ascii="Century Gothic" w:hAnsi="Century Gothic"/>
          <w:b/>
          <w:w w:val="115"/>
        </w:rPr>
        <w:t>≥</w:t>
      </w:r>
      <w:r>
        <w:rPr>
          <w:rFonts w:ascii="Century Gothic" w:hAnsi="Century Gothic"/>
          <w:b/>
          <w:spacing w:val="12"/>
          <w:w w:val="115"/>
        </w:rPr>
        <w:t> </w:t>
      </w:r>
      <w:r>
        <w:rPr>
          <w:spacing w:val="2"/>
        </w:rPr>
        <w:t>‘The</w:t>
      </w:r>
      <w:r>
        <w:rPr>
          <w:spacing w:val="-16"/>
        </w:rPr>
        <w:t> </w:t>
      </w:r>
      <w:r>
        <w:rPr>
          <w:spacing w:val="2"/>
        </w:rPr>
        <w:t>Impact</w:t>
      </w:r>
      <w:r>
        <w:rPr>
          <w:spacing w:val="-16"/>
        </w:rPr>
        <w:t> </w:t>
      </w:r>
      <w:r>
        <w:rPr/>
        <w:t>of</w:t>
      </w:r>
      <w:r>
        <w:rPr>
          <w:spacing w:val="-16"/>
        </w:rPr>
        <w:t> </w:t>
      </w:r>
      <w:r>
        <w:rPr/>
        <w:t>Technology</w:t>
      </w:r>
      <w:r>
        <w:rPr>
          <w:spacing w:val="-16"/>
        </w:rPr>
        <w:t> </w:t>
      </w:r>
      <w:r>
        <w:rPr/>
        <w:t>on</w:t>
      </w:r>
      <w:r>
        <w:rPr>
          <w:spacing w:val="-16"/>
        </w:rPr>
        <w:t> </w:t>
      </w:r>
      <w:r>
        <w:rPr/>
        <w:t>the</w:t>
      </w:r>
      <w:r>
        <w:rPr>
          <w:spacing w:val="-16"/>
        </w:rPr>
        <w:t> </w:t>
      </w:r>
      <w:r>
        <w:rPr/>
        <w:t>Future</w:t>
      </w:r>
      <w:r>
        <w:rPr>
          <w:spacing w:val="-16"/>
        </w:rPr>
        <w:t> </w:t>
      </w:r>
      <w:r>
        <w:rPr/>
        <w:t>of the</w:t>
      </w:r>
      <w:r>
        <w:rPr>
          <w:spacing w:val="-17"/>
        </w:rPr>
        <w:t> </w:t>
      </w:r>
      <w:r>
        <w:rPr/>
        <w:t>Federal</w:t>
      </w:r>
      <w:r>
        <w:rPr>
          <w:spacing w:val="-17"/>
        </w:rPr>
        <w:t> </w:t>
      </w:r>
      <w:r>
        <w:rPr>
          <w:spacing w:val="2"/>
        </w:rPr>
        <w:t>Court’</w:t>
      </w:r>
      <w:r>
        <w:rPr>
          <w:spacing w:val="-17"/>
        </w:rPr>
        <w:t> </w:t>
      </w:r>
      <w:r>
        <w:rPr/>
        <w:t>–</w:t>
      </w:r>
      <w:r>
        <w:rPr>
          <w:spacing w:val="-17"/>
        </w:rPr>
        <w:t> </w:t>
      </w:r>
      <w:r>
        <w:rPr/>
        <w:t>The</w:t>
      </w:r>
      <w:r>
        <w:rPr>
          <w:spacing w:val="-17"/>
        </w:rPr>
        <w:t> </w:t>
      </w:r>
      <w:r>
        <w:rPr>
          <w:spacing w:val="2"/>
        </w:rPr>
        <w:t>Hon.</w:t>
      </w:r>
      <w:r>
        <w:rPr>
          <w:spacing w:val="-17"/>
        </w:rPr>
        <w:t> </w:t>
      </w:r>
      <w:r>
        <w:rPr/>
        <w:t>Chief</w:t>
      </w:r>
      <w:r>
        <w:rPr>
          <w:spacing w:val="-17"/>
        </w:rPr>
        <w:t> </w:t>
      </w:r>
      <w:r>
        <w:rPr/>
        <w:t>Justice James Allsop,</w:t>
      </w:r>
      <w:r>
        <w:rPr>
          <w:spacing w:val="-29"/>
        </w:rPr>
        <w:t> </w:t>
      </w:r>
      <w:r>
        <w:rPr/>
        <w:t>AO.</w:t>
      </w:r>
    </w:p>
    <w:p>
      <w:pPr>
        <w:pStyle w:val="BodyText"/>
        <w:spacing w:before="2"/>
        <w:rPr>
          <w:sz w:val="14"/>
        </w:rPr>
      </w:pPr>
    </w:p>
    <w:p>
      <w:pPr>
        <w:pStyle w:val="BodyText"/>
        <w:spacing w:line="249" w:lineRule="auto"/>
        <w:ind w:left="107" w:right="344"/>
      </w:pPr>
      <w:r>
        <w:rPr/>
        <w:t>Dr Sev Ozdowski, Director of Equity and Diversity, was the Foundation Convener and Series Coordinator of the Seventh International Human Rights Education</w:t>
      </w:r>
    </w:p>
    <w:p>
      <w:pPr>
        <w:pStyle w:val="BodyText"/>
        <w:spacing w:line="249" w:lineRule="auto"/>
        <w:ind w:left="107" w:right="-5"/>
      </w:pPr>
      <w:r>
        <w:rPr/>
        <w:t>Conference,</w:t>
      </w:r>
      <w:r>
        <w:rPr>
          <w:spacing w:val="-19"/>
        </w:rPr>
        <w:t> </w:t>
      </w:r>
      <w:r>
        <w:rPr/>
        <w:t>‘Addressing</w:t>
      </w:r>
      <w:r>
        <w:rPr>
          <w:spacing w:val="-19"/>
        </w:rPr>
        <w:t> </w:t>
      </w:r>
      <w:r>
        <w:rPr/>
        <w:t>the</w:t>
      </w:r>
      <w:r>
        <w:rPr>
          <w:spacing w:val="-19"/>
        </w:rPr>
        <w:t> </w:t>
      </w:r>
      <w:r>
        <w:rPr/>
        <w:t>Challenges</w:t>
      </w:r>
      <w:r>
        <w:rPr>
          <w:spacing w:val="-19"/>
        </w:rPr>
        <w:t> </w:t>
      </w:r>
      <w:r>
        <w:rPr/>
        <w:t>of</w:t>
      </w:r>
      <w:r>
        <w:rPr>
          <w:spacing w:val="-19"/>
        </w:rPr>
        <w:t> </w:t>
      </w:r>
      <w:r>
        <w:rPr/>
        <w:t>the Civil</w:t>
      </w:r>
      <w:r>
        <w:rPr>
          <w:spacing w:val="-14"/>
        </w:rPr>
        <w:t> </w:t>
      </w:r>
      <w:r>
        <w:rPr/>
        <w:t>Society’</w:t>
      </w:r>
      <w:r>
        <w:rPr>
          <w:spacing w:val="-14"/>
        </w:rPr>
        <w:t> </w:t>
      </w:r>
      <w:r>
        <w:rPr/>
        <w:t>hosted</w:t>
      </w:r>
      <w:r>
        <w:rPr>
          <w:spacing w:val="-14"/>
        </w:rPr>
        <w:t> </w:t>
      </w:r>
      <w:r>
        <w:rPr/>
        <w:t>at</w:t>
      </w:r>
      <w:r>
        <w:rPr>
          <w:spacing w:val="-14"/>
        </w:rPr>
        <w:t> </w:t>
      </w:r>
      <w:r>
        <w:rPr/>
        <w:t>the</w:t>
      </w:r>
      <w:r>
        <w:rPr>
          <w:spacing w:val="-14"/>
        </w:rPr>
        <w:t> </w:t>
      </w:r>
      <w:r>
        <w:rPr/>
        <w:t>University</w:t>
      </w:r>
      <w:r>
        <w:rPr>
          <w:spacing w:val="-14"/>
        </w:rPr>
        <w:t> </w:t>
      </w:r>
      <w:r>
        <w:rPr/>
        <w:t>of</w:t>
      </w:r>
      <w:r>
        <w:rPr>
          <w:spacing w:val="-14"/>
        </w:rPr>
        <w:t> </w:t>
      </w:r>
      <w:r>
        <w:rPr/>
        <w:t>Chile.</w:t>
      </w:r>
    </w:p>
    <w:p>
      <w:pPr>
        <w:pStyle w:val="BodyText"/>
        <w:spacing w:before="3"/>
        <w:rPr>
          <w:sz w:val="17"/>
        </w:rPr>
      </w:pPr>
      <w:r>
        <w:rPr/>
        <w:br w:type="column"/>
      </w:r>
      <w:r>
        <w:rPr>
          <w:sz w:val="17"/>
        </w:rPr>
      </w:r>
    </w:p>
    <w:p>
      <w:pPr>
        <w:pStyle w:val="Heading7"/>
        <w:spacing w:line="249" w:lineRule="auto"/>
        <w:ind w:right="330"/>
      </w:pPr>
      <w:r>
        <w:rPr/>
        <w:t>EDUCATIONAL WORKSHOPS ON </w:t>
      </w:r>
      <w:r>
        <w:rPr>
          <w:w w:val="95"/>
        </w:rPr>
        <w:t>RESPECT, INCLUSION, DISCRIMINATION, HARASSMENT AND BULLYING</w:t>
      </w:r>
    </w:p>
    <w:p>
      <w:pPr>
        <w:pStyle w:val="BodyText"/>
        <w:spacing w:line="249" w:lineRule="auto" w:before="50"/>
        <w:ind w:left="107" w:right="131"/>
      </w:pPr>
      <w:r>
        <w:rPr/>
        <w:t>In 2016, E&amp;D provided tailored educational workshops to approximately 220 staff and students. The sessions covered topics such as anti-discrimination, harassment and bullying legislative rights and responsibilities; the importance of a respectful, inclusive University culture free from discrimination, and ways to engage respectfully and inclusively in a contemporary workplace.</w:t>
      </w:r>
    </w:p>
    <w:p>
      <w:pPr>
        <w:pStyle w:val="BodyText"/>
        <w:rPr>
          <w:sz w:val="14"/>
        </w:rPr>
      </w:pPr>
    </w:p>
    <w:p>
      <w:pPr>
        <w:pStyle w:val="BodyText"/>
        <w:spacing w:line="249" w:lineRule="auto"/>
        <w:ind w:left="107"/>
      </w:pPr>
      <w:r>
        <w:rPr/>
        <w:t>Also,</w:t>
      </w:r>
      <w:r>
        <w:rPr>
          <w:spacing w:val="-21"/>
        </w:rPr>
        <w:t> </w:t>
      </w:r>
      <w:r>
        <w:rPr/>
        <w:t>approximately</w:t>
      </w:r>
      <w:r>
        <w:rPr>
          <w:spacing w:val="-21"/>
        </w:rPr>
        <w:t> </w:t>
      </w:r>
      <w:r>
        <w:rPr/>
        <w:t>175</w:t>
      </w:r>
      <w:r>
        <w:rPr>
          <w:spacing w:val="-21"/>
        </w:rPr>
        <w:t> </w:t>
      </w:r>
      <w:r>
        <w:rPr/>
        <w:t>senior</w:t>
      </w:r>
      <w:r>
        <w:rPr>
          <w:spacing w:val="-21"/>
        </w:rPr>
        <w:t> </w:t>
      </w:r>
      <w:r>
        <w:rPr/>
        <w:t>and</w:t>
      </w:r>
      <w:r>
        <w:rPr>
          <w:spacing w:val="-21"/>
        </w:rPr>
        <w:t> </w:t>
      </w:r>
      <w:r>
        <w:rPr/>
        <w:t>executive staff members attended two-hour expert briefings</w:t>
      </w:r>
      <w:r>
        <w:rPr>
          <w:spacing w:val="-16"/>
        </w:rPr>
        <w:t> </w:t>
      </w:r>
      <w:r>
        <w:rPr/>
        <w:t>–</w:t>
      </w:r>
      <w:r>
        <w:rPr>
          <w:spacing w:val="-16"/>
        </w:rPr>
        <w:t> </w:t>
      </w:r>
      <w:r>
        <w:rPr/>
        <w:t>held</w:t>
      </w:r>
      <w:r>
        <w:rPr>
          <w:spacing w:val="-16"/>
        </w:rPr>
        <w:t> </w:t>
      </w:r>
      <w:r>
        <w:rPr/>
        <w:t>at</w:t>
      </w:r>
      <w:r>
        <w:rPr>
          <w:spacing w:val="-16"/>
        </w:rPr>
        <w:t> </w:t>
      </w:r>
      <w:r>
        <w:rPr/>
        <w:t>five</w:t>
      </w:r>
      <w:r>
        <w:rPr>
          <w:spacing w:val="-16"/>
        </w:rPr>
        <w:t> </w:t>
      </w:r>
      <w:r>
        <w:rPr/>
        <w:t>campuses</w:t>
      </w:r>
      <w:r>
        <w:rPr>
          <w:spacing w:val="-16"/>
        </w:rPr>
        <w:t> </w:t>
      </w:r>
      <w:r>
        <w:rPr/>
        <w:t>–</w:t>
      </w:r>
      <w:r>
        <w:rPr>
          <w:spacing w:val="-16"/>
        </w:rPr>
        <w:t> </w:t>
      </w:r>
      <w:r>
        <w:rPr/>
        <w:t>about</w:t>
      </w:r>
      <w:r>
        <w:rPr>
          <w:spacing w:val="-16"/>
        </w:rPr>
        <w:t> </w:t>
      </w:r>
      <w:r>
        <w:rPr/>
        <w:t>anti- bullying</w:t>
      </w:r>
      <w:r>
        <w:rPr>
          <w:spacing w:val="-14"/>
        </w:rPr>
        <w:t> </w:t>
      </w:r>
      <w:r>
        <w:rPr/>
        <w:t>responsibilities</w:t>
      </w:r>
      <w:r>
        <w:rPr>
          <w:spacing w:val="-14"/>
        </w:rPr>
        <w:t> </w:t>
      </w:r>
      <w:r>
        <w:rPr/>
        <w:t>and</w:t>
      </w:r>
      <w:r>
        <w:rPr>
          <w:spacing w:val="-14"/>
        </w:rPr>
        <w:t> </w:t>
      </w:r>
      <w:r>
        <w:rPr/>
        <w:t>the</w:t>
      </w:r>
      <w:r>
        <w:rPr>
          <w:spacing w:val="-14"/>
        </w:rPr>
        <w:t> </w:t>
      </w:r>
      <w:r>
        <w:rPr/>
        <w:t>importance</w:t>
      </w:r>
      <w:r>
        <w:rPr>
          <w:spacing w:val="-14"/>
        </w:rPr>
        <w:t> </w:t>
      </w:r>
      <w:r>
        <w:rPr/>
        <w:t>of managing</w:t>
      </w:r>
      <w:r>
        <w:rPr>
          <w:spacing w:val="-15"/>
        </w:rPr>
        <w:t> </w:t>
      </w:r>
      <w:r>
        <w:rPr/>
        <w:t>bullying</w:t>
      </w:r>
      <w:r>
        <w:rPr>
          <w:spacing w:val="-15"/>
        </w:rPr>
        <w:t> </w:t>
      </w:r>
      <w:r>
        <w:rPr/>
        <w:t>as</w:t>
      </w:r>
      <w:r>
        <w:rPr>
          <w:spacing w:val="-15"/>
        </w:rPr>
        <w:t> </w:t>
      </w:r>
      <w:r>
        <w:rPr/>
        <w:t>a</w:t>
      </w:r>
      <w:r>
        <w:rPr>
          <w:spacing w:val="-15"/>
        </w:rPr>
        <w:t> </w:t>
      </w:r>
      <w:r>
        <w:rPr/>
        <w:t>workplace</w:t>
      </w:r>
      <w:r>
        <w:rPr>
          <w:spacing w:val="-15"/>
        </w:rPr>
        <w:t> </w:t>
      </w:r>
      <w:r>
        <w:rPr/>
        <w:t>hazard.</w:t>
      </w:r>
      <w:r>
        <w:rPr>
          <w:spacing w:val="-15"/>
        </w:rPr>
        <w:t> </w:t>
      </w:r>
      <w:r>
        <w:rPr/>
        <w:t>An expert practitioner and academic presented relevant case law and practice examples to </w:t>
      </w:r>
      <w:r>
        <w:rPr>
          <w:w w:val="96"/>
        </w:rPr>
        <w:t>illustrate </w:t>
      </w:r>
      <w:r>
        <w:rPr>
          <w:spacing w:val="-1"/>
          <w:w w:val="98"/>
        </w:rPr>
        <w:t>key</w:t>
      </w:r>
      <w:r>
        <w:rPr>
          <w:w w:val="98"/>
        </w:rPr>
        <w:t> </w:t>
      </w:r>
      <w:r>
        <w:rPr>
          <w:spacing w:val="1"/>
          <w:w w:val="95"/>
        </w:rPr>
        <w:t>issues</w:t>
      </w:r>
      <w:r>
        <w:rPr>
          <w:w w:val="95"/>
        </w:rPr>
        <w:t> </w:t>
      </w:r>
      <w:r>
        <w:rPr>
          <w:spacing w:val="1"/>
          <w:w w:val="97"/>
        </w:rPr>
        <w:t>and</w:t>
      </w:r>
      <w:r>
        <w:rPr>
          <w:w w:val="97"/>
        </w:rPr>
        <w:t> </w:t>
      </w:r>
      <w:r>
        <w:rPr>
          <w:spacing w:val="1"/>
          <w:w w:val="96"/>
        </w:rPr>
        <w:t>concepts.</w:t>
      </w:r>
      <w:r>
        <w:rPr>
          <w:w w:val="96"/>
        </w:rPr>
        <w:t> </w:t>
      </w:r>
      <w:r>
        <w:rPr>
          <w:spacing w:val="1"/>
          <w:w w:val="80"/>
        </w:rPr>
        <w:t>In</w:t>
      </w:r>
      <w:r>
        <w:rPr>
          <w:w w:val="80"/>
        </w:rPr>
        <w:t> </w:t>
      </w:r>
      <w:r>
        <w:rPr>
          <w:spacing w:val="-2"/>
          <w:w w:val="83"/>
        </w:rPr>
        <w:t>2017,</w:t>
      </w:r>
      <w:r>
        <w:rPr>
          <w:w w:val="83"/>
        </w:rPr>
        <w:t> </w:t>
      </w:r>
      <w:r>
        <w:rPr>
          <w:w w:val="97"/>
        </w:rPr>
        <w:t>the </w:t>
      </w:r>
      <w:r>
        <w:rPr/>
        <w:t>University will provide additional sessions to continue to build staff member’s capacity to prevent</w:t>
      </w:r>
      <w:r>
        <w:rPr>
          <w:spacing w:val="-21"/>
        </w:rPr>
        <w:t> </w:t>
      </w:r>
      <w:r>
        <w:rPr/>
        <w:t>or</w:t>
      </w:r>
      <w:r>
        <w:rPr>
          <w:spacing w:val="-21"/>
        </w:rPr>
        <w:t> </w:t>
      </w:r>
      <w:r>
        <w:rPr/>
        <w:t>manage</w:t>
      </w:r>
      <w:r>
        <w:rPr>
          <w:spacing w:val="-21"/>
        </w:rPr>
        <w:t> </w:t>
      </w:r>
      <w:r>
        <w:rPr/>
        <w:t>any</w:t>
      </w:r>
      <w:r>
        <w:rPr>
          <w:spacing w:val="-21"/>
        </w:rPr>
        <w:t> </w:t>
      </w:r>
      <w:r>
        <w:rPr/>
        <w:t>bullying</w:t>
      </w:r>
      <w:r>
        <w:rPr>
          <w:spacing w:val="-21"/>
        </w:rPr>
        <w:t> </w:t>
      </w:r>
      <w:r>
        <w:rPr/>
        <w:t>issues.</w:t>
      </w:r>
    </w:p>
    <w:p>
      <w:pPr>
        <w:pStyle w:val="BodyText"/>
        <w:spacing w:before="3"/>
        <w:rPr>
          <w:sz w:val="19"/>
        </w:rPr>
      </w:pPr>
    </w:p>
    <w:p>
      <w:pPr>
        <w:pStyle w:val="Heading7"/>
        <w:ind w:right="0"/>
      </w:pPr>
      <w:r>
        <w:rPr/>
        <w:t>GENDER</w:t>
      </w:r>
    </w:p>
    <w:p>
      <w:pPr>
        <w:pStyle w:val="BodyText"/>
        <w:spacing w:line="249" w:lineRule="auto" w:before="58"/>
        <w:ind w:left="107" w:right="469"/>
      </w:pPr>
      <w:r>
        <w:rPr>
          <w:w w:val="80"/>
        </w:rPr>
        <w:t>In </w:t>
      </w:r>
      <w:r>
        <w:rPr>
          <w:w w:val="85"/>
        </w:rPr>
        <w:t>2016, </w:t>
      </w:r>
      <w:r>
        <w:rPr>
          <w:w w:val="97"/>
        </w:rPr>
        <w:t>the </w:t>
      </w:r>
      <w:r>
        <w:rPr>
          <w:w w:val="97"/>
        </w:rPr>
        <w:t>University </w:t>
      </w:r>
      <w:r>
        <w:rPr>
          <w:w w:val="98"/>
        </w:rPr>
        <w:t>demonstrated </w:t>
      </w:r>
      <w:r>
        <w:rPr>
          <w:w w:val="94"/>
        </w:rPr>
        <w:t>a </w:t>
      </w:r>
      <w:r>
        <w:rPr/>
        <w:t>consistent and strong commitment to gender equality:</w:t>
      </w:r>
    </w:p>
    <w:p>
      <w:pPr>
        <w:pStyle w:val="BodyText"/>
        <w:spacing w:line="247" w:lineRule="auto" w:before="55"/>
        <w:ind w:left="305" w:right="88" w:hanging="199"/>
      </w:pPr>
      <w:r>
        <w:rPr>
          <w:rFonts w:ascii="Century Gothic" w:hAnsi="Century Gothic"/>
          <w:b/>
          <w:w w:val="115"/>
        </w:rPr>
        <w:t>≥ </w:t>
      </w:r>
      <w:r>
        <w:rPr/>
        <w:t>It was found to be compliant with Workplace Gender Equality Agency requirements and was cited for the 12th consecutive year as an Employer of Choice for Gender Equality.</w:t>
      </w:r>
    </w:p>
    <w:p>
      <w:pPr>
        <w:pStyle w:val="BodyText"/>
        <w:spacing w:line="247" w:lineRule="auto" w:before="57"/>
        <w:ind w:left="305" w:right="66" w:hanging="199"/>
      </w:pPr>
      <w:r>
        <w:rPr>
          <w:rFonts w:ascii="Century Gothic" w:hAnsi="Century Gothic"/>
          <w:b/>
          <w:w w:val="115"/>
        </w:rPr>
        <w:t>≥ </w:t>
      </w:r>
      <w:r>
        <w:rPr/>
        <w:t>More than 50 per cent of University staff and students were female, and females held</w:t>
      </w:r>
      <w:r>
        <w:rPr>
          <w:spacing w:val="-19"/>
        </w:rPr>
        <w:t> </w:t>
      </w:r>
      <w:r>
        <w:rPr/>
        <w:t>more</w:t>
      </w:r>
      <w:r>
        <w:rPr>
          <w:spacing w:val="-19"/>
        </w:rPr>
        <w:t> </w:t>
      </w:r>
      <w:r>
        <w:rPr/>
        <w:t>than</w:t>
      </w:r>
      <w:r>
        <w:rPr>
          <w:spacing w:val="-19"/>
        </w:rPr>
        <w:t> </w:t>
      </w:r>
      <w:r>
        <w:rPr/>
        <w:t>41</w:t>
      </w:r>
      <w:r>
        <w:rPr>
          <w:spacing w:val="-19"/>
        </w:rPr>
        <w:t> </w:t>
      </w:r>
      <w:r>
        <w:rPr/>
        <w:t>per</w:t>
      </w:r>
      <w:r>
        <w:rPr>
          <w:spacing w:val="-19"/>
        </w:rPr>
        <w:t> </w:t>
      </w:r>
      <w:r>
        <w:rPr/>
        <w:t>cent</w:t>
      </w:r>
      <w:r>
        <w:rPr>
          <w:spacing w:val="-19"/>
        </w:rPr>
        <w:t> </w:t>
      </w:r>
      <w:r>
        <w:rPr/>
        <w:t>of</w:t>
      </w:r>
      <w:r>
        <w:rPr>
          <w:spacing w:val="-19"/>
        </w:rPr>
        <w:t> </w:t>
      </w:r>
      <w:r>
        <w:rPr/>
        <w:t>management positions.</w:t>
      </w:r>
      <w:r>
        <w:rPr>
          <w:spacing w:val="-19"/>
        </w:rPr>
        <w:t> </w:t>
      </w:r>
      <w:r>
        <w:rPr/>
        <w:t>The</w:t>
      </w:r>
      <w:r>
        <w:rPr>
          <w:spacing w:val="-19"/>
        </w:rPr>
        <w:t> </w:t>
      </w:r>
      <w:r>
        <w:rPr/>
        <w:t>University</w:t>
      </w:r>
      <w:r>
        <w:rPr>
          <w:spacing w:val="-19"/>
        </w:rPr>
        <w:t> </w:t>
      </w:r>
      <w:r>
        <w:rPr/>
        <w:t>also</w:t>
      </w:r>
      <w:r>
        <w:rPr>
          <w:spacing w:val="-19"/>
        </w:rPr>
        <w:t> </w:t>
      </w:r>
      <w:r>
        <w:rPr/>
        <w:t>has</w:t>
      </w:r>
      <w:r>
        <w:rPr>
          <w:spacing w:val="-19"/>
        </w:rPr>
        <w:t> </w:t>
      </w:r>
      <w:r>
        <w:rPr/>
        <w:t>one</w:t>
      </w:r>
      <w:r>
        <w:rPr>
          <w:spacing w:val="-19"/>
        </w:rPr>
        <w:t> </w:t>
      </w:r>
      <w:r>
        <w:rPr/>
        <w:t>of</w:t>
      </w:r>
      <w:r>
        <w:rPr>
          <w:spacing w:val="-19"/>
        </w:rPr>
        <w:t> </w:t>
      </w:r>
      <w:r>
        <w:rPr/>
        <w:t>the highest percentages of female professors </w:t>
      </w:r>
      <w:r>
        <w:rPr>
          <w:spacing w:val="-4"/>
        </w:rPr>
        <w:t>(41</w:t>
      </w:r>
      <w:r>
        <w:rPr>
          <w:spacing w:val="-27"/>
        </w:rPr>
        <w:t> </w:t>
      </w:r>
      <w:r>
        <w:rPr/>
        <w:t>per</w:t>
      </w:r>
      <w:r>
        <w:rPr>
          <w:spacing w:val="-27"/>
        </w:rPr>
        <w:t> </w:t>
      </w:r>
      <w:r>
        <w:rPr/>
        <w:t>cent)</w:t>
      </w:r>
      <w:r>
        <w:rPr>
          <w:spacing w:val="-27"/>
        </w:rPr>
        <w:t> </w:t>
      </w:r>
      <w:r>
        <w:rPr/>
        <w:t>in</w:t>
      </w:r>
      <w:r>
        <w:rPr>
          <w:spacing w:val="-27"/>
        </w:rPr>
        <w:t> </w:t>
      </w:r>
      <w:r>
        <w:rPr/>
        <w:t>the</w:t>
      </w:r>
      <w:r>
        <w:rPr>
          <w:spacing w:val="-27"/>
        </w:rPr>
        <w:t> </w:t>
      </w:r>
      <w:r>
        <w:rPr/>
        <w:t>sector.</w:t>
      </w:r>
    </w:p>
    <w:p>
      <w:pPr>
        <w:pStyle w:val="BodyText"/>
        <w:spacing w:line="247" w:lineRule="auto" w:before="57"/>
        <w:ind w:left="305" w:right="309" w:hanging="199"/>
      </w:pPr>
      <w:r>
        <w:rPr>
          <w:rFonts w:ascii="Century Gothic" w:hAnsi="Century Gothic"/>
          <w:b/>
          <w:w w:val="115"/>
        </w:rPr>
        <w:t>≥ </w:t>
      </w:r>
      <w:r>
        <w:rPr/>
        <w:t>The Vice-Chancellor’s Gender Equality Committee convened for its second year. The committee provided the Vice-</w:t>
      </w:r>
    </w:p>
    <w:p>
      <w:pPr>
        <w:pStyle w:val="BodyText"/>
        <w:spacing w:line="249" w:lineRule="auto" w:before="1"/>
        <w:ind w:left="305" w:right="37"/>
      </w:pPr>
      <w:r>
        <w:rPr/>
        <w:t>Chancellor with specialist advice and guidance on strategy and policy to advance gender equity across the organisation.</w:t>
      </w:r>
    </w:p>
    <w:p>
      <w:pPr>
        <w:spacing w:after="0" w:line="249" w:lineRule="auto"/>
        <w:sectPr>
          <w:type w:val="continuous"/>
          <w:pgSz w:w="11910" w:h="16840"/>
          <w:pgMar w:top="1580" w:bottom="280" w:left="800" w:right="800"/>
          <w:cols w:num="3" w:equalWidth="0">
            <w:col w:w="3240" w:space="199"/>
            <w:col w:w="3301" w:space="138"/>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rPr>
          <w:sz w:val="20"/>
        </w:rPr>
      </w:pPr>
    </w:p>
    <w:p>
      <w:pPr>
        <w:pStyle w:val="BodyText"/>
        <w:spacing w:line="247" w:lineRule="auto"/>
        <w:ind w:left="305" w:right="-1" w:hanging="199"/>
      </w:pPr>
      <w:r>
        <w:rPr>
          <w:rFonts w:ascii="Century Gothic" w:hAnsi="Century Gothic"/>
          <w:b/>
          <w:w w:val="115"/>
        </w:rPr>
        <w:t>≥</w:t>
      </w:r>
      <w:r>
        <w:rPr>
          <w:rFonts w:ascii="Century Gothic" w:hAnsi="Century Gothic"/>
          <w:b/>
          <w:spacing w:val="19"/>
          <w:w w:val="115"/>
        </w:rPr>
        <w:t> </w:t>
      </w:r>
      <w:r>
        <w:rPr/>
        <w:t>The</w:t>
      </w:r>
      <w:r>
        <w:rPr>
          <w:spacing w:val="-12"/>
        </w:rPr>
        <w:t> </w:t>
      </w:r>
      <w:r>
        <w:rPr/>
        <w:t>Gender</w:t>
      </w:r>
      <w:r>
        <w:rPr>
          <w:spacing w:val="-12"/>
        </w:rPr>
        <w:t> </w:t>
      </w:r>
      <w:r>
        <w:rPr/>
        <w:t>Equality</w:t>
      </w:r>
      <w:r>
        <w:rPr>
          <w:spacing w:val="-12"/>
        </w:rPr>
        <w:t> </w:t>
      </w:r>
      <w:r>
        <w:rPr/>
        <w:t>Plan</w:t>
      </w:r>
      <w:r>
        <w:rPr>
          <w:spacing w:val="-12"/>
        </w:rPr>
        <w:t> </w:t>
      </w:r>
      <w:r>
        <w:rPr/>
        <w:t>and</w:t>
      </w:r>
      <w:r>
        <w:rPr>
          <w:spacing w:val="-12"/>
        </w:rPr>
        <w:t> </w:t>
      </w:r>
      <w:r>
        <w:rPr/>
        <w:t>Strategy</w:t>
      </w:r>
      <w:r>
        <w:rPr>
          <w:spacing w:val="-12"/>
        </w:rPr>
        <w:t> </w:t>
      </w:r>
      <w:r>
        <w:rPr/>
        <w:t>has been updated and new Gender Equality Policy</w:t>
      </w:r>
      <w:r>
        <w:rPr>
          <w:spacing w:val="-14"/>
        </w:rPr>
        <w:t> </w:t>
      </w:r>
      <w:r>
        <w:rPr/>
        <w:t>and</w:t>
      </w:r>
      <w:r>
        <w:rPr>
          <w:spacing w:val="-14"/>
        </w:rPr>
        <w:t> </w:t>
      </w:r>
      <w:r>
        <w:rPr/>
        <w:t>Procedures</w:t>
      </w:r>
      <w:r>
        <w:rPr>
          <w:spacing w:val="-14"/>
        </w:rPr>
        <w:t> </w:t>
      </w:r>
      <w:r>
        <w:rPr/>
        <w:t>was</w:t>
      </w:r>
      <w:r>
        <w:rPr>
          <w:spacing w:val="-14"/>
        </w:rPr>
        <w:t> </w:t>
      </w:r>
      <w:r>
        <w:rPr/>
        <w:t>introduced.</w:t>
      </w:r>
    </w:p>
    <w:p>
      <w:pPr>
        <w:pStyle w:val="BodyText"/>
        <w:spacing w:line="244" w:lineRule="auto" w:before="57"/>
        <w:ind w:left="305" w:right="82" w:hanging="199"/>
      </w:pPr>
      <w:r>
        <w:rPr>
          <w:rFonts w:ascii="Century Gothic" w:hAnsi="Century Gothic"/>
          <w:b/>
          <w:w w:val="115"/>
        </w:rPr>
        <w:t>≥</w:t>
      </w:r>
      <w:r>
        <w:rPr>
          <w:rFonts w:ascii="Century Gothic" w:hAnsi="Century Gothic"/>
          <w:b/>
          <w:spacing w:val="-23"/>
          <w:w w:val="115"/>
        </w:rPr>
        <w:t> </w:t>
      </w:r>
      <w:r>
        <w:rPr>
          <w:w w:val="105"/>
        </w:rPr>
        <w:t>Parent/breastfeeding</w:t>
      </w:r>
      <w:r>
        <w:rPr>
          <w:spacing w:val="-37"/>
          <w:w w:val="105"/>
        </w:rPr>
        <w:t> </w:t>
      </w:r>
      <w:r>
        <w:rPr>
          <w:w w:val="105"/>
        </w:rPr>
        <w:t>facilities</w:t>
      </w:r>
      <w:r>
        <w:rPr>
          <w:spacing w:val="-37"/>
          <w:w w:val="105"/>
        </w:rPr>
        <w:t> </w:t>
      </w:r>
      <w:r>
        <w:rPr>
          <w:w w:val="105"/>
        </w:rPr>
        <w:t>have</w:t>
      </w:r>
      <w:r>
        <w:rPr>
          <w:spacing w:val="-37"/>
          <w:w w:val="105"/>
        </w:rPr>
        <w:t> </w:t>
      </w:r>
      <w:r>
        <w:rPr>
          <w:spacing w:val="2"/>
          <w:w w:val="105"/>
        </w:rPr>
        <w:t>been </w:t>
      </w:r>
      <w:r>
        <w:rPr/>
        <w:t>upgraded</w:t>
      </w:r>
      <w:r>
        <w:rPr>
          <w:spacing w:val="-26"/>
        </w:rPr>
        <w:t> </w:t>
      </w:r>
      <w:r>
        <w:rPr/>
        <w:t>across</w:t>
      </w:r>
      <w:r>
        <w:rPr>
          <w:spacing w:val="-26"/>
        </w:rPr>
        <w:t> </w:t>
      </w:r>
      <w:r>
        <w:rPr/>
        <w:t>several</w:t>
      </w:r>
      <w:r>
        <w:rPr>
          <w:spacing w:val="-26"/>
        </w:rPr>
        <w:t> </w:t>
      </w:r>
      <w:r>
        <w:rPr>
          <w:spacing w:val="2"/>
        </w:rPr>
        <w:t>campuses.</w:t>
      </w:r>
    </w:p>
    <w:p>
      <w:pPr>
        <w:pStyle w:val="BodyText"/>
        <w:spacing w:line="247" w:lineRule="auto" w:before="58"/>
        <w:ind w:left="305" w:right="158" w:hanging="199"/>
      </w:pPr>
      <w:r>
        <w:rPr>
          <w:rFonts w:ascii="Century Gothic" w:hAnsi="Century Gothic"/>
          <w:b/>
          <w:w w:val="115"/>
        </w:rPr>
        <w:t>≥ </w:t>
      </w:r>
      <w:r>
        <w:rPr/>
        <w:t>The University held various occasional lectures on gender equality and related issues.</w:t>
      </w:r>
    </w:p>
    <w:p>
      <w:pPr>
        <w:pStyle w:val="BodyText"/>
        <w:spacing w:before="2"/>
        <w:rPr>
          <w:sz w:val="14"/>
        </w:rPr>
      </w:pPr>
    </w:p>
    <w:p>
      <w:pPr>
        <w:pStyle w:val="BodyText"/>
        <w:spacing w:line="249" w:lineRule="auto"/>
        <w:ind w:left="107" w:right="210"/>
      </w:pPr>
      <w:r>
        <w:rPr/>
        <w:t>The University also participated in the Australian pilot project of the Science in Australia Gender Equity (SAGE) program to promote gender equity and gender</w:t>
      </w:r>
    </w:p>
    <w:p>
      <w:pPr>
        <w:pStyle w:val="BodyText"/>
        <w:spacing w:line="249" w:lineRule="auto"/>
        <w:ind w:left="107" w:right="4"/>
      </w:pPr>
      <w:r>
        <w:rPr/>
        <w:t>diversity</w:t>
      </w:r>
      <w:r>
        <w:rPr>
          <w:spacing w:val="-21"/>
        </w:rPr>
        <w:t> </w:t>
      </w:r>
      <w:r>
        <w:rPr/>
        <w:t>in</w:t>
      </w:r>
      <w:r>
        <w:rPr>
          <w:spacing w:val="-21"/>
        </w:rPr>
        <w:t> </w:t>
      </w:r>
      <w:r>
        <w:rPr/>
        <w:t>science,</w:t>
      </w:r>
      <w:r>
        <w:rPr>
          <w:spacing w:val="-21"/>
        </w:rPr>
        <w:t> </w:t>
      </w:r>
      <w:r>
        <w:rPr/>
        <w:t>technology,</w:t>
      </w:r>
      <w:r>
        <w:rPr>
          <w:spacing w:val="-21"/>
        </w:rPr>
        <w:t> </w:t>
      </w:r>
      <w:r>
        <w:rPr/>
        <w:t>engineering, mathematics and medicine (STEMM). The program is based on the Athena SWAN Charter, a UK-based evaluation and accreditation framework, using a bronze, silver or gold award rating system to </w:t>
      </w:r>
      <w:r>
        <w:rPr>
          <w:spacing w:val="2"/>
        </w:rPr>
        <w:t>assess </w:t>
      </w:r>
      <w:r>
        <w:rPr/>
        <w:t>the gender equity policies and practices of participating institutions. The awards are cumulative</w:t>
      </w:r>
      <w:r>
        <w:rPr>
          <w:spacing w:val="-19"/>
        </w:rPr>
        <w:t> </w:t>
      </w:r>
      <w:r>
        <w:rPr/>
        <w:t>and</w:t>
      </w:r>
      <w:r>
        <w:rPr>
          <w:spacing w:val="-19"/>
        </w:rPr>
        <w:t> </w:t>
      </w:r>
      <w:r>
        <w:rPr/>
        <w:t>extremely</w:t>
      </w:r>
      <w:r>
        <w:rPr>
          <w:spacing w:val="-19"/>
        </w:rPr>
        <w:t> </w:t>
      </w:r>
      <w:r>
        <w:rPr/>
        <w:t>rigorous,</w:t>
      </w:r>
      <w:r>
        <w:rPr>
          <w:spacing w:val="-19"/>
        </w:rPr>
        <w:t> </w:t>
      </w:r>
      <w:r>
        <w:rPr/>
        <w:t>with</w:t>
      </w:r>
      <w:r>
        <w:rPr>
          <w:spacing w:val="-19"/>
        </w:rPr>
        <w:t> </w:t>
      </w:r>
      <w:r>
        <w:rPr/>
        <w:t>each award</w:t>
      </w:r>
      <w:r>
        <w:rPr>
          <w:spacing w:val="-23"/>
        </w:rPr>
        <w:t> </w:t>
      </w:r>
      <w:r>
        <w:rPr/>
        <w:t>remaining</w:t>
      </w:r>
      <w:r>
        <w:rPr>
          <w:spacing w:val="-23"/>
        </w:rPr>
        <w:t> </w:t>
      </w:r>
      <w:r>
        <w:rPr/>
        <w:t>current</w:t>
      </w:r>
      <w:r>
        <w:rPr>
          <w:spacing w:val="-23"/>
        </w:rPr>
        <w:t> </w:t>
      </w:r>
      <w:r>
        <w:rPr/>
        <w:t>for</w:t>
      </w:r>
      <w:r>
        <w:rPr>
          <w:spacing w:val="-23"/>
        </w:rPr>
        <w:t> </w:t>
      </w:r>
      <w:r>
        <w:rPr/>
        <w:t>four</w:t>
      </w:r>
      <w:r>
        <w:rPr>
          <w:spacing w:val="-23"/>
        </w:rPr>
        <w:t> </w:t>
      </w:r>
      <w:r>
        <w:rPr/>
        <w:t>years.</w:t>
      </w:r>
    </w:p>
    <w:p>
      <w:pPr>
        <w:pStyle w:val="BodyText"/>
        <w:rPr>
          <w:sz w:val="14"/>
        </w:rPr>
      </w:pPr>
    </w:p>
    <w:p>
      <w:pPr>
        <w:pStyle w:val="BodyText"/>
        <w:spacing w:line="249" w:lineRule="auto"/>
        <w:ind w:left="107" w:right="210"/>
      </w:pPr>
      <w:r>
        <w:rPr/>
        <w:t>The pilot program requires a thorough self-assessment of University gender equity policies and practices, and the development of a plan to address any future opportunities for promoting and retaining females in STEMM disciplines. The University will use the insights of the SAGE program to develop an increasingly inclusive culture. across all disciplines.</w:t>
      </w:r>
    </w:p>
    <w:p>
      <w:pPr>
        <w:pStyle w:val="BodyText"/>
        <w:spacing w:before="3"/>
        <w:rPr>
          <w:sz w:val="19"/>
        </w:rPr>
      </w:pPr>
    </w:p>
    <w:p>
      <w:pPr>
        <w:pStyle w:val="Heading7"/>
        <w:ind w:right="-1"/>
      </w:pPr>
      <w:r>
        <w:rPr>
          <w:w w:val="95"/>
        </w:rPr>
        <w:t>DISABILITY ACCESS AND SUPPORT</w:t>
      </w:r>
    </w:p>
    <w:p>
      <w:pPr>
        <w:pStyle w:val="BodyText"/>
        <w:spacing w:line="249" w:lineRule="auto" w:before="58"/>
        <w:ind w:left="107" w:right="481"/>
        <w:jc w:val="both"/>
      </w:pPr>
      <w:r>
        <w:rPr/>
        <w:t>Staff</w:t>
      </w:r>
      <w:r>
        <w:rPr>
          <w:spacing w:val="-14"/>
        </w:rPr>
        <w:t> </w:t>
      </w:r>
      <w:r>
        <w:rPr/>
        <w:t>inclusivity</w:t>
      </w:r>
      <w:r>
        <w:rPr>
          <w:spacing w:val="-14"/>
        </w:rPr>
        <w:t> </w:t>
      </w:r>
      <w:r>
        <w:rPr/>
        <w:t>is</w:t>
      </w:r>
      <w:r>
        <w:rPr>
          <w:spacing w:val="-14"/>
        </w:rPr>
        <w:t> </w:t>
      </w:r>
      <w:r>
        <w:rPr/>
        <w:t>advanced</w:t>
      </w:r>
      <w:r>
        <w:rPr>
          <w:spacing w:val="-14"/>
        </w:rPr>
        <w:t> </w:t>
      </w:r>
      <w:r>
        <w:rPr/>
        <w:t>by</w:t>
      </w:r>
      <w:r>
        <w:rPr>
          <w:spacing w:val="-14"/>
        </w:rPr>
        <w:t> </w:t>
      </w:r>
      <w:r>
        <w:rPr/>
        <w:t>making reasonable</w:t>
      </w:r>
      <w:r>
        <w:rPr>
          <w:spacing w:val="-18"/>
        </w:rPr>
        <w:t> </w:t>
      </w:r>
      <w:r>
        <w:rPr/>
        <w:t>workplace</w:t>
      </w:r>
      <w:r>
        <w:rPr>
          <w:spacing w:val="-18"/>
        </w:rPr>
        <w:t> </w:t>
      </w:r>
      <w:r>
        <w:rPr/>
        <w:t>adjustments</w:t>
      </w:r>
      <w:r>
        <w:rPr>
          <w:spacing w:val="-18"/>
        </w:rPr>
        <w:t> </w:t>
      </w:r>
      <w:r>
        <w:rPr/>
        <w:t>for staff</w:t>
      </w:r>
      <w:r>
        <w:rPr>
          <w:spacing w:val="-18"/>
        </w:rPr>
        <w:t> </w:t>
      </w:r>
      <w:r>
        <w:rPr/>
        <w:t>with</w:t>
      </w:r>
      <w:r>
        <w:rPr>
          <w:spacing w:val="-18"/>
        </w:rPr>
        <w:t> </w:t>
      </w:r>
      <w:r>
        <w:rPr/>
        <w:t>disabilities,</w:t>
      </w:r>
      <w:r>
        <w:rPr>
          <w:spacing w:val="-18"/>
        </w:rPr>
        <w:t> </w:t>
      </w:r>
      <w:r>
        <w:rPr/>
        <w:t>including</w:t>
      </w:r>
      <w:r>
        <w:rPr>
          <w:spacing w:val="-18"/>
        </w:rPr>
        <w:t> </w:t>
      </w:r>
      <w:r>
        <w:rPr/>
        <w:t>chronic</w:t>
      </w:r>
    </w:p>
    <w:p>
      <w:pPr>
        <w:pStyle w:val="BodyText"/>
        <w:spacing w:line="249" w:lineRule="auto"/>
        <w:ind w:left="107" w:right="132"/>
      </w:pPr>
      <w:r>
        <w:rPr/>
        <w:t>health</w:t>
      </w:r>
      <w:r>
        <w:rPr>
          <w:spacing w:val="-20"/>
        </w:rPr>
        <w:t> </w:t>
      </w:r>
      <w:r>
        <w:rPr/>
        <w:t>conditions.</w:t>
      </w:r>
      <w:r>
        <w:rPr>
          <w:spacing w:val="-20"/>
        </w:rPr>
        <w:t> </w:t>
      </w:r>
      <w:r>
        <w:rPr/>
        <w:t>The</w:t>
      </w:r>
      <w:r>
        <w:rPr>
          <w:spacing w:val="-20"/>
        </w:rPr>
        <w:t> </w:t>
      </w:r>
      <w:r>
        <w:rPr/>
        <w:t>University</w:t>
      </w:r>
      <w:r>
        <w:rPr>
          <w:spacing w:val="-20"/>
        </w:rPr>
        <w:t> </w:t>
      </w:r>
      <w:r>
        <w:rPr/>
        <w:t>has</w:t>
      </w:r>
      <w:r>
        <w:rPr>
          <w:spacing w:val="-20"/>
        </w:rPr>
        <w:t> </w:t>
      </w:r>
      <w:r>
        <w:rPr/>
        <w:t>a</w:t>
      </w:r>
      <w:r>
        <w:rPr>
          <w:spacing w:val="-20"/>
        </w:rPr>
        <w:t> </w:t>
      </w:r>
      <w:r>
        <w:rPr/>
        <w:t>Staff Workplace Adjustment Fund for buying assistive</w:t>
      </w:r>
      <w:r>
        <w:rPr>
          <w:spacing w:val="-20"/>
        </w:rPr>
        <w:t> </w:t>
      </w:r>
      <w:r>
        <w:rPr/>
        <w:t>equipment</w:t>
      </w:r>
      <w:r>
        <w:rPr>
          <w:spacing w:val="-20"/>
        </w:rPr>
        <w:t> </w:t>
      </w:r>
      <w:r>
        <w:rPr/>
        <w:t>and</w:t>
      </w:r>
      <w:r>
        <w:rPr>
          <w:spacing w:val="-20"/>
        </w:rPr>
        <w:t> </w:t>
      </w:r>
      <w:r>
        <w:rPr/>
        <w:t>software,</w:t>
      </w:r>
      <w:r>
        <w:rPr>
          <w:spacing w:val="-20"/>
        </w:rPr>
        <w:t> </w:t>
      </w:r>
      <w:r>
        <w:rPr/>
        <w:t>and</w:t>
      </w:r>
    </w:p>
    <w:p>
      <w:pPr>
        <w:pStyle w:val="BodyText"/>
        <w:spacing w:line="249" w:lineRule="auto"/>
        <w:ind w:left="107" w:right="201"/>
      </w:pPr>
      <w:r>
        <w:rPr/>
        <w:t>for providing training and occupational assessments</w:t>
      </w:r>
      <w:r>
        <w:rPr>
          <w:spacing w:val="-21"/>
        </w:rPr>
        <w:t> </w:t>
      </w:r>
      <w:r>
        <w:rPr/>
        <w:t>and</w:t>
      </w:r>
      <w:r>
        <w:rPr>
          <w:spacing w:val="-21"/>
        </w:rPr>
        <w:t> </w:t>
      </w:r>
      <w:r>
        <w:rPr/>
        <w:t>advice.</w:t>
      </w:r>
      <w:r>
        <w:rPr>
          <w:spacing w:val="-21"/>
        </w:rPr>
        <w:t> </w:t>
      </w:r>
      <w:r>
        <w:rPr/>
        <w:t>This</w:t>
      </w:r>
      <w:r>
        <w:rPr>
          <w:spacing w:val="-21"/>
        </w:rPr>
        <w:t> </w:t>
      </w:r>
      <w:r>
        <w:rPr/>
        <w:t>scheme</w:t>
      </w:r>
      <w:r>
        <w:rPr>
          <w:spacing w:val="-21"/>
        </w:rPr>
        <w:t> </w:t>
      </w:r>
      <w:r>
        <w:rPr/>
        <w:t>is</w:t>
      </w:r>
      <w:r>
        <w:rPr>
          <w:spacing w:val="-21"/>
        </w:rPr>
        <w:t> </w:t>
      </w:r>
      <w:r>
        <w:rPr/>
        <w:t>an ideal</w:t>
      </w:r>
      <w:r>
        <w:rPr>
          <w:spacing w:val="-15"/>
        </w:rPr>
        <w:t> </w:t>
      </w:r>
      <w:r>
        <w:rPr/>
        <w:t>example</w:t>
      </w:r>
      <w:r>
        <w:rPr>
          <w:spacing w:val="-15"/>
        </w:rPr>
        <w:t> </w:t>
      </w:r>
      <w:r>
        <w:rPr/>
        <w:t>in</w:t>
      </w:r>
      <w:r>
        <w:rPr>
          <w:spacing w:val="-15"/>
        </w:rPr>
        <w:t> </w:t>
      </w:r>
      <w:r>
        <w:rPr/>
        <w:t>the</w:t>
      </w:r>
      <w:r>
        <w:rPr>
          <w:spacing w:val="-15"/>
        </w:rPr>
        <w:t> </w:t>
      </w:r>
      <w:r>
        <w:rPr/>
        <w:t>higher</w:t>
      </w:r>
      <w:r>
        <w:rPr>
          <w:spacing w:val="-15"/>
        </w:rPr>
        <w:t> </w:t>
      </w:r>
      <w:r>
        <w:rPr/>
        <w:t>education</w:t>
      </w:r>
      <w:r>
        <w:rPr>
          <w:spacing w:val="-15"/>
        </w:rPr>
        <w:t> </w:t>
      </w:r>
      <w:r>
        <w:rPr/>
        <w:t>and corporate</w:t>
      </w:r>
      <w:r>
        <w:rPr>
          <w:spacing w:val="-16"/>
        </w:rPr>
        <w:t> </w:t>
      </w:r>
      <w:r>
        <w:rPr/>
        <w:t>sectors</w:t>
      </w:r>
      <w:r>
        <w:rPr>
          <w:spacing w:val="-16"/>
        </w:rPr>
        <w:t> </w:t>
      </w:r>
      <w:r>
        <w:rPr/>
        <w:t>of</w:t>
      </w:r>
      <w:r>
        <w:rPr>
          <w:spacing w:val="-16"/>
        </w:rPr>
        <w:t> </w:t>
      </w:r>
      <w:r>
        <w:rPr/>
        <w:t>inclusive</w:t>
      </w:r>
      <w:r>
        <w:rPr>
          <w:spacing w:val="-16"/>
        </w:rPr>
        <w:t> </w:t>
      </w:r>
      <w:r>
        <w:rPr/>
        <w:t>practice.</w:t>
      </w:r>
    </w:p>
    <w:p>
      <w:pPr>
        <w:pStyle w:val="BodyText"/>
        <w:rPr>
          <w:sz w:val="14"/>
        </w:rPr>
      </w:pPr>
    </w:p>
    <w:p>
      <w:pPr>
        <w:pStyle w:val="BodyText"/>
        <w:ind w:left="107" w:right="-1"/>
      </w:pPr>
      <w:r>
        <w:rPr>
          <w:spacing w:val="3"/>
          <w:w w:val="98"/>
        </w:rPr>
        <w:t>D</w:t>
      </w:r>
      <w:r>
        <w:rPr>
          <w:spacing w:val="1"/>
          <w:w w:val="95"/>
        </w:rPr>
        <w:t>u</w:t>
      </w:r>
      <w:r>
        <w:rPr>
          <w:spacing w:val="1"/>
          <w:w w:val="95"/>
        </w:rPr>
        <w:t>r</w:t>
      </w:r>
      <w:r>
        <w:rPr>
          <w:spacing w:val="1"/>
          <w:w w:val="95"/>
        </w:rPr>
        <w:t>i</w:t>
      </w:r>
      <w:r>
        <w:rPr>
          <w:spacing w:val="2"/>
          <w:w w:val="95"/>
        </w:rPr>
        <w:t>n</w:t>
      </w:r>
      <w:r>
        <w:rPr>
          <w:w w:val="102"/>
        </w:rPr>
        <w:t>g</w:t>
      </w:r>
      <w:r>
        <w:rPr>
          <w:spacing w:val="-12"/>
        </w:rPr>
        <w:t> </w:t>
      </w:r>
      <w:r>
        <w:rPr>
          <w:spacing w:val="2"/>
          <w:w w:val="93"/>
        </w:rPr>
        <w:t>2</w:t>
      </w:r>
      <w:r>
        <w:rPr>
          <w:spacing w:val="1"/>
          <w:w w:val="111"/>
        </w:rPr>
        <w:t>0</w:t>
      </w:r>
      <w:r>
        <w:rPr>
          <w:spacing w:val="4"/>
          <w:w w:val="54"/>
        </w:rPr>
        <w:t>1</w:t>
      </w:r>
      <w:r>
        <w:rPr>
          <w:spacing w:val="4"/>
          <w:w w:val="101"/>
        </w:rPr>
        <w:t>6</w:t>
      </w:r>
      <w:r>
        <w:rPr>
          <w:w w:val="68"/>
        </w:rPr>
        <w:t>,</w:t>
      </w:r>
      <w:r>
        <w:rPr>
          <w:spacing w:val="-12"/>
        </w:rPr>
        <w:t> </w:t>
      </w:r>
      <w:r>
        <w:rPr>
          <w:w w:val="102"/>
        </w:rPr>
        <w:t>t</w:t>
      </w:r>
      <w:r>
        <w:rPr>
          <w:spacing w:val="2"/>
          <w:w w:val="95"/>
        </w:rPr>
        <w:t>h</w:t>
      </w:r>
      <w:r>
        <w:rPr>
          <w:w w:val="95"/>
        </w:rPr>
        <w:t>e</w:t>
      </w:r>
      <w:r>
        <w:rPr>
          <w:spacing w:val="-12"/>
        </w:rPr>
        <w:t> </w:t>
      </w:r>
      <w:r>
        <w:rPr>
          <w:spacing w:val="3"/>
          <w:w w:val="99"/>
        </w:rPr>
        <w:t>U</w:t>
      </w:r>
      <w:r>
        <w:rPr>
          <w:spacing w:val="1"/>
          <w:w w:val="95"/>
        </w:rPr>
        <w:t>n</w:t>
      </w:r>
      <w:r>
        <w:rPr>
          <w:w w:val="95"/>
        </w:rPr>
        <w:t>i</w:t>
      </w:r>
      <w:r>
        <w:rPr>
          <w:spacing w:val="-1"/>
          <w:w w:val="101"/>
        </w:rPr>
        <w:t>v</w:t>
      </w:r>
      <w:r>
        <w:rPr>
          <w:spacing w:val="2"/>
          <w:w w:val="95"/>
        </w:rPr>
        <w:t>e</w:t>
      </w:r>
      <w:r>
        <w:rPr>
          <w:spacing w:val="2"/>
          <w:w w:val="95"/>
        </w:rPr>
        <w:t>r</w:t>
      </w:r>
      <w:r>
        <w:rPr>
          <w:w w:val="95"/>
        </w:rPr>
        <w:t>s</w:t>
      </w:r>
      <w:r>
        <w:rPr>
          <w:w w:val="95"/>
        </w:rPr>
        <w:t>i</w:t>
      </w:r>
      <w:r>
        <w:rPr>
          <w:spacing w:val="4"/>
          <w:w w:val="102"/>
        </w:rPr>
        <w:t>t</w:t>
      </w:r>
      <w:r>
        <w:rPr>
          <w:w w:val="101"/>
        </w:rPr>
        <w:t>y</w:t>
      </w:r>
      <w:r>
        <w:rPr>
          <w:spacing w:val="-12"/>
        </w:rPr>
        <w:t> </w:t>
      </w:r>
      <w:r>
        <w:rPr>
          <w:spacing w:val="3"/>
          <w:w w:val="95"/>
        </w:rPr>
        <w:t>s</w:t>
      </w:r>
      <w:r>
        <w:rPr>
          <w:spacing w:val="-1"/>
          <w:w w:val="94"/>
        </w:rPr>
        <w:t>a</w:t>
      </w:r>
      <w:r>
        <w:rPr>
          <w:w w:val="101"/>
        </w:rPr>
        <w:t>w</w:t>
      </w:r>
      <w:r>
        <w:rPr>
          <w:spacing w:val="-12"/>
        </w:rPr>
        <w:t> </w:t>
      </w:r>
      <w:r>
        <w:rPr>
          <w:spacing w:val="2"/>
          <w:w w:val="94"/>
        </w:rPr>
        <w:t>a</w:t>
      </w:r>
      <w:r>
        <w:rPr>
          <w:w w:val="95"/>
        </w:rPr>
        <w:t>n</w:t>
      </w:r>
    </w:p>
    <w:p>
      <w:pPr>
        <w:pStyle w:val="BodyText"/>
        <w:spacing w:line="249" w:lineRule="auto" w:before="7"/>
        <w:ind w:left="107" w:right="443"/>
      </w:pPr>
      <w:r>
        <w:rPr/>
        <w:t>8%</w:t>
      </w:r>
      <w:r>
        <w:rPr>
          <w:spacing w:val="-24"/>
        </w:rPr>
        <w:t> </w:t>
      </w:r>
      <w:r>
        <w:rPr/>
        <w:t>increase</w:t>
      </w:r>
      <w:r>
        <w:rPr>
          <w:spacing w:val="-24"/>
        </w:rPr>
        <w:t> </w:t>
      </w:r>
      <w:r>
        <w:rPr/>
        <w:t>in</w:t>
      </w:r>
      <w:r>
        <w:rPr>
          <w:spacing w:val="-24"/>
        </w:rPr>
        <w:t> </w:t>
      </w:r>
      <w:r>
        <w:rPr/>
        <w:t>requests</w:t>
      </w:r>
      <w:r>
        <w:rPr>
          <w:spacing w:val="-24"/>
        </w:rPr>
        <w:t> </w:t>
      </w:r>
      <w:r>
        <w:rPr/>
        <w:t>for</w:t>
      </w:r>
      <w:r>
        <w:rPr>
          <w:spacing w:val="-24"/>
        </w:rPr>
        <w:t> </w:t>
      </w:r>
      <w:r>
        <w:rPr/>
        <w:t>Reasonable Adjustment</w:t>
      </w:r>
      <w:r>
        <w:rPr>
          <w:spacing w:val="-16"/>
        </w:rPr>
        <w:t> </w:t>
      </w:r>
      <w:r>
        <w:rPr/>
        <w:t>Plans</w:t>
      </w:r>
      <w:r>
        <w:rPr>
          <w:spacing w:val="-16"/>
        </w:rPr>
        <w:t> </w:t>
      </w:r>
      <w:r>
        <w:rPr/>
        <w:t>(RAP),</w:t>
      </w:r>
      <w:r>
        <w:rPr>
          <w:spacing w:val="-16"/>
        </w:rPr>
        <w:t> </w:t>
      </w:r>
      <w:r>
        <w:rPr/>
        <w:t>resulting</w:t>
      </w:r>
      <w:r>
        <w:rPr>
          <w:spacing w:val="-16"/>
        </w:rPr>
        <w:t> </w:t>
      </w:r>
      <w:r>
        <w:rPr/>
        <w:t>in</w:t>
      </w:r>
    </w:p>
    <w:p>
      <w:pPr>
        <w:pStyle w:val="BodyText"/>
        <w:spacing w:line="249" w:lineRule="auto"/>
        <w:ind w:left="107" w:right="234"/>
      </w:pPr>
      <w:r>
        <w:rPr/>
        <w:t>380 registered RAP for staff with a range of disabilities.</w:t>
      </w:r>
    </w:p>
    <w:p>
      <w:pPr>
        <w:pStyle w:val="BodyText"/>
        <w:spacing w:before="1"/>
        <w:rPr>
          <w:sz w:val="20"/>
        </w:rPr>
      </w:pPr>
      <w:r>
        <w:rPr/>
        <w:br w:type="column"/>
      </w:r>
      <w:r>
        <w:rPr>
          <w:sz w:val="20"/>
        </w:rPr>
      </w:r>
    </w:p>
    <w:p>
      <w:pPr>
        <w:pStyle w:val="BodyText"/>
        <w:spacing w:line="249" w:lineRule="auto"/>
        <w:ind w:left="107" w:right="101"/>
      </w:pPr>
      <w:r>
        <w:rPr/>
        <w:t>During</w:t>
      </w:r>
      <w:r>
        <w:rPr>
          <w:spacing w:val="-22"/>
        </w:rPr>
        <w:t> </w:t>
      </w:r>
      <w:r>
        <w:rPr/>
        <w:t>the</w:t>
      </w:r>
      <w:r>
        <w:rPr>
          <w:spacing w:val="-22"/>
        </w:rPr>
        <w:t> </w:t>
      </w:r>
      <w:r>
        <w:rPr/>
        <w:t>year,</w:t>
      </w:r>
      <w:r>
        <w:rPr>
          <w:spacing w:val="-22"/>
        </w:rPr>
        <w:t> </w:t>
      </w:r>
      <w:r>
        <w:rPr/>
        <w:t>the</w:t>
      </w:r>
      <w:r>
        <w:rPr>
          <w:spacing w:val="-22"/>
        </w:rPr>
        <w:t> </w:t>
      </w:r>
      <w:r>
        <w:rPr/>
        <w:t>University</w:t>
      </w:r>
      <w:r>
        <w:rPr>
          <w:spacing w:val="-22"/>
        </w:rPr>
        <w:t> </w:t>
      </w:r>
      <w:r>
        <w:rPr/>
        <w:t>administered its</w:t>
      </w:r>
      <w:r>
        <w:rPr>
          <w:spacing w:val="-17"/>
        </w:rPr>
        <w:t> </w:t>
      </w:r>
      <w:r>
        <w:rPr/>
        <w:t>first-ever</w:t>
      </w:r>
      <w:r>
        <w:rPr>
          <w:spacing w:val="-17"/>
        </w:rPr>
        <w:t> </w:t>
      </w:r>
      <w:r>
        <w:rPr/>
        <w:t>survey</w:t>
      </w:r>
      <w:r>
        <w:rPr>
          <w:spacing w:val="-17"/>
        </w:rPr>
        <w:t> </w:t>
      </w:r>
      <w:r>
        <w:rPr/>
        <w:t>of</w:t>
      </w:r>
      <w:r>
        <w:rPr>
          <w:spacing w:val="-17"/>
        </w:rPr>
        <w:t> </w:t>
      </w:r>
      <w:r>
        <w:rPr/>
        <w:t>staff</w:t>
      </w:r>
      <w:r>
        <w:rPr>
          <w:spacing w:val="-17"/>
        </w:rPr>
        <w:t> </w:t>
      </w:r>
      <w:r>
        <w:rPr/>
        <w:t>with</w:t>
      </w:r>
      <w:r>
        <w:rPr>
          <w:spacing w:val="-17"/>
        </w:rPr>
        <w:t> </w:t>
      </w:r>
      <w:r>
        <w:rPr/>
        <w:t>disabilities, which</w:t>
      </w:r>
      <w:r>
        <w:rPr>
          <w:spacing w:val="-19"/>
        </w:rPr>
        <w:t> </w:t>
      </w:r>
      <w:r>
        <w:rPr/>
        <w:t>was</w:t>
      </w:r>
      <w:r>
        <w:rPr>
          <w:spacing w:val="-19"/>
        </w:rPr>
        <w:t> </w:t>
      </w:r>
      <w:r>
        <w:rPr/>
        <w:t>answered</w:t>
      </w:r>
      <w:r>
        <w:rPr>
          <w:spacing w:val="-19"/>
        </w:rPr>
        <w:t> </w:t>
      </w:r>
      <w:r>
        <w:rPr/>
        <w:t>by</w:t>
      </w:r>
      <w:r>
        <w:rPr>
          <w:spacing w:val="-19"/>
        </w:rPr>
        <w:t> </w:t>
      </w:r>
      <w:r>
        <w:rPr/>
        <w:t>around</w:t>
      </w:r>
      <w:r>
        <w:rPr>
          <w:spacing w:val="-19"/>
        </w:rPr>
        <w:t> </w:t>
      </w:r>
      <w:r>
        <w:rPr/>
        <w:t>15</w:t>
      </w:r>
      <w:r>
        <w:rPr>
          <w:spacing w:val="-19"/>
        </w:rPr>
        <w:t> </w:t>
      </w:r>
      <w:r>
        <w:rPr/>
        <w:t>per</w:t>
      </w:r>
      <w:r>
        <w:rPr>
          <w:spacing w:val="-19"/>
        </w:rPr>
        <w:t> </w:t>
      </w:r>
      <w:r>
        <w:rPr/>
        <w:t>cent of staff members on a RAP. The results showed</w:t>
      </w:r>
      <w:r>
        <w:rPr>
          <w:spacing w:val="-15"/>
        </w:rPr>
        <w:t> </w:t>
      </w:r>
      <w:r>
        <w:rPr/>
        <w:t>that</w:t>
      </w:r>
      <w:r>
        <w:rPr>
          <w:spacing w:val="-15"/>
        </w:rPr>
        <w:t> </w:t>
      </w:r>
      <w:r>
        <w:rPr>
          <w:spacing w:val="-4"/>
        </w:rPr>
        <w:t>74</w:t>
      </w:r>
      <w:r>
        <w:rPr>
          <w:spacing w:val="-15"/>
        </w:rPr>
        <w:t> </w:t>
      </w:r>
      <w:r>
        <w:rPr/>
        <w:t>per</w:t>
      </w:r>
      <w:r>
        <w:rPr>
          <w:spacing w:val="-15"/>
        </w:rPr>
        <w:t> </w:t>
      </w:r>
      <w:r>
        <w:rPr/>
        <w:t>cent</w:t>
      </w:r>
      <w:r>
        <w:rPr>
          <w:spacing w:val="-15"/>
        </w:rPr>
        <w:t> </w:t>
      </w:r>
      <w:r>
        <w:rPr/>
        <w:t>of</w:t>
      </w:r>
      <w:r>
        <w:rPr>
          <w:spacing w:val="-15"/>
        </w:rPr>
        <w:t> </w:t>
      </w:r>
      <w:r>
        <w:rPr/>
        <w:t>staff</w:t>
      </w:r>
      <w:r>
        <w:rPr>
          <w:spacing w:val="-15"/>
        </w:rPr>
        <w:t> </w:t>
      </w:r>
      <w:r>
        <w:rPr/>
        <w:t>on</w:t>
      </w:r>
      <w:r>
        <w:rPr>
          <w:spacing w:val="-15"/>
        </w:rPr>
        <w:t> </w:t>
      </w:r>
      <w:r>
        <w:rPr/>
        <w:t>a</w:t>
      </w:r>
    </w:p>
    <w:p>
      <w:pPr>
        <w:pStyle w:val="BodyText"/>
        <w:spacing w:line="249" w:lineRule="auto"/>
        <w:ind w:left="107" w:right="126"/>
      </w:pPr>
      <w:r>
        <w:rPr/>
        <w:t>RAP believed the support they received was effective, 82 per cent believed the University took all reasonable steps to enable their participation in the workplace.</w:t>
      </w:r>
    </w:p>
    <w:p>
      <w:pPr>
        <w:pStyle w:val="BodyText"/>
        <w:rPr>
          <w:sz w:val="14"/>
        </w:rPr>
      </w:pPr>
    </w:p>
    <w:p>
      <w:pPr>
        <w:pStyle w:val="BodyText"/>
        <w:spacing w:line="249" w:lineRule="auto"/>
        <w:ind w:left="107" w:right="182"/>
      </w:pPr>
      <w:r>
        <w:rPr>
          <w:w w:val="80"/>
        </w:rPr>
        <w:t>In </w:t>
      </w:r>
      <w:r>
        <w:rPr>
          <w:w w:val="85"/>
        </w:rPr>
        <w:t>2016, </w:t>
      </w:r>
      <w:r>
        <w:rPr>
          <w:w w:val="97"/>
        </w:rPr>
        <w:t>the </w:t>
      </w:r>
      <w:r>
        <w:rPr>
          <w:w w:val="98"/>
        </w:rPr>
        <w:t>development </w:t>
      </w:r>
      <w:r>
        <w:rPr>
          <w:w w:val="99"/>
        </w:rPr>
        <w:t>of </w:t>
      </w:r>
      <w:r>
        <w:rPr>
          <w:w w:val="97"/>
        </w:rPr>
        <w:t>the </w:t>
      </w:r>
      <w:r>
        <w:rPr>
          <w:w w:val="94"/>
        </w:rPr>
        <w:t>2017–2020 </w:t>
      </w:r>
      <w:r>
        <w:rPr/>
        <w:t>Disability Action Plan (DAP) commenced. It has been informed through:</w:t>
      </w:r>
    </w:p>
    <w:p>
      <w:pPr>
        <w:pStyle w:val="BodyText"/>
        <w:spacing w:before="55"/>
        <w:ind w:left="107" w:right="101"/>
      </w:pPr>
      <w:r>
        <w:rPr>
          <w:rFonts w:ascii="Century Gothic" w:hAnsi="Century Gothic"/>
          <w:b/>
          <w:w w:val="115"/>
        </w:rPr>
        <w:t>≥ </w:t>
      </w:r>
      <w:r>
        <w:rPr>
          <w:w w:val="105"/>
        </w:rPr>
        <w:t>a recent review of the previous DAP</w:t>
      </w:r>
    </w:p>
    <w:p>
      <w:pPr>
        <w:pStyle w:val="BodyText"/>
        <w:spacing w:line="244" w:lineRule="auto" w:before="60"/>
        <w:ind w:left="305" w:right="36" w:hanging="199"/>
      </w:pPr>
      <w:r>
        <w:rPr>
          <w:rFonts w:ascii="Century Gothic" w:hAnsi="Century Gothic"/>
          <w:b/>
          <w:w w:val="115"/>
        </w:rPr>
        <w:t>≥</w:t>
      </w:r>
      <w:r>
        <w:rPr>
          <w:rFonts w:ascii="Century Gothic" w:hAnsi="Century Gothic"/>
          <w:b/>
          <w:spacing w:val="-8"/>
          <w:w w:val="115"/>
        </w:rPr>
        <w:t> </w:t>
      </w:r>
      <w:r>
        <w:rPr>
          <w:w w:val="105"/>
        </w:rPr>
        <w:t>an</w:t>
      </w:r>
      <w:r>
        <w:rPr>
          <w:spacing w:val="-29"/>
          <w:w w:val="105"/>
        </w:rPr>
        <w:t> </w:t>
      </w:r>
      <w:r>
        <w:rPr>
          <w:w w:val="105"/>
        </w:rPr>
        <w:t>online</w:t>
      </w:r>
      <w:r>
        <w:rPr>
          <w:spacing w:val="-29"/>
          <w:w w:val="105"/>
        </w:rPr>
        <w:t> </w:t>
      </w:r>
      <w:r>
        <w:rPr>
          <w:w w:val="105"/>
        </w:rPr>
        <w:t>survey</w:t>
      </w:r>
      <w:r>
        <w:rPr>
          <w:spacing w:val="-29"/>
          <w:w w:val="105"/>
        </w:rPr>
        <w:t> </w:t>
      </w:r>
      <w:r>
        <w:rPr>
          <w:w w:val="105"/>
        </w:rPr>
        <w:t>of</w:t>
      </w:r>
      <w:r>
        <w:rPr>
          <w:spacing w:val="-29"/>
          <w:w w:val="105"/>
        </w:rPr>
        <w:t> </w:t>
      </w:r>
      <w:r>
        <w:rPr>
          <w:w w:val="105"/>
        </w:rPr>
        <w:t>students</w:t>
      </w:r>
      <w:r>
        <w:rPr>
          <w:spacing w:val="-29"/>
          <w:w w:val="105"/>
        </w:rPr>
        <w:t> </w:t>
      </w:r>
      <w:r>
        <w:rPr>
          <w:w w:val="105"/>
        </w:rPr>
        <w:t>and</w:t>
      </w:r>
      <w:r>
        <w:rPr>
          <w:spacing w:val="-29"/>
          <w:w w:val="105"/>
        </w:rPr>
        <w:t> </w:t>
      </w:r>
      <w:r>
        <w:rPr>
          <w:w w:val="105"/>
        </w:rPr>
        <w:t>staff</w:t>
      </w:r>
      <w:r>
        <w:rPr>
          <w:spacing w:val="-29"/>
          <w:w w:val="105"/>
        </w:rPr>
        <w:t> </w:t>
      </w:r>
      <w:r>
        <w:rPr>
          <w:w w:val="105"/>
        </w:rPr>
        <w:t>with disability</w:t>
      </w:r>
    </w:p>
    <w:p>
      <w:pPr>
        <w:pStyle w:val="BodyText"/>
        <w:spacing w:line="244" w:lineRule="auto" w:before="58"/>
        <w:ind w:left="305" w:right="302" w:hanging="199"/>
      </w:pPr>
      <w:r>
        <w:rPr>
          <w:rFonts w:ascii="Century Gothic" w:hAnsi="Century Gothic"/>
          <w:b/>
          <w:w w:val="115"/>
        </w:rPr>
        <w:t>≥</w:t>
      </w:r>
      <w:r>
        <w:rPr>
          <w:rFonts w:ascii="Century Gothic" w:hAnsi="Century Gothic"/>
          <w:b/>
          <w:spacing w:val="-13"/>
          <w:w w:val="115"/>
        </w:rPr>
        <w:t> </w:t>
      </w:r>
      <w:r>
        <w:rPr>
          <w:w w:val="105"/>
        </w:rPr>
        <w:t>interviews</w:t>
      </w:r>
      <w:r>
        <w:rPr>
          <w:spacing w:val="-32"/>
          <w:w w:val="105"/>
        </w:rPr>
        <w:t> </w:t>
      </w:r>
      <w:r>
        <w:rPr>
          <w:w w:val="105"/>
        </w:rPr>
        <w:t>with</w:t>
      </w:r>
      <w:r>
        <w:rPr>
          <w:spacing w:val="-32"/>
          <w:w w:val="105"/>
        </w:rPr>
        <w:t> </w:t>
      </w:r>
      <w:r>
        <w:rPr>
          <w:w w:val="105"/>
        </w:rPr>
        <w:t>staff</w:t>
      </w:r>
      <w:r>
        <w:rPr>
          <w:spacing w:val="-32"/>
          <w:w w:val="105"/>
        </w:rPr>
        <w:t> </w:t>
      </w:r>
      <w:r>
        <w:rPr>
          <w:w w:val="105"/>
        </w:rPr>
        <w:t>in</w:t>
      </w:r>
      <w:r>
        <w:rPr>
          <w:spacing w:val="-32"/>
          <w:w w:val="105"/>
        </w:rPr>
        <w:t> </w:t>
      </w:r>
      <w:r>
        <w:rPr>
          <w:w w:val="105"/>
        </w:rPr>
        <w:t>key</w:t>
      </w:r>
      <w:r>
        <w:rPr>
          <w:spacing w:val="-32"/>
          <w:w w:val="105"/>
        </w:rPr>
        <w:t> </w:t>
      </w:r>
      <w:r>
        <w:rPr>
          <w:w w:val="105"/>
        </w:rPr>
        <w:t>operational </w:t>
      </w:r>
      <w:r>
        <w:rPr/>
        <w:t>areas</w:t>
      </w:r>
      <w:r>
        <w:rPr>
          <w:spacing w:val="-16"/>
        </w:rPr>
        <w:t> </w:t>
      </w:r>
      <w:r>
        <w:rPr/>
        <w:t>with</w:t>
      </w:r>
      <w:r>
        <w:rPr>
          <w:spacing w:val="-16"/>
        </w:rPr>
        <w:t> </w:t>
      </w:r>
      <w:r>
        <w:rPr/>
        <w:t>high</w:t>
      </w:r>
      <w:r>
        <w:rPr>
          <w:spacing w:val="-16"/>
        </w:rPr>
        <w:t> </w:t>
      </w:r>
      <w:r>
        <w:rPr/>
        <w:t>strategic</w:t>
      </w:r>
      <w:r>
        <w:rPr>
          <w:spacing w:val="-16"/>
        </w:rPr>
        <w:t> </w:t>
      </w:r>
      <w:r>
        <w:rPr/>
        <w:t>impact</w:t>
      </w:r>
    </w:p>
    <w:p>
      <w:pPr>
        <w:pStyle w:val="BodyText"/>
        <w:spacing w:line="247" w:lineRule="auto" w:before="58"/>
        <w:ind w:left="305" w:right="-2" w:hanging="199"/>
      </w:pPr>
      <w:r>
        <w:rPr>
          <w:rFonts w:ascii="Century Gothic" w:hAnsi="Century Gothic"/>
          <w:b/>
          <w:w w:val="115"/>
        </w:rPr>
        <w:t>≥ </w:t>
      </w:r>
      <w:r>
        <w:rPr/>
        <w:t>examination of other existing data on quality of service and outcomes for students</w:t>
      </w:r>
      <w:r>
        <w:rPr>
          <w:spacing w:val="-16"/>
        </w:rPr>
        <w:t> </w:t>
      </w:r>
      <w:r>
        <w:rPr/>
        <w:t>and</w:t>
      </w:r>
      <w:r>
        <w:rPr>
          <w:spacing w:val="-16"/>
        </w:rPr>
        <w:t> </w:t>
      </w:r>
      <w:r>
        <w:rPr/>
        <w:t>staff</w:t>
      </w:r>
      <w:r>
        <w:rPr>
          <w:spacing w:val="-16"/>
        </w:rPr>
        <w:t> </w:t>
      </w:r>
      <w:r>
        <w:rPr/>
        <w:t>with</w:t>
      </w:r>
      <w:r>
        <w:rPr>
          <w:spacing w:val="-16"/>
        </w:rPr>
        <w:t> </w:t>
      </w:r>
      <w:r>
        <w:rPr/>
        <w:t>disability,</w:t>
      </w:r>
      <w:r>
        <w:rPr>
          <w:spacing w:val="-16"/>
        </w:rPr>
        <w:t> </w:t>
      </w:r>
      <w:r>
        <w:rPr/>
        <w:t>including </w:t>
      </w:r>
      <w:r>
        <w:rPr>
          <w:spacing w:val="1"/>
          <w:w w:val="97"/>
        </w:rPr>
        <w:t>Disability</w:t>
      </w:r>
      <w:r>
        <w:rPr>
          <w:w w:val="97"/>
        </w:rPr>
        <w:t> </w:t>
      </w:r>
      <w:r>
        <w:rPr>
          <w:spacing w:val="1"/>
          <w:w w:val="97"/>
        </w:rPr>
        <w:t>Services</w:t>
      </w:r>
      <w:r>
        <w:rPr>
          <w:w w:val="97"/>
        </w:rPr>
        <w:t> </w:t>
      </w:r>
      <w:r>
        <w:rPr>
          <w:spacing w:val="1"/>
          <w:w w:val="98"/>
        </w:rPr>
        <w:t>Gap</w:t>
      </w:r>
      <w:r>
        <w:rPr>
          <w:w w:val="98"/>
        </w:rPr>
        <w:t> </w:t>
      </w:r>
      <w:r>
        <w:rPr>
          <w:spacing w:val="1"/>
          <w:w w:val="98"/>
        </w:rPr>
        <w:t>Analysis</w:t>
      </w:r>
      <w:r>
        <w:rPr>
          <w:spacing w:val="-33"/>
          <w:w w:val="98"/>
        </w:rPr>
        <w:t> </w:t>
      </w:r>
      <w:r>
        <w:rPr>
          <w:spacing w:val="1"/>
          <w:w w:val="92"/>
        </w:rPr>
        <w:t>(2016)</w:t>
      </w:r>
      <w:r>
        <w:rPr>
          <w:w w:val="92"/>
        </w:rPr>
        <w:t> </w:t>
      </w:r>
      <w:r>
        <w:rPr>
          <w:spacing w:val="1"/>
          <w:w w:val="97"/>
        </w:rPr>
        <w:t>and</w:t>
      </w:r>
      <w:r>
        <w:rPr>
          <w:w w:val="97"/>
        </w:rPr>
        <w:t> </w:t>
      </w:r>
      <w:r>
        <w:rPr>
          <w:spacing w:val="-1"/>
          <w:w w:val="100"/>
        </w:rPr>
        <w:t>MyVoice</w:t>
      </w:r>
      <w:r>
        <w:rPr>
          <w:spacing w:val="-6"/>
          <w:w w:val="100"/>
        </w:rPr>
        <w:t> </w:t>
      </w:r>
      <w:r>
        <w:rPr>
          <w:spacing w:val="1"/>
          <w:w w:val="88"/>
        </w:rPr>
        <w:t>2015</w:t>
      </w:r>
    </w:p>
    <w:p>
      <w:pPr>
        <w:pStyle w:val="BodyText"/>
        <w:spacing w:line="244" w:lineRule="auto" w:before="57"/>
        <w:ind w:left="305" w:right="101" w:hanging="199"/>
      </w:pPr>
      <w:r>
        <w:rPr>
          <w:rFonts w:ascii="Century Gothic" w:hAnsi="Century Gothic"/>
          <w:b/>
          <w:w w:val="115"/>
        </w:rPr>
        <w:t>≥ </w:t>
      </w:r>
      <w:r>
        <w:rPr/>
        <w:t>guidance from the DAP Advisory Committee.</w:t>
      </w:r>
    </w:p>
    <w:p>
      <w:pPr>
        <w:pStyle w:val="BodyText"/>
        <w:spacing w:before="4"/>
        <w:rPr>
          <w:sz w:val="14"/>
        </w:rPr>
      </w:pPr>
    </w:p>
    <w:p>
      <w:pPr>
        <w:pStyle w:val="BodyText"/>
        <w:spacing w:line="249" w:lineRule="auto"/>
        <w:ind w:left="107" w:right="-8"/>
      </w:pPr>
      <w:r>
        <w:rPr/>
        <w:t>The University hosted two National Disability Coordination Officer programs. Officers</w:t>
      </w:r>
    </w:p>
    <w:p>
      <w:pPr>
        <w:pStyle w:val="BodyText"/>
        <w:spacing w:line="249" w:lineRule="auto"/>
        <w:ind w:left="107" w:right="157"/>
      </w:pPr>
      <w:r>
        <w:rPr/>
        <w:t>of those programs developed over 80 resources with targeted information for students with disabilities and their parents or other stakeholders. Nationally, </w:t>
      </w:r>
      <w:r>
        <w:rPr>
          <w:spacing w:val="2"/>
        </w:rPr>
        <w:t>30,000 </w:t>
      </w:r>
      <w:r>
        <w:rPr/>
        <w:t>stakeholders</w:t>
      </w:r>
      <w:r>
        <w:rPr>
          <w:spacing w:val="-17"/>
        </w:rPr>
        <w:t> </w:t>
      </w:r>
      <w:r>
        <w:rPr/>
        <w:t>accessed</w:t>
      </w:r>
      <w:r>
        <w:rPr>
          <w:spacing w:val="-17"/>
        </w:rPr>
        <w:t> </w:t>
      </w:r>
      <w:r>
        <w:rPr/>
        <w:t>the</w:t>
      </w:r>
      <w:r>
        <w:rPr>
          <w:spacing w:val="-17"/>
        </w:rPr>
        <w:t> </w:t>
      </w:r>
      <w:r>
        <w:rPr/>
        <w:t>materials</w:t>
      </w:r>
      <w:r>
        <w:rPr>
          <w:spacing w:val="-17"/>
        </w:rPr>
        <w:t> </w:t>
      </w:r>
      <w:r>
        <w:rPr/>
        <w:t>over</w:t>
      </w:r>
      <w:r>
        <w:rPr>
          <w:spacing w:val="-17"/>
        </w:rPr>
        <w:t> </w:t>
      </w:r>
      <w:r>
        <w:rPr/>
        <w:t>a 12-month</w:t>
      </w:r>
      <w:r>
        <w:rPr>
          <w:spacing w:val="-22"/>
        </w:rPr>
        <w:t> </w:t>
      </w:r>
      <w:r>
        <w:rPr/>
        <w:t>period.</w:t>
      </w:r>
      <w:r>
        <w:rPr>
          <w:spacing w:val="-22"/>
        </w:rPr>
        <w:t> </w:t>
      </w:r>
      <w:r>
        <w:rPr/>
        <w:t>The</w:t>
      </w:r>
      <w:r>
        <w:rPr>
          <w:spacing w:val="-22"/>
        </w:rPr>
        <w:t> </w:t>
      </w:r>
      <w:r>
        <w:rPr/>
        <w:t>officers</w:t>
      </w:r>
      <w:r>
        <w:rPr>
          <w:spacing w:val="-22"/>
        </w:rPr>
        <w:t> </w:t>
      </w:r>
      <w:r>
        <w:rPr/>
        <w:t>also</w:t>
      </w:r>
      <w:r>
        <w:rPr>
          <w:spacing w:val="-22"/>
        </w:rPr>
        <w:t> </w:t>
      </w:r>
      <w:r>
        <w:rPr/>
        <w:t>made</w:t>
      </w:r>
      <w:r>
        <w:rPr>
          <w:spacing w:val="-22"/>
        </w:rPr>
        <w:t> </w:t>
      </w:r>
      <w:r>
        <w:rPr/>
        <w:t>26 presentations at conferences, events and networks,</w:t>
      </w:r>
      <w:r>
        <w:rPr>
          <w:spacing w:val="-15"/>
        </w:rPr>
        <w:t> </w:t>
      </w:r>
      <w:r>
        <w:rPr/>
        <w:t>and</w:t>
      </w:r>
      <w:r>
        <w:rPr>
          <w:spacing w:val="-15"/>
        </w:rPr>
        <w:t> </w:t>
      </w:r>
      <w:r>
        <w:rPr/>
        <w:t>hosted</w:t>
      </w:r>
      <w:r>
        <w:rPr>
          <w:spacing w:val="-15"/>
        </w:rPr>
        <w:t> </w:t>
      </w:r>
      <w:r>
        <w:rPr/>
        <w:t>or</w:t>
      </w:r>
      <w:r>
        <w:rPr>
          <w:spacing w:val="-15"/>
        </w:rPr>
        <w:t> </w:t>
      </w:r>
      <w:r>
        <w:rPr/>
        <w:t>collaborated</w:t>
      </w:r>
      <w:r>
        <w:rPr>
          <w:spacing w:val="-15"/>
        </w:rPr>
        <w:t> </w:t>
      </w:r>
      <w:r>
        <w:rPr/>
        <w:t>on</w:t>
      </w:r>
      <w:r>
        <w:rPr>
          <w:spacing w:val="-15"/>
        </w:rPr>
        <w:t> </w:t>
      </w:r>
      <w:r>
        <w:rPr/>
        <w:t>59</w:t>
      </w:r>
    </w:p>
    <w:p>
      <w:pPr>
        <w:pStyle w:val="BodyText"/>
        <w:spacing w:line="192" w:lineRule="exact"/>
        <w:ind w:left="107" w:right="-2"/>
      </w:pPr>
      <w:r>
        <w:rPr/>
        <w:t>events</w:t>
      </w:r>
      <w:r>
        <w:rPr>
          <w:spacing w:val="-17"/>
        </w:rPr>
        <w:t> </w:t>
      </w:r>
      <w:r>
        <w:rPr/>
        <w:t>that</w:t>
      </w:r>
      <w:r>
        <w:rPr>
          <w:spacing w:val="-17"/>
        </w:rPr>
        <w:t> </w:t>
      </w:r>
      <w:r>
        <w:rPr/>
        <w:t>attracted</w:t>
      </w:r>
      <w:r>
        <w:rPr>
          <w:spacing w:val="-17"/>
        </w:rPr>
        <w:t> </w:t>
      </w:r>
      <w:r>
        <w:rPr/>
        <w:t>about</w:t>
      </w:r>
      <w:r>
        <w:rPr>
          <w:spacing w:val="-17"/>
        </w:rPr>
        <w:t> </w:t>
      </w:r>
      <w:r>
        <w:rPr>
          <w:spacing w:val="3"/>
        </w:rPr>
        <w:t>5,500</w:t>
      </w:r>
      <w:r>
        <w:rPr>
          <w:spacing w:val="-17"/>
        </w:rPr>
        <w:t> </w:t>
      </w:r>
      <w:r>
        <w:rPr/>
        <w:t>attendees.</w:t>
      </w:r>
    </w:p>
    <w:p>
      <w:pPr>
        <w:pStyle w:val="BodyText"/>
        <w:spacing w:before="10"/>
        <w:rPr>
          <w:sz w:val="19"/>
        </w:rPr>
      </w:pPr>
    </w:p>
    <w:p>
      <w:pPr>
        <w:pStyle w:val="Heading7"/>
        <w:spacing w:line="249" w:lineRule="auto"/>
        <w:ind w:right="609"/>
      </w:pPr>
      <w:r>
        <w:rPr>
          <w:w w:val="95"/>
        </w:rPr>
        <w:t>SEXUALITY AND GENDER DIVERSITY INCLUSION</w:t>
      </w:r>
    </w:p>
    <w:p>
      <w:pPr>
        <w:pStyle w:val="BodyText"/>
        <w:spacing w:line="249" w:lineRule="auto" w:before="50"/>
        <w:ind w:left="107" w:right="88"/>
      </w:pPr>
      <w:r>
        <w:rPr>
          <w:w w:val="80"/>
        </w:rPr>
        <w:t>In </w:t>
      </w:r>
      <w:r>
        <w:rPr>
          <w:w w:val="90"/>
        </w:rPr>
        <w:t>2016 </w:t>
      </w:r>
      <w:r>
        <w:rPr>
          <w:w w:val="97"/>
        </w:rPr>
        <w:t>the </w:t>
      </w:r>
      <w:r>
        <w:rPr>
          <w:w w:val="101"/>
        </w:rPr>
        <w:t>Ally </w:t>
      </w:r>
      <w:r>
        <w:rPr>
          <w:w w:val="99"/>
        </w:rPr>
        <w:t>Network </w:t>
      </w:r>
      <w:r>
        <w:rPr>
          <w:w w:val="99"/>
        </w:rPr>
        <w:t>(co-convened </w:t>
      </w:r>
      <w:r>
        <w:rPr>
          <w:w w:val="102"/>
        </w:rPr>
        <w:t>by </w:t>
      </w:r>
      <w:r>
        <w:rPr/>
        <w:t>recognised academic leaders in gender and sexuality diversity, Dr Tinashe Dune and</w:t>
      </w:r>
    </w:p>
    <w:p>
      <w:pPr>
        <w:pStyle w:val="BodyText"/>
        <w:spacing w:line="249" w:lineRule="auto"/>
        <w:ind w:left="107" w:right="404"/>
      </w:pPr>
      <w:r>
        <w:rPr/>
        <w:t>Dr</w:t>
      </w:r>
      <w:r>
        <w:rPr>
          <w:spacing w:val="-14"/>
        </w:rPr>
        <w:t> </w:t>
      </w:r>
      <w:r>
        <w:rPr/>
        <w:t>Luce</w:t>
      </w:r>
      <w:r>
        <w:rPr>
          <w:spacing w:val="-14"/>
        </w:rPr>
        <w:t> </w:t>
      </w:r>
      <w:r>
        <w:rPr/>
        <w:t>De</w:t>
      </w:r>
      <w:r>
        <w:rPr>
          <w:spacing w:val="-14"/>
        </w:rPr>
        <w:t> </w:t>
      </w:r>
      <w:r>
        <w:rPr/>
        <w:t>Buitleir</w:t>
      </w:r>
      <w:r>
        <w:rPr>
          <w:spacing w:val="-14"/>
        </w:rPr>
        <w:t> </w:t>
      </w:r>
      <w:r>
        <w:rPr/>
        <w:t>Andrews)</w:t>
      </w:r>
      <w:r>
        <w:rPr>
          <w:spacing w:val="-14"/>
        </w:rPr>
        <w:t> </w:t>
      </w:r>
      <w:r>
        <w:rPr/>
        <w:t>continued to grow with an approximate increase in</w:t>
      </w:r>
      <w:r>
        <w:rPr>
          <w:spacing w:val="-24"/>
        </w:rPr>
        <w:t> </w:t>
      </w:r>
      <w:r>
        <w:rPr/>
        <w:t>its</w:t>
      </w:r>
      <w:r>
        <w:rPr>
          <w:spacing w:val="-24"/>
        </w:rPr>
        <w:t> </w:t>
      </w:r>
      <w:r>
        <w:rPr/>
        <w:t>membership</w:t>
      </w:r>
      <w:r>
        <w:rPr>
          <w:spacing w:val="-24"/>
        </w:rPr>
        <w:t> </w:t>
      </w:r>
      <w:r>
        <w:rPr/>
        <w:t>of</w:t>
      </w:r>
      <w:r>
        <w:rPr>
          <w:spacing w:val="-24"/>
        </w:rPr>
        <w:t> </w:t>
      </w:r>
      <w:r>
        <w:rPr>
          <w:spacing w:val="2"/>
        </w:rPr>
        <w:t>20%.</w:t>
      </w:r>
      <w:r>
        <w:rPr>
          <w:spacing w:val="-24"/>
        </w:rPr>
        <w:t> </w:t>
      </w:r>
      <w:r>
        <w:rPr/>
        <w:t>The</w:t>
      </w:r>
      <w:r>
        <w:rPr>
          <w:spacing w:val="-24"/>
        </w:rPr>
        <w:t> </w:t>
      </w:r>
      <w:r>
        <w:rPr/>
        <w:t>Network, which</w:t>
      </w:r>
      <w:r>
        <w:rPr>
          <w:spacing w:val="-20"/>
        </w:rPr>
        <w:t> </w:t>
      </w:r>
      <w:r>
        <w:rPr/>
        <w:t>was</w:t>
      </w:r>
      <w:r>
        <w:rPr>
          <w:spacing w:val="-20"/>
        </w:rPr>
        <w:t> </w:t>
      </w:r>
      <w:r>
        <w:rPr/>
        <w:t>established</w:t>
      </w:r>
      <w:r>
        <w:rPr>
          <w:spacing w:val="-20"/>
        </w:rPr>
        <w:t> </w:t>
      </w:r>
      <w:r>
        <w:rPr/>
        <w:t>nine</w:t>
      </w:r>
      <w:r>
        <w:rPr>
          <w:spacing w:val="-20"/>
        </w:rPr>
        <w:t> </w:t>
      </w:r>
      <w:r>
        <w:rPr/>
        <w:t>years</w:t>
      </w:r>
      <w:r>
        <w:rPr>
          <w:spacing w:val="-20"/>
        </w:rPr>
        <w:t> </w:t>
      </w:r>
      <w:r>
        <w:rPr/>
        <w:t>ago,</w:t>
      </w:r>
    </w:p>
    <w:p>
      <w:pPr>
        <w:pStyle w:val="BodyText"/>
        <w:spacing w:line="249" w:lineRule="auto"/>
        <w:ind w:left="107" w:right="185"/>
      </w:pPr>
      <w:r>
        <w:rPr/>
        <w:t>supports students and staff who identify as Lesbian, Gay, Bisexual, Transgender, </w:t>
      </w:r>
      <w:r>
        <w:rPr>
          <w:w w:val="95"/>
        </w:rPr>
        <w:t>Intersex and Queer (LGBTIQ).</w:t>
      </w:r>
    </w:p>
    <w:p>
      <w:pPr>
        <w:pStyle w:val="BodyText"/>
        <w:rPr>
          <w:sz w:val="20"/>
        </w:rPr>
      </w:pPr>
      <w:r>
        <w:rPr/>
        <w:br w:type="column"/>
      </w:r>
      <w:r>
        <w:rPr>
          <w:sz w:val="20"/>
        </w:rPr>
      </w:r>
    </w:p>
    <w:p>
      <w:pPr>
        <w:pStyle w:val="BodyText"/>
        <w:spacing w:line="249" w:lineRule="auto" w:before="1"/>
        <w:ind w:left="107" w:right="153"/>
      </w:pPr>
      <w:r>
        <w:rPr/>
        <w:t>The</w:t>
      </w:r>
      <w:r>
        <w:rPr>
          <w:spacing w:val="-16"/>
        </w:rPr>
        <w:t> </w:t>
      </w:r>
      <w:r>
        <w:rPr/>
        <w:t>inaugural</w:t>
      </w:r>
      <w:r>
        <w:rPr>
          <w:spacing w:val="-16"/>
        </w:rPr>
        <w:t> </w:t>
      </w:r>
      <w:r>
        <w:rPr/>
        <w:t>Australian</w:t>
      </w:r>
      <w:r>
        <w:rPr>
          <w:spacing w:val="-16"/>
        </w:rPr>
        <w:t> </w:t>
      </w:r>
      <w:r>
        <w:rPr/>
        <w:t>Ally</w:t>
      </w:r>
      <w:r>
        <w:rPr>
          <w:spacing w:val="-16"/>
        </w:rPr>
        <w:t> </w:t>
      </w:r>
      <w:r>
        <w:rPr/>
        <w:t>Conference</w:t>
      </w:r>
      <w:r>
        <w:rPr>
          <w:spacing w:val="-16"/>
        </w:rPr>
        <w:t> </w:t>
      </w:r>
      <w:r>
        <w:rPr/>
        <w:t>was held at the end of June on the Parramatta campus and was co-hosted with Newcastle University. Over 30 universities were </w:t>
      </w:r>
      <w:r>
        <w:rPr>
          <w:w w:val="97"/>
        </w:rPr>
        <w:t>represented </w:t>
      </w:r>
      <w:r>
        <w:rPr>
          <w:w w:val="98"/>
        </w:rPr>
        <w:t>with </w:t>
      </w:r>
      <w:r>
        <w:rPr>
          <w:spacing w:val="1"/>
          <w:w w:val="97"/>
        </w:rPr>
        <w:t>almost</w:t>
      </w:r>
      <w:r>
        <w:rPr>
          <w:w w:val="97"/>
        </w:rPr>
        <w:t> </w:t>
      </w:r>
      <w:r>
        <w:rPr>
          <w:spacing w:val="2"/>
          <w:w w:val="92"/>
        </w:rPr>
        <w:t>100</w:t>
      </w:r>
      <w:r>
        <w:rPr>
          <w:w w:val="92"/>
        </w:rPr>
        <w:t> </w:t>
      </w:r>
      <w:r>
        <w:rPr>
          <w:spacing w:val="1"/>
          <w:w w:val="94"/>
        </w:rPr>
        <w:t>delegates.</w:t>
      </w:r>
      <w:r>
        <w:rPr>
          <w:w w:val="94"/>
        </w:rPr>
        <w:t> </w:t>
      </w:r>
      <w:r>
        <w:rPr>
          <w:w w:val="112"/>
        </w:rPr>
        <w:t>A </w:t>
      </w:r>
      <w:r>
        <w:rPr/>
        <w:t>wide</w:t>
      </w:r>
      <w:r>
        <w:rPr>
          <w:spacing w:val="-19"/>
        </w:rPr>
        <w:t> </w:t>
      </w:r>
      <w:r>
        <w:rPr/>
        <w:t>variety</w:t>
      </w:r>
      <w:r>
        <w:rPr>
          <w:spacing w:val="-19"/>
        </w:rPr>
        <w:t> </w:t>
      </w:r>
      <w:r>
        <w:rPr/>
        <w:t>of</w:t>
      </w:r>
      <w:r>
        <w:rPr>
          <w:spacing w:val="-19"/>
        </w:rPr>
        <w:t> </w:t>
      </w:r>
      <w:r>
        <w:rPr/>
        <w:t>speakers</w:t>
      </w:r>
      <w:r>
        <w:rPr>
          <w:spacing w:val="-19"/>
        </w:rPr>
        <w:t> </w:t>
      </w:r>
      <w:r>
        <w:rPr/>
        <w:t>including</w:t>
      </w:r>
      <w:r>
        <w:rPr>
          <w:spacing w:val="-19"/>
        </w:rPr>
        <w:t> </w:t>
      </w:r>
      <w:r>
        <w:rPr>
          <w:spacing w:val="2"/>
        </w:rPr>
        <w:t>academics, </w:t>
      </w:r>
      <w:r>
        <w:rPr/>
        <w:t>students, equity practitioners, university executives, politicians, and business leaders spoke about the importance of LGBTIQ inclusion</w:t>
      </w:r>
      <w:r>
        <w:rPr>
          <w:spacing w:val="-17"/>
        </w:rPr>
        <w:t> </w:t>
      </w:r>
      <w:r>
        <w:rPr/>
        <w:t>and</w:t>
      </w:r>
      <w:r>
        <w:rPr>
          <w:spacing w:val="-17"/>
        </w:rPr>
        <w:t> </w:t>
      </w:r>
      <w:r>
        <w:rPr/>
        <w:t>the</w:t>
      </w:r>
      <w:r>
        <w:rPr>
          <w:spacing w:val="-17"/>
        </w:rPr>
        <w:t> </w:t>
      </w:r>
      <w:r>
        <w:rPr/>
        <w:t>role</w:t>
      </w:r>
      <w:r>
        <w:rPr>
          <w:spacing w:val="-17"/>
        </w:rPr>
        <w:t> </w:t>
      </w:r>
      <w:r>
        <w:rPr/>
        <w:t>Ally</w:t>
      </w:r>
      <w:r>
        <w:rPr>
          <w:spacing w:val="-17"/>
        </w:rPr>
        <w:t> </w:t>
      </w:r>
      <w:r>
        <w:rPr/>
        <w:t>networks</w:t>
      </w:r>
      <w:r>
        <w:rPr>
          <w:spacing w:val="-17"/>
        </w:rPr>
        <w:t> </w:t>
      </w:r>
      <w:r>
        <w:rPr/>
        <w:t>can</w:t>
      </w:r>
      <w:r>
        <w:rPr>
          <w:spacing w:val="-17"/>
        </w:rPr>
        <w:t> </w:t>
      </w:r>
      <w:r>
        <w:rPr/>
        <w:t>play.</w:t>
      </w:r>
    </w:p>
    <w:p>
      <w:pPr>
        <w:pStyle w:val="BodyText"/>
        <w:rPr>
          <w:sz w:val="14"/>
        </w:rPr>
      </w:pPr>
    </w:p>
    <w:p>
      <w:pPr>
        <w:pStyle w:val="BodyText"/>
        <w:spacing w:line="249" w:lineRule="auto"/>
        <w:ind w:left="107" w:right="182"/>
      </w:pPr>
      <w:r>
        <w:rPr/>
        <w:t>The</w:t>
      </w:r>
      <w:r>
        <w:rPr>
          <w:spacing w:val="-12"/>
        </w:rPr>
        <w:t> </w:t>
      </w:r>
      <w:r>
        <w:rPr/>
        <w:t>Ally</w:t>
      </w:r>
      <w:r>
        <w:rPr>
          <w:spacing w:val="-12"/>
        </w:rPr>
        <w:t> </w:t>
      </w:r>
      <w:r>
        <w:rPr/>
        <w:t>Network</w:t>
      </w:r>
      <w:r>
        <w:rPr>
          <w:spacing w:val="-12"/>
        </w:rPr>
        <w:t> </w:t>
      </w:r>
      <w:r>
        <w:rPr/>
        <w:t>supported</w:t>
      </w:r>
      <w:r>
        <w:rPr>
          <w:spacing w:val="-12"/>
        </w:rPr>
        <w:t> </w:t>
      </w:r>
      <w:r>
        <w:rPr/>
        <w:t>Western</w:t>
      </w:r>
      <w:r>
        <w:rPr>
          <w:spacing w:val="-12"/>
        </w:rPr>
        <w:t> </w:t>
      </w:r>
      <w:r>
        <w:rPr/>
        <w:t>Sydney </w:t>
      </w:r>
      <w:r>
        <w:rPr>
          <w:w w:val="97"/>
        </w:rPr>
        <w:t>University’s </w:t>
      </w:r>
      <w:r>
        <w:rPr>
          <w:spacing w:val="1"/>
          <w:w w:val="98"/>
        </w:rPr>
        <w:t>entry</w:t>
      </w:r>
      <w:r>
        <w:rPr>
          <w:w w:val="98"/>
        </w:rPr>
        <w:t> </w:t>
      </w:r>
      <w:r>
        <w:rPr>
          <w:w w:val="95"/>
        </w:rPr>
        <w:t>in </w:t>
      </w:r>
      <w:r>
        <w:rPr>
          <w:w w:val="97"/>
        </w:rPr>
        <w:t>the </w:t>
      </w:r>
      <w:r>
        <w:rPr>
          <w:spacing w:val="1"/>
          <w:w w:val="90"/>
        </w:rPr>
        <w:t>2016</w:t>
      </w:r>
      <w:r>
        <w:rPr>
          <w:w w:val="90"/>
        </w:rPr>
        <w:t> </w:t>
      </w:r>
      <w:r>
        <w:rPr>
          <w:spacing w:val="1"/>
          <w:w w:val="97"/>
        </w:rPr>
        <w:t>Mardi</w:t>
      </w:r>
      <w:r>
        <w:rPr>
          <w:w w:val="97"/>
        </w:rPr>
        <w:t> </w:t>
      </w:r>
      <w:r>
        <w:rPr>
          <w:spacing w:val="2"/>
          <w:w w:val="90"/>
        </w:rPr>
        <w:t>Gras.</w:t>
      </w:r>
      <w:r>
        <w:rPr>
          <w:w w:val="90"/>
        </w:rPr>
        <w:t> </w:t>
      </w:r>
      <w:r>
        <w:rPr>
          <w:spacing w:val="-2"/>
          <w:w w:val="100"/>
        </w:rPr>
        <w:t>We</w:t>
      </w:r>
      <w:r>
        <w:rPr>
          <w:w w:val="100"/>
        </w:rPr>
        <w:t> </w:t>
      </w:r>
      <w:r>
        <w:rPr>
          <w:w w:val="98"/>
        </w:rPr>
        <w:t>received </w:t>
      </w:r>
      <w:r>
        <w:rPr>
          <w:w w:val="98"/>
        </w:rPr>
        <w:t>over </w:t>
      </w:r>
      <w:r>
        <w:rPr>
          <w:spacing w:val="2"/>
          <w:w w:val="92"/>
        </w:rPr>
        <w:t>100</w:t>
      </w:r>
      <w:r>
        <w:rPr>
          <w:w w:val="92"/>
        </w:rPr>
        <w:t> </w:t>
      </w:r>
      <w:r>
        <w:rPr>
          <w:spacing w:val="1"/>
          <w:w w:val="96"/>
        </w:rPr>
        <w:t>expressions</w:t>
      </w:r>
      <w:r>
        <w:rPr>
          <w:w w:val="96"/>
        </w:rPr>
        <w:t> </w:t>
      </w:r>
      <w:r>
        <w:rPr>
          <w:w w:val="99"/>
        </w:rPr>
        <w:t>of </w:t>
      </w:r>
      <w:r>
        <w:rPr>
          <w:w w:val="97"/>
        </w:rPr>
        <w:t>interest </w:t>
      </w:r>
      <w:r>
        <w:rPr/>
        <w:t>from staff and students to participate in the float in less than four hours. Following this year’s parade, the University float received significant positive feedback on Facebook, Twitter,</w:t>
      </w:r>
      <w:r>
        <w:rPr>
          <w:spacing w:val="-23"/>
        </w:rPr>
        <w:t> </w:t>
      </w:r>
      <w:r>
        <w:rPr>
          <w:spacing w:val="-4"/>
        </w:rPr>
        <w:t>YouTube</w:t>
      </w:r>
      <w:r>
        <w:rPr>
          <w:spacing w:val="-23"/>
        </w:rPr>
        <w:t> </w:t>
      </w:r>
      <w:r>
        <w:rPr/>
        <w:t>and</w:t>
      </w:r>
      <w:r>
        <w:rPr>
          <w:spacing w:val="-23"/>
        </w:rPr>
        <w:t> </w:t>
      </w:r>
      <w:r>
        <w:rPr/>
        <w:t>Yammer.</w:t>
      </w:r>
      <w:r>
        <w:rPr>
          <w:spacing w:val="-23"/>
        </w:rPr>
        <w:t> </w:t>
      </w:r>
      <w:r>
        <w:rPr/>
        <w:t>In</w:t>
      </w:r>
      <w:r>
        <w:rPr>
          <w:spacing w:val="-23"/>
        </w:rPr>
        <w:t> </w:t>
      </w:r>
      <w:r>
        <w:rPr/>
        <w:t>addition</w:t>
      </w:r>
      <w:r>
        <w:rPr>
          <w:spacing w:val="-23"/>
        </w:rPr>
        <w:t> </w:t>
      </w:r>
      <w:r>
        <w:rPr/>
        <w:t>to over</w:t>
      </w:r>
      <w:r>
        <w:rPr>
          <w:spacing w:val="-13"/>
        </w:rPr>
        <w:t> </w:t>
      </w:r>
      <w:r>
        <w:rPr/>
        <w:t>27,000</w:t>
      </w:r>
      <w:r>
        <w:rPr>
          <w:spacing w:val="-13"/>
        </w:rPr>
        <w:t> </w:t>
      </w:r>
      <w:r>
        <w:rPr/>
        <w:t>views</w:t>
      </w:r>
      <w:r>
        <w:rPr>
          <w:spacing w:val="-13"/>
        </w:rPr>
        <w:t> </w:t>
      </w:r>
      <w:r>
        <w:rPr/>
        <w:t>and</w:t>
      </w:r>
      <w:r>
        <w:rPr>
          <w:spacing w:val="-13"/>
        </w:rPr>
        <w:t> </w:t>
      </w:r>
      <w:r>
        <w:rPr/>
        <w:t>850</w:t>
      </w:r>
      <w:r>
        <w:rPr>
          <w:spacing w:val="-13"/>
        </w:rPr>
        <w:t> </w:t>
      </w:r>
      <w:r>
        <w:rPr/>
        <w:t>likes</w:t>
      </w:r>
      <w:r>
        <w:rPr>
          <w:spacing w:val="-13"/>
        </w:rPr>
        <w:t> </w:t>
      </w:r>
      <w:r>
        <w:rPr/>
        <w:t>on</w:t>
      </w:r>
      <w:r>
        <w:rPr>
          <w:spacing w:val="-13"/>
        </w:rPr>
        <w:t> </w:t>
      </w:r>
      <w:r>
        <w:rPr/>
        <w:t>Facebook many students expressed their pride in the University</w:t>
      </w:r>
      <w:r>
        <w:rPr>
          <w:spacing w:val="-16"/>
        </w:rPr>
        <w:t> </w:t>
      </w:r>
      <w:r>
        <w:rPr/>
        <w:t>float</w:t>
      </w:r>
      <w:r>
        <w:rPr>
          <w:spacing w:val="-16"/>
        </w:rPr>
        <w:t> </w:t>
      </w:r>
      <w:r>
        <w:rPr/>
        <w:t>on</w:t>
      </w:r>
      <w:r>
        <w:rPr>
          <w:spacing w:val="-16"/>
        </w:rPr>
        <w:t> </w:t>
      </w:r>
      <w:r>
        <w:rPr/>
        <w:t>Facebook.</w:t>
      </w:r>
    </w:p>
    <w:p>
      <w:pPr>
        <w:pStyle w:val="BodyText"/>
        <w:rPr>
          <w:sz w:val="14"/>
        </w:rPr>
      </w:pPr>
    </w:p>
    <w:p>
      <w:pPr>
        <w:pStyle w:val="BodyText"/>
        <w:spacing w:line="249" w:lineRule="auto"/>
        <w:ind w:left="107" w:right="44"/>
      </w:pPr>
      <w:r>
        <w:rPr/>
        <w:t>The University also implemented the following changes in an effort to improve inclusivity of LGBTIQ students and staff at the University:</w:t>
      </w:r>
    </w:p>
    <w:p>
      <w:pPr>
        <w:pStyle w:val="BodyText"/>
        <w:spacing w:line="247" w:lineRule="auto" w:before="55"/>
        <w:ind w:left="305" w:hanging="199"/>
      </w:pPr>
      <w:r>
        <w:rPr>
          <w:rFonts w:ascii="Century Gothic" w:hAnsi="Century Gothic"/>
          <w:b/>
          <w:w w:val="115"/>
        </w:rPr>
        <w:t>≥ </w:t>
      </w:r>
      <w:r>
        <w:rPr/>
        <w:t>developing a whole-of-University Sexuality and Gender Diversity Inclusion strategy to ensure the University is LGBTIQ equitable, inclusive and respectful. It is expected this strategy will be finalised and published in </w:t>
      </w:r>
      <w:r>
        <w:rPr>
          <w:w w:val="96"/>
        </w:rPr>
        <w:t>early </w:t>
      </w:r>
      <w:r>
        <w:rPr>
          <w:w w:val="87"/>
        </w:rPr>
        <w:t>2017</w:t>
      </w:r>
    </w:p>
    <w:p>
      <w:pPr>
        <w:pStyle w:val="BodyText"/>
        <w:spacing w:line="247" w:lineRule="auto" w:before="57"/>
        <w:ind w:left="305" w:right="111" w:hanging="199"/>
      </w:pPr>
      <w:r>
        <w:rPr>
          <w:rFonts w:ascii="Century Gothic" w:hAnsi="Century Gothic"/>
          <w:b/>
          <w:w w:val="115"/>
        </w:rPr>
        <w:t>≥ </w:t>
      </w:r>
      <w:r>
        <w:rPr/>
        <w:t>the completion of a policy audit to update terminology relating to sexuality and gender diversity and ensure that policy conditions foster equal opportunity for LGBTIQ students and staff</w:t>
      </w:r>
    </w:p>
    <w:p>
      <w:pPr>
        <w:pStyle w:val="BodyText"/>
        <w:spacing w:line="247" w:lineRule="auto" w:before="57"/>
        <w:ind w:left="305" w:right="164" w:hanging="199"/>
      </w:pPr>
      <w:r>
        <w:rPr>
          <w:rFonts w:ascii="Century Gothic" w:hAnsi="Century Gothic"/>
          <w:b/>
          <w:w w:val="115"/>
        </w:rPr>
        <w:t>≥ </w:t>
      </w:r>
      <w:r>
        <w:rPr/>
        <w:t>the addition of new guidance material online for students and staff about key terms relating to sexuality and gender diversity, inclusive practices and where to find LGBTIQ-friendly support on campus.</w:t>
      </w:r>
    </w:p>
    <w:p>
      <w:pPr>
        <w:pStyle w:val="BodyText"/>
        <w:spacing w:before="2"/>
        <w:rPr>
          <w:sz w:val="14"/>
        </w:rPr>
      </w:pPr>
    </w:p>
    <w:p>
      <w:pPr>
        <w:pStyle w:val="BodyText"/>
        <w:spacing w:line="249" w:lineRule="auto"/>
        <w:ind w:left="107" w:right="94"/>
      </w:pPr>
      <w:r>
        <w:rPr>
          <w:w w:val="80"/>
        </w:rPr>
        <w:t>In </w:t>
      </w:r>
      <w:r>
        <w:rPr>
          <w:w w:val="85"/>
        </w:rPr>
        <w:t>2016, </w:t>
      </w:r>
      <w:r>
        <w:rPr>
          <w:w w:val="97"/>
        </w:rPr>
        <w:t>the </w:t>
      </w:r>
      <w:r>
        <w:rPr>
          <w:w w:val="97"/>
        </w:rPr>
        <w:t>University </w:t>
      </w:r>
      <w:r>
        <w:rPr>
          <w:w w:val="98"/>
        </w:rPr>
        <w:t>recognised </w:t>
      </w:r>
      <w:r>
        <w:rPr>
          <w:w w:val="97"/>
        </w:rPr>
        <w:t>the </w:t>
      </w:r>
      <w:r>
        <w:rPr/>
        <w:t>International Day against Homophobia and Transphobia by flying the Rainbow Flag across its campuses. An awareness campaign on the increased risk of mental illness in the LGBTIQ community was also promoted.</w:t>
      </w:r>
    </w:p>
    <w:p>
      <w:pPr>
        <w:pStyle w:val="BodyText"/>
        <w:spacing w:line="249" w:lineRule="auto"/>
        <w:ind w:left="107" w:right="330"/>
      </w:pPr>
      <w:r>
        <w:rPr/>
        <w:t>Finally,</w:t>
      </w:r>
      <w:r>
        <w:rPr>
          <w:spacing w:val="-21"/>
        </w:rPr>
        <w:t> </w:t>
      </w:r>
      <w:r>
        <w:rPr/>
        <w:t>on</w:t>
      </w:r>
      <w:r>
        <w:rPr>
          <w:spacing w:val="-21"/>
        </w:rPr>
        <w:t> </w:t>
      </w:r>
      <w:r>
        <w:rPr/>
        <w:t>Wear</w:t>
      </w:r>
      <w:r>
        <w:rPr>
          <w:spacing w:val="-21"/>
        </w:rPr>
        <w:t> </w:t>
      </w:r>
      <w:r>
        <w:rPr/>
        <w:t>It</w:t>
      </w:r>
      <w:r>
        <w:rPr>
          <w:spacing w:val="-21"/>
        </w:rPr>
        <w:t> </w:t>
      </w:r>
      <w:r>
        <w:rPr/>
        <w:t>Purple</w:t>
      </w:r>
      <w:r>
        <w:rPr>
          <w:spacing w:val="-21"/>
        </w:rPr>
        <w:t> </w:t>
      </w:r>
      <w:r>
        <w:rPr/>
        <w:t>Day,</w:t>
      </w:r>
      <w:r>
        <w:rPr>
          <w:spacing w:val="-21"/>
        </w:rPr>
        <w:t> </w:t>
      </w:r>
      <w:r>
        <w:rPr/>
        <w:t>hundreds</w:t>
      </w:r>
      <w:r>
        <w:rPr>
          <w:spacing w:val="-21"/>
        </w:rPr>
        <w:t> </w:t>
      </w:r>
      <w:r>
        <w:rPr/>
        <w:t>of staff</w:t>
      </w:r>
      <w:r>
        <w:rPr>
          <w:spacing w:val="-12"/>
        </w:rPr>
        <w:t> </w:t>
      </w:r>
      <w:r>
        <w:rPr/>
        <w:t>and</w:t>
      </w:r>
      <w:r>
        <w:rPr>
          <w:spacing w:val="-12"/>
        </w:rPr>
        <w:t> </w:t>
      </w:r>
      <w:r>
        <w:rPr/>
        <w:t>students</w:t>
      </w:r>
      <w:r>
        <w:rPr>
          <w:spacing w:val="-12"/>
        </w:rPr>
        <w:t> </w:t>
      </w:r>
      <w:r>
        <w:rPr/>
        <w:t>decorated</w:t>
      </w:r>
      <w:r>
        <w:rPr>
          <w:spacing w:val="-12"/>
        </w:rPr>
        <w:t> </w:t>
      </w:r>
      <w:r>
        <w:rPr/>
        <w:t>public</w:t>
      </w:r>
      <w:r>
        <w:rPr>
          <w:spacing w:val="-12"/>
        </w:rPr>
        <w:t> </w:t>
      </w:r>
      <w:r>
        <w:rPr/>
        <w:t>spaces across the University in purple to show their</w:t>
      </w:r>
      <w:r>
        <w:rPr>
          <w:spacing w:val="-16"/>
        </w:rPr>
        <w:t> </w:t>
      </w:r>
      <w:r>
        <w:rPr/>
        <w:t>support</w:t>
      </w:r>
      <w:r>
        <w:rPr>
          <w:spacing w:val="-16"/>
        </w:rPr>
        <w:t> </w:t>
      </w:r>
      <w:r>
        <w:rPr/>
        <w:t>for</w:t>
      </w:r>
      <w:r>
        <w:rPr>
          <w:spacing w:val="-16"/>
        </w:rPr>
        <w:t> </w:t>
      </w:r>
      <w:r>
        <w:rPr/>
        <w:t>young</w:t>
      </w:r>
      <w:r>
        <w:rPr>
          <w:spacing w:val="-16"/>
        </w:rPr>
        <w:t> </w:t>
      </w:r>
      <w:r>
        <w:rPr/>
        <w:t>LGBTIQ</w:t>
      </w:r>
      <w:r>
        <w:rPr>
          <w:spacing w:val="-16"/>
        </w:rPr>
        <w:t> </w:t>
      </w:r>
      <w:r>
        <w:rPr/>
        <w:t>people.</w:t>
      </w:r>
    </w:p>
    <w:p>
      <w:pPr>
        <w:spacing w:after="0" w:line="249" w:lineRule="auto"/>
        <w:sectPr>
          <w:type w:val="continuous"/>
          <w:pgSz w:w="11910" w:h="16840"/>
          <w:pgMar w:top="1580" w:bottom="280" w:left="800" w:right="800"/>
          <w:cols w:num="3" w:equalWidth="0">
            <w:col w:w="3255" w:space="184"/>
            <w:col w:w="3272" w:space="167"/>
            <w:col w:w="3432"/>
          </w:cols>
        </w:sectPr>
      </w:pPr>
    </w:p>
    <w:p>
      <w:pPr>
        <w:pStyle w:val="BodyText"/>
        <w:spacing w:before="9"/>
        <w:rPr>
          <w:sz w:val="28"/>
        </w:rPr>
      </w:pPr>
    </w:p>
    <w:p>
      <w:pPr>
        <w:pStyle w:val="Heading2"/>
        <w:ind w:right="7796"/>
        <w:rPr>
          <w:b w:val="0"/>
        </w:rPr>
      </w:pPr>
      <w:r>
        <w:rPr>
          <w:b w:val="0"/>
        </w:rPr>
        <w:t>People and Advancement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5"/>
        <w:rPr>
          <w:rFonts w:ascii="Chronicle Text G1"/>
          <w:b w:val="0"/>
          <w:sz w:val="17"/>
        </w:rPr>
      </w:pPr>
    </w:p>
    <w:p>
      <w:pPr>
        <w:pStyle w:val="Heading7"/>
        <w:spacing w:line="249" w:lineRule="auto"/>
      </w:pPr>
      <w:r>
        <w:rPr>
          <w:w w:val="95"/>
        </w:rPr>
        <w:t>CULTURAL AND LINGUISTIC DIVERSITY – MULTICULTURAL POLICY AND SERVICES</w:t>
      </w:r>
    </w:p>
    <w:p>
      <w:pPr>
        <w:pStyle w:val="BodyText"/>
        <w:spacing w:line="249" w:lineRule="auto" w:before="50"/>
        <w:ind w:left="107" w:right="15"/>
      </w:pPr>
      <w:r>
        <w:rPr/>
        <w:t>The University recognises and values the cultural diversity in Western Sydney and seeks</w:t>
      </w:r>
      <w:r>
        <w:rPr>
          <w:spacing w:val="-18"/>
        </w:rPr>
        <w:t> </w:t>
      </w:r>
      <w:r>
        <w:rPr/>
        <w:t>to</w:t>
      </w:r>
      <w:r>
        <w:rPr>
          <w:spacing w:val="-18"/>
        </w:rPr>
        <w:t> </w:t>
      </w:r>
      <w:r>
        <w:rPr/>
        <w:t>reflect</w:t>
      </w:r>
      <w:r>
        <w:rPr>
          <w:spacing w:val="-18"/>
        </w:rPr>
        <w:t> </w:t>
      </w:r>
      <w:r>
        <w:rPr/>
        <w:t>the</w:t>
      </w:r>
      <w:r>
        <w:rPr>
          <w:spacing w:val="-18"/>
        </w:rPr>
        <w:t> </w:t>
      </w:r>
      <w:r>
        <w:rPr/>
        <w:t>region’s</w:t>
      </w:r>
      <w:r>
        <w:rPr>
          <w:spacing w:val="-18"/>
        </w:rPr>
        <w:t> </w:t>
      </w:r>
      <w:r>
        <w:rPr/>
        <w:t>large</w:t>
      </w:r>
      <w:r>
        <w:rPr>
          <w:spacing w:val="-18"/>
        </w:rPr>
        <w:t> </w:t>
      </w:r>
      <w:r>
        <w:rPr/>
        <w:t>multicultural population.</w:t>
      </w:r>
      <w:r>
        <w:rPr>
          <w:spacing w:val="-14"/>
        </w:rPr>
        <w:t> </w:t>
      </w:r>
      <w:r>
        <w:rPr/>
        <w:t>A</w:t>
      </w:r>
      <w:r>
        <w:rPr>
          <w:spacing w:val="-14"/>
        </w:rPr>
        <w:t> </w:t>
      </w:r>
      <w:r>
        <w:rPr/>
        <w:t>significant</w:t>
      </w:r>
      <w:r>
        <w:rPr>
          <w:spacing w:val="-14"/>
        </w:rPr>
        <w:t> </w:t>
      </w:r>
      <w:r>
        <w:rPr/>
        <w:t>percentage</w:t>
      </w:r>
      <w:r>
        <w:rPr>
          <w:spacing w:val="-14"/>
        </w:rPr>
        <w:t> </w:t>
      </w:r>
      <w:r>
        <w:rPr/>
        <w:t>of</w:t>
      </w:r>
    </w:p>
    <w:p>
      <w:pPr>
        <w:pStyle w:val="BodyText"/>
        <w:spacing w:line="249" w:lineRule="auto"/>
        <w:ind w:left="107" w:right="272"/>
      </w:pPr>
      <w:r>
        <w:rPr/>
        <w:t>the University’s students and staff speak a language other than English at home. As a result, the below initiatives have been implemented to deliver multicultural policies, strategies and services.</w:t>
      </w:r>
    </w:p>
    <w:p>
      <w:pPr>
        <w:pStyle w:val="BodyText"/>
        <w:spacing w:before="6"/>
        <w:rPr>
          <w:sz w:val="14"/>
        </w:rPr>
      </w:pPr>
    </w:p>
    <w:p>
      <w:pPr>
        <w:pStyle w:val="Heading7"/>
      </w:pPr>
      <w:r>
        <w:rPr>
          <w:color w:val="615C58"/>
          <w:w w:val="95"/>
        </w:rPr>
        <w:t>English Conversation Groups</w:t>
      </w:r>
    </w:p>
    <w:p>
      <w:pPr>
        <w:pStyle w:val="BodyText"/>
        <w:spacing w:line="249" w:lineRule="auto" w:before="86"/>
        <w:ind w:left="107" w:right="121"/>
      </w:pPr>
      <w:r>
        <w:rPr>
          <w:w w:val="80"/>
        </w:rPr>
        <w:t>In </w:t>
      </w:r>
      <w:r>
        <w:rPr>
          <w:w w:val="85"/>
        </w:rPr>
        <w:t>2016, </w:t>
      </w:r>
      <w:r>
        <w:rPr>
          <w:w w:val="97"/>
        </w:rPr>
        <w:t>the </w:t>
      </w:r>
      <w:r>
        <w:rPr>
          <w:w w:val="97"/>
        </w:rPr>
        <w:t>University </w:t>
      </w:r>
      <w:r>
        <w:rPr>
          <w:w w:val="95"/>
        </w:rPr>
        <w:t>ran </w:t>
      </w:r>
      <w:r>
        <w:rPr>
          <w:w w:val="97"/>
        </w:rPr>
        <w:t>more </w:t>
      </w:r>
      <w:r>
        <w:rPr>
          <w:w w:val="97"/>
        </w:rPr>
        <w:t>than </w:t>
      </w:r>
      <w:r>
        <w:rPr>
          <w:w w:val="107"/>
        </w:rPr>
        <w:t>40 </w:t>
      </w:r>
      <w:r>
        <w:rPr/>
        <w:t>five-week sessions for English conversation groups. These groups provided the opportunity for more than 370 international</w:t>
      </w:r>
    </w:p>
    <w:p>
      <w:pPr>
        <w:pStyle w:val="BodyText"/>
        <w:spacing w:line="249" w:lineRule="auto"/>
        <w:ind w:left="107" w:right="-15"/>
      </w:pPr>
      <w:r>
        <w:rPr/>
        <w:t>students and commencing domestic students from culturally and linguistically diverse backgrounds to practise their spoken English.</w:t>
      </w:r>
    </w:p>
    <w:p>
      <w:pPr>
        <w:pStyle w:val="BodyText"/>
        <w:spacing w:before="6"/>
        <w:rPr>
          <w:sz w:val="14"/>
        </w:rPr>
      </w:pPr>
    </w:p>
    <w:p>
      <w:pPr>
        <w:pStyle w:val="Heading7"/>
      </w:pPr>
      <w:r>
        <w:rPr>
          <w:color w:val="615C58"/>
          <w:w w:val="95"/>
        </w:rPr>
        <w:t>Social Engagement and Leadership Program</w:t>
      </w:r>
    </w:p>
    <w:p>
      <w:pPr>
        <w:pStyle w:val="BodyText"/>
        <w:spacing w:line="249" w:lineRule="auto" w:before="86"/>
        <w:ind w:left="107" w:right="69"/>
      </w:pPr>
      <w:r>
        <w:rPr/>
        <w:t>The Western Sydney University Social Engagement and Leadership Program strengthens the international student experience by developing meaningful connections between international and domestic students, and between students </w:t>
      </w:r>
      <w:r>
        <w:rPr>
          <w:w w:val="97"/>
        </w:rPr>
        <w:t>and </w:t>
      </w:r>
      <w:r>
        <w:rPr>
          <w:w w:val="98"/>
        </w:rPr>
        <w:t>community-based </w:t>
      </w:r>
      <w:r>
        <w:rPr>
          <w:w w:val="95"/>
        </w:rPr>
        <w:t>organisations. </w:t>
      </w:r>
      <w:r>
        <w:rPr>
          <w:w w:val="80"/>
        </w:rPr>
        <w:t>In </w:t>
      </w:r>
      <w:r>
        <w:rPr>
          <w:w w:val="85"/>
        </w:rPr>
        <w:t>2016, </w:t>
      </w:r>
      <w:r>
        <w:rPr/>
        <w:t>72 students participated in the program.</w:t>
      </w:r>
    </w:p>
    <w:p>
      <w:pPr>
        <w:pStyle w:val="BodyText"/>
        <w:spacing w:before="6"/>
        <w:rPr>
          <w:sz w:val="14"/>
        </w:rPr>
      </w:pPr>
    </w:p>
    <w:p>
      <w:pPr>
        <w:pStyle w:val="Heading7"/>
      </w:pPr>
      <w:r>
        <w:rPr>
          <w:color w:val="615C58"/>
          <w:w w:val="95"/>
        </w:rPr>
        <w:t>Transcultural Research Group</w:t>
      </w:r>
    </w:p>
    <w:p>
      <w:pPr>
        <w:pStyle w:val="BodyText"/>
        <w:spacing w:line="249" w:lineRule="auto" w:before="86"/>
        <w:ind w:left="107" w:right="92"/>
      </w:pPr>
      <w:r>
        <w:rPr/>
        <w:t>The Transcultural Research Group delivered its</w:t>
      </w:r>
      <w:r>
        <w:rPr>
          <w:spacing w:val="-19"/>
        </w:rPr>
        <w:t> </w:t>
      </w:r>
      <w:r>
        <w:rPr/>
        <w:t>report</w:t>
      </w:r>
      <w:r>
        <w:rPr>
          <w:spacing w:val="-19"/>
        </w:rPr>
        <w:t> </w:t>
      </w:r>
      <w:r>
        <w:rPr/>
        <w:t>‘Culture,</w:t>
      </w:r>
      <w:r>
        <w:rPr>
          <w:spacing w:val="-19"/>
        </w:rPr>
        <w:t> </w:t>
      </w:r>
      <w:r>
        <w:rPr/>
        <w:t>Transition,</w:t>
      </w:r>
      <w:r>
        <w:rPr>
          <w:spacing w:val="-19"/>
        </w:rPr>
        <w:t> </w:t>
      </w:r>
      <w:r>
        <w:rPr/>
        <w:t>Wellbeing</w:t>
      </w:r>
      <w:r>
        <w:rPr>
          <w:spacing w:val="-19"/>
        </w:rPr>
        <w:t> </w:t>
      </w:r>
      <w:r>
        <w:rPr/>
        <w:t>and Help</w:t>
      </w:r>
      <w:r>
        <w:rPr>
          <w:spacing w:val="-22"/>
        </w:rPr>
        <w:t> </w:t>
      </w:r>
      <w:r>
        <w:rPr/>
        <w:t>Seeking:</w:t>
      </w:r>
      <w:r>
        <w:rPr>
          <w:spacing w:val="-22"/>
        </w:rPr>
        <w:t> </w:t>
      </w:r>
      <w:r>
        <w:rPr/>
        <w:t>Insight</w:t>
      </w:r>
      <w:r>
        <w:rPr>
          <w:spacing w:val="-22"/>
        </w:rPr>
        <w:t> </w:t>
      </w:r>
      <w:r>
        <w:rPr/>
        <w:t>from</w:t>
      </w:r>
      <w:r>
        <w:rPr>
          <w:spacing w:val="-22"/>
        </w:rPr>
        <w:t> </w:t>
      </w:r>
      <w:r>
        <w:rPr/>
        <w:t>a</w:t>
      </w:r>
      <w:r>
        <w:rPr>
          <w:spacing w:val="-22"/>
        </w:rPr>
        <w:t> </w:t>
      </w:r>
      <w:r>
        <w:rPr/>
        <w:t>First-Year</w:t>
      </w:r>
      <w:r>
        <w:rPr>
          <w:spacing w:val="-22"/>
        </w:rPr>
        <w:t> </w:t>
      </w:r>
      <w:r>
        <w:rPr/>
        <w:t>Study at Western Sydney University’. The Group recommended</w:t>
      </w:r>
      <w:r>
        <w:rPr>
          <w:spacing w:val="-16"/>
        </w:rPr>
        <w:t> </w:t>
      </w:r>
      <w:r>
        <w:rPr/>
        <w:t>enhancing</w:t>
      </w:r>
      <w:r>
        <w:rPr>
          <w:spacing w:val="-16"/>
        </w:rPr>
        <w:t> </w:t>
      </w:r>
      <w:r>
        <w:rPr/>
        <w:t>transition</w:t>
      </w:r>
      <w:r>
        <w:rPr>
          <w:spacing w:val="-16"/>
        </w:rPr>
        <w:t> </w:t>
      </w:r>
      <w:r>
        <w:rPr/>
        <w:t>activities and support for commencing students; building</w:t>
      </w:r>
      <w:r>
        <w:rPr>
          <w:spacing w:val="-17"/>
        </w:rPr>
        <w:t> </w:t>
      </w:r>
      <w:r>
        <w:rPr/>
        <w:t>the</w:t>
      </w:r>
      <w:r>
        <w:rPr>
          <w:spacing w:val="-17"/>
        </w:rPr>
        <w:t> </w:t>
      </w:r>
      <w:r>
        <w:rPr/>
        <w:t>help-seeking</w:t>
      </w:r>
      <w:r>
        <w:rPr>
          <w:spacing w:val="-17"/>
        </w:rPr>
        <w:t> </w:t>
      </w:r>
      <w:r>
        <w:rPr/>
        <w:t>behaviours</w:t>
      </w:r>
    </w:p>
    <w:p>
      <w:pPr>
        <w:pStyle w:val="BodyText"/>
        <w:spacing w:line="249" w:lineRule="auto"/>
        <w:ind w:left="107" w:right="173"/>
      </w:pPr>
      <w:r>
        <w:rPr/>
        <w:t>and overall resilience of culturally diverse students; and increasing culturally diverse students’ engagement with social, cultural, recreational and support activities within the University. During 2017, the University will determine which of the report’s recommendations it will implement.</w:t>
      </w:r>
    </w:p>
    <w:p>
      <w:pPr>
        <w:pStyle w:val="BodyText"/>
        <w:spacing w:before="4"/>
        <w:rPr>
          <w:sz w:val="17"/>
        </w:rPr>
      </w:pPr>
      <w:r>
        <w:rPr/>
        <w:br w:type="column"/>
      </w:r>
      <w:r>
        <w:rPr>
          <w:sz w:val="17"/>
        </w:rPr>
      </w:r>
    </w:p>
    <w:p>
      <w:pPr>
        <w:pStyle w:val="Heading7"/>
      </w:pPr>
      <w:r>
        <w:rPr>
          <w:color w:val="615C58"/>
          <w:w w:val="95"/>
        </w:rPr>
        <w:t>Opportunity Scholarships</w:t>
      </w:r>
    </w:p>
    <w:p>
      <w:pPr>
        <w:pStyle w:val="BodyText"/>
        <w:spacing w:line="249" w:lineRule="auto" w:before="86"/>
        <w:ind w:left="107" w:right="-2"/>
      </w:pPr>
      <w:r>
        <w:rPr>
          <w:spacing w:val="2"/>
          <w:w w:val="64"/>
        </w:rPr>
        <w:t>I</w:t>
      </w:r>
      <w:r>
        <w:rPr>
          <w:w w:val="95"/>
        </w:rPr>
        <w:t>n</w:t>
      </w:r>
      <w:r>
        <w:rPr>
          <w:spacing w:val="-12"/>
        </w:rPr>
        <w:t> </w:t>
      </w:r>
      <w:r>
        <w:rPr>
          <w:spacing w:val="2"/>
          <w:w w:val="93"/>
        </w:rPr>
        <w:t>2</w:t>
      </w:r>
      <w:r>
        <w:rPr>
          <w:spacing w:val="1"/>
          <w:w w:val="111"/>
        </w:rPr>
        <w:t>0</w:t>
      </w:r>
      <w:r>
        <w:rPr>
          <w:spacing w:val="4"/>
          <w:w w:val="54"/>
        </w:rPr>
        <w:t>1</w:t>
      </w:r>
      <w:r>
        <w:rPr>
          <w:spacing w:val="4"/>
          <w:w w:val="101"/>
        </w:rPr>
        <w:t>6</w:t>
      </w:r>
      <w:r>
        <w:rPr>
          <w:w w:val="68"/>
        </w:rPr>
        <w:t>,</w:t>
      </w:r>
      <w:r>
        <w:rPr>
          <w:spacing w:val="-12"/>
        </w:rPr>
        <w:t> </w:t>
      </w:r>
      <w:r>
        <w:rPr>
          <w:w w:val="102"/>
        </w:rPr>
        <w:t>t</w:t>
      </w:r>
      <w:r>
        <w:rPr>
          <w:spacing w:val="2"/>
          <w:w w:val="95"/>
        </w:rPr>
        <w:t>h</w:t>
      </w:r>
      <w:r>
        <w:rPr>
          <w:w w:val="95"/>
        </w:rPr>
        <w:t>e</w:t>
      </w:r>
      <w:r>
        <w:rPr>
          <w:spacing w:val="-12"/>
        </w:rPr>
        <w:t> </w:t>
      </w:r>
      <w:r>
        <w:rPr>
          <w:spacing w:val="3"/>
          <w:w w:val="99"/>
        </w:rPr>
        <w:t>U</w:t>
      </w:r>
      <w:r>
        <w:rPr>
          <w:spacing w:val="1"/>
          <w:w w:val="95"/>
        </w:rPr>
        <w:t>n</w:t>
      </w:r>
      <w:r>
        <w:rPr>
          <w:w w:val="95"/>
        </w:rPr>
        <w:t>i</w:t>
      </w:r>
      <w:r>
        <w:rPr>
          <w:spacing w:val="-1"/>
          <w:w w:val="101"/>
        </w:rPr>
        <w:t>v</w:t>
      </w:r>
      <w:r>
        <w:rPr>
          <w:spacing w:val="2"/>
          <w:w w:val="95"/>
        </w:rPr>
        <w:t>e</w:t>
      </w:r>
      <w:r>
        <w:rPr>
          <w:spacing w:val="2"/>
          <w:w w:val="95"/>
        </w:rPr>
        <w:t>r</w:t>
      </w:r>
      <w:r>
        <w:rPr>
          <w:w w:val="95"/>
        </w:rPr>
        <w:t>s</w:t>
      </w:r>
      <w:r>
        <w:rPr>
          <w:w w:val="95"/>
        </w:rPr>
        <w:t>i</w:t>
      </w:r>
      <w:r>
        <w:rPr>
          <w:spacing w:val="4"/>
          <w:w w:val="102"/>
        </w:rPr>
        <w:t>t</w:t>
      </w:r>
      <w:r>
        <w:rPr>
          <w:w w:val="101"/>
        </w:rPr>
        <w:t>y</w:t>
      </w:r>
      <w:r>
        <w:rPr>
          <w:spacing w:val="-12"/>
        </w:rPr>
        <w:t> </w:t>
      </w:r>
      <w:r>
        <w:rPr>
          <w:spacing w:val="1"/>
          <w:w w:val="100"/>
        </w:rPr>
        <w:t>o</w:t>
      </w:r>
      <w:r>
        <w:rPr>
          <w:w w:val="98"/>
        </w:rPr>
        <w:t>f</w:t>
      </w:r>
      <w:r>
        <w:rPr>
          <w:spacing w:val="1"/>
          <w:w w:val="98"/>
        </w:rPr>
        <w:t>f</w:t>
      </w:r>
      <w:r>
        <w:rPr>
          <w:spacing w:val="2"/>
          <w:w w:val="95"/>
        </w:rPr>
        <w:t>e</w:t>
      </w:r>
      <w:r>
        <w:rPr>
          <w:spacing w:val="-1"/>
          <w:w w:val="95"/>
        </w:rPr>
        <w:t>r</w:t>
      </w:r>
      <w:r>
        <w:rPr>
          <w:spacing w:val="3"/>
          <w:w w:val="95"/>
        </w:rPr>
        <w:t>e</w:t>
      </w:r>
      <w:r>
        <w:rPr>
          <w:w w:val="102"/>
        </w:rPr>
        <w:t>d</w:t>
      </w:r>
      <w:r>
        <w:rPr>
          <w:spacing w:val="-12"/>
        </w:rPr>
        <w:t> </w:t>
      </w:r>
      <w:r>
        <w:rPr>
          <w:spacing w:val="2"/>
          <w:w w:val="54"/>
        </w:rPr>
        <w:t>1</w:t>
      </w:r>
      <w:r>
        <w:rPr>
          <w:w w:val="93"/>
        </w:rPr>
        <w:t>2</w:t>
      </w:r>
      <w:r>
        <w:rPr>
          <w:spacing w:val="-12"/>
        </w:rPr>
        <w:t> </w:t>
      </w:r>
      <w:r>
        <w:rPr>
          <w:spacing w:val="2"/>
          <w:w w:val="95"/>
        </w:rPr>
        <w:t>s</w:t>
      </w:r>
      <w:r>
        <w:rPr>
          <w:spacing w:val="1"/>
          <w:w w:val="102"/>
        </w:rPr>
        <w:t>c</w:t>
      </w:r>
      <w:r>
        <w:rPr>
          <w:spacing w:val="2"/>
          <w:w w:val="95"/>
        </w:rPr>
        <w:t>h</w:t>
      </w:r>
      <w:r>
        <w:rPr>
          <w:spacing w:val="2"/>
          <w:w w:val="100"/>
        </w:rPr>
        <w:t>o</w:t>
      </w:r>
      <w:r>
        <w:rPr>
          <w:spacing w:val="1"/>
          <w:w w:val="95"/>
        </w:rPr>
        <w:t>l</w:t>
      </w:r>
      <w:r>
        <w:rPr>
          <w:spacing w:val="2"/>
          <w:w w:val="94"/>
        </w:rPr>
        <w:t>a</w:t>
      </w:r>
      <w:r>
        <w:rPr>
          <w:spacing w:val="2"/>
          <w:w w:val="95"/>
        </w:rPr>
        <w:t>r</w:t>
      </w:r>
      <w:r>
        <w:rPr>
          <w:spacing w:val="1"/>
          <w:w w:val="95"/>
        </w:rPr>
        <w:t>s</w:t>
      </w:r>
      <w:r>
        <w:rPr>
          <w:spacing w:val="1"/>
          <w:w w:val="95"/>
        </w:rPr>
        <w:t>h</w:t>
      </w:r>
      <w:r>
        <w:rPr>
          <w:spacing w:val="1"/>
          <w:w w:val="95"/>
        </w:rPr>
        <w:t>i</w:t>
      </w:r>
      <w:r>
        <w:rPr>
          <w:spacing w:val="1"/>
          <w:w w:val="102"/>
        </w:rPr>
        <w:t>p</w:t>
      </w:r>
      <w:r>
        <w:rPr>
          <w:spacing w:val="4"/>
          <w:w w:val="95"/>
        </w:rPr>
        <w:t>s</w:t>
      </w:r>
      <w:r>
        <w:rPr>
          <w:w w:val="68"/>
        </w:rPr>
        <w:t>, </w:t>
      </w:r>
      <w:r>
        <w:rPr>
          <w:spacing w:val="2"/>
          <w:w w:val="95"/>
        </w:rPr>
        <w:t>r</w:t>
      </w:r>
      <w:r>
        <w:rPr>
          <w:spacing w:val="2"/>
          <w:w w:val="94"/>
        </w:rPr>
        <w:t>a</w:t>
      </w:r>
      <w:r>
        <w:rPr>
          <w:spacing w:val="2"/>
          <w:w w:val="95"/>
        </w:rPr>
        <w:t>n</w:t>
      </w:r>
      <w:r>
        <w:rPr>
          <w:spacing w:val="1"/>
          <w:w w:val="102"/>
        </w:rPr>
        <w:t>g</w:t>
      </w:r>
      <w:r>
        <w:rPr>
          <w:spacing w:val="1"/>
          <w:w w:val="95"/>
        </w:rPr>
        <w:t>i</w:t>
      </w:r>
      <w:r>
        <w:rPr>
          <w:spacing w:val="2"/>
          <w:w w:val="95"/>
        </w:rPr>
        <w:t>n</w:t>
      </w:r>
      <w:r>
        <w:rPr>
          <w:w w:val="102"/>
        </w:rPr>
        <w:t>g</w:t>
      </w:r>
      <w:r>
        <w:rPr>
          <w:spacing w:val="-12"/>
        </w:rPr>
        <w:t> </w:t>
      </w:r>
      <w:r>
        <w:rPr>
          <w:spacing w:val="3"/>
          <w:w w:val="98"/>
        </w:rPr>
        <w:t>f</w:t>
      </w:r>
      <w:r>
        <w:rPr>
          <w:spacing w:val="-1"/>
          <w:w w:val="95"/>
        </w:rPr>
        <w:t>r</w:t>
      </w:r>
      <w:r>
        <w:rPr>
          <w:spacing w:val="2"/>
          <w:w w:val="100"/>
        </w:rPr>
        <w:t>o</w:t>
      </w:r>
      <w:r>
        <w:rPr>
          <w:w w:val="98"/>
        </w:rPr>
        <w:t>m</w:t>
      </w:r>
      <w:r>
        <w:rPr>
          <w:spacing w:val="-12"/>
        </w:rPr>
        <w:t> </w:t>
      </w:r>
      <w:r>
        <w:rPr>
          <w:spacing w:val="2"/>
          <w:w w:val="99"/>
        </w:rPr>
        <w:t>$</w:t>
      </w:r>
      <w:r>
        <w:rPr>
          <w:spacing w:val="4"/>
          <w:w w:val="95"/>
        </w:rPr>
        <w:t>5</w:t>
      </w:r>
      <w:r>
        <w:rPr>
          <w:spacing w:val="1"/>
          <w:w w:val="68"/>
        </w:rPr>
        <w:t>,</w:t>
      </w:r>
      <w:r>
        <w:rPr>
          <w:spacing w:val="4"/>
          <w:w w:val="111"/>
        </w:rPr>
        <w:t>00</w:t>
      </w:r>
      <w:r>
        <w:rPr>
          <w:w w:val="111"/>
        </w:rPr>
        <w:t>0</w:t>
      </w:r>
      <w:r>
        <w:rPr>
          <w:spacing w:val="-12"/>
        </w:rPr>
        <w:t> </w:t>
      </w:r>
      <w:r>
        <w:rPr>
          <w:spacing w:val="-2"/>
          <w:w w:val="102"/>
        </w:rPr>
        <w:t>t</w:t>
      </w:r>
      <w:r>
        <w:rPr>
          <w:w w:val="100"/>
        </w:rPr>
        <w:t>o</w:t>
      </w:r>
      <w:r>
        <w:rPr>
          <w:spacing w:val="-12"/>
        </w:rPr>
        <w:t> </w:t>
      </w:r>
      <w:r>
        <w:rPr>
          <w:spacing w:val="4"/>
          <w:w w:val="99"/>
        </w:rPr>
        <w:t>$</w:t>
      </w:r>
      <w:r>
        <w:rPr>
          <w:spacing w:val="4"/>
          <w:w w:val="54"/>
        </w:rPr>
        <w:t>1</w:t>
      </w:r>
      <w:r>
        <w:rPr>
          <w:spacing w:val="2"/>
          <w:w w:val="111"/>
        </w:rPr>
        <w:t>0</w:t>
      </w:r>
      <w:r>
        <w:rPr>
          <w:spacing w:val="1"/>
          <w:w w:val="68"/>
        </w:rPr>
        <w:t>,</w:t>
      </w:r>
      <w:r>
        <w:rPr>
          <w:spacing w:val="4"/>
          <w:w w:val="111"/>
        </w:rPr>
        <w:t>00</w:t>
      </w:r>
      <w:r>
        <w:rPr>
          <w:w w:val="111"/>
        </w:rPr>
        <w:t>0</w:t>
      </w:r>
      <w:r>
        <w:rPr>
          <w:spacing w:val="-12"/>
        </w:rPr>
        <w:t> </w:t>
      </w:r>
      <w:r>
        <w:rPr>
          <w:spacing w:val="2"/>
          <w:w w:val="95"/>
        </w:rPr>
        <w:t>e</w:t>
      </w:r>
      <w:r>
        <w:rPr>
          <w:spacing w:val="2"/>
          <w:w w:val="94"/>
        </w:rPr>
        <w:t>a</w:t>
      </w:r>
      <w:r>
        <w:rPr>
          <w:spacing w:val="1"/>
          <w:w w:val="102"/>
        </w:rPr>
        <w:t>c</w:t>
      </w:r>
      <w:r>
        <w:rPr>
          <w:w w:val="95"/>
        </w:rPr>
        <w:t>h</w:t>
      </w:r>
    </w:p>
    <w:p>
      <w:pPr>
        <w:pStyle w:val="BodyText"/>
        <w:spacing w:line="249" w:lineRule="auto"/>
        <w:ind w:left="107" w:right="30"/>
      </w:pPr>
      <w:r>
        <w:rPr/>
        <w:t>per annum for students who experience educational</w:t>
      </w:r>
      <w:r>
        <w:rPr>
          <w:spacing w:val="-17"/>
        </w:rPr>
        <w:t> </w:t>
      </w:r>
      <w:r>
        <w:rPr/>
        <w:t>disadvantage,</w:t>
      </w:r>
      <w:r>
        <w:rPr>
          <w:spacing w:val="-17"/>
        </w:rPr>
        <w:t> </w:t>
      </w:r>
      <w:r>
        <w:rPr/>
        <w:t>especially</w:t>
      </w:r>
      <w:r>
        <w:rPr>
          <w:spacing w:val="-17"/>
        </w:rPr>
        <w:t> </w:t>
      </w:r>
      <w:r>
        <w:rPr/>
        <w:t>students from</w:t>
      </w:r>
      <w:r>
        <w:rPr>
          <w:spacing w:val="-24"/>
        </w:rPr>
        <w:t> </w:t>
      </w:r>
      <w:r>
        <w:rPr/>
        <w:t>non–English</w:t>
      </w:r>
      <w:r>
        <w:rPr>
          <w:spacing w:val="-24"/>
        </w:rPr>
        <w:t> </w:t>
      </w:r>
      <w:r>
        <w:rPr/>
        <w:t>speaking</w:t>
      </w:r>
      <w:r>
        <w:rPr>
          <w:spacing w:val="-24"/>
        </w:rPr>
        <w:t> </w:t>
      </w:r>
      <w:r>
        <w:rPr/>
        <w:t>countries.</w:t>
      </w:r>
    </w:p>
    <w:p>
      <w:pPr>
        <w:pStyle w:val="BodyText"/>
        <w:spacing w:before="6"/>
        <w:rPr>
          <w:sz w:val="14"/>
        </w:rPr>
      </w:pPr>
    </w:p>
    <w:p>
      <w:pPr>
        <w:pStyle w:val="Heading7"/>
      </w:pPr>
      <w:r>
        <w:rPr>
          <w:color w:val="615C58"/>
          <w:w w:val="95"/>
        </w:rPr>
        <w:t>Widening Participation</w:t>
      </w:r>
    </w:p>
    <w:p>
      <w:pPr>
        <w:pStyle w:val="BodyText"/>
        <w:spacing w:line="249" w:lineRule="auto" w:before="58"/>
        <w:ind w:left="107" w:right="45"/>
      </w:pPr>
      <w:r>
        <w:rPr/>
        <w:t>The University, through the Office of Widening Participation, continued</w:t>
      </w:r>
      <w:r>
        <w:rPr>
          <w:spacing w:val="-31"/>
        </w:rPr>
        <w:t> </w:t>
      </w:r>
      <w:r>
        <w:rPr/>
        <w:t>developing institution-wide strategies for better Higher Education participation and success for disadvantaged students. A target group is young people from non–English speaking backgrounds.</w:t>
      </w:r>
      <w:r>
        <w:rPr>
          <w:spacing w:val="-16"/>
        </w:rPr>
        <w:t> </w:t>
      </w:r>
      <w:r>
        <w:rPr/>
        <w:t>An</w:t>
      </w:r>
      <w:r>
        <w:rPr>
          <w:spacing w:val="-16"/>
        </w:rPr>
        <w:t> </w:t>
      </w:r>
      <w:r>
        <w:rPr/>
        <w:t>example</w:t>
      </w:r>
      <w:r>
        <w:rPr>
          <w:spacing w:val="-16"/>
        </w:rPr>
        <w:t> </w:t>
      </w:r>
      <w:r>
        <w:rPr/>
        <w:t>of</w:t>
      </w:r>
      <w:r>
        <w:rPr>
          <w:spacing w:val="-16"/>
        </w:rPr>
        <w:t> </w:t>
      </w:r>
      <w:r>
        <w:rPr/>
        <w:t>work</w:t>
      </w:r>
      <w:r>
        <w:rPr>
          <w:spacing w:val="-16"/>
        </w:rPr>
        <w:t> </w:t>
      </w:r>
      <w:r>
        <w:rPr/>
        <w:t>in</w:t>
      </w:r>
      <w:r>
        <w:rPr>
          <w:spacing w:val="-16"/>
        </w:rPr>
        <w:t> </w:t>
      </w:r>
      <w:r>
        <w:rPr/>
        <w:t>this</w:t>
      </w:r>
      <w:r>
        <w:rPr>
          <w:spacing w:val="-16"/>
        </w:rPr>
        <w:t> </w:t>
      </w:r>
      <w:r>
        <w:rPr/>
        <w:t>area is the Office’s partnership with the Greater Western Sydney Giants, which allowed us to provide</w:t>
      </w:r>
      <w:r>
        <w:rPr>
          <w:spacing w:val="-16"/>
        </w:rPr>
        <w:t> </w:t>
      </w:r>
      <w:r>
        <w:rPr/>
        <w:t>three</w:t>
      </w:r>
      <w:r>
        <w:rPr>
          <w:spacing w:val="-16"/>
        </w:rPr>
        <w:t> </w:t>
      </w:r>
      <w:r>
        <w:rPr/>
        <w:t>full</w:t>
      </w:r>
      <w:r>
        <w:rPr>
          <w:spacing w:val="-16"/>
        </w:rPr>
        <w:t> </w:t>
      </w:r>
      <w:r>
        <w:rPr/>
        <w:t>semesters</w:t>
      </w:r>
      <w:r>
        <w:rPr>
          <w:spacing w:val="-16"/>
        </w:rPr>
        <w:t> </w:t>
      </w:r>
      <w:r>
        <w:rPr/>
        <w:t>of</w:t>
      </w:r>
      <w:r>
        <w:rPr>
          <w:spacing w:val="-16"/>
        </w:rPr>
        <w:t> </w:t>
      </w:r>
      <w:r>
        <w:rPr/>
        <w:t>mentoring</w:t>
      </w:r>
      <w:r>
        <w:rPr>
          <w:spacing w:val="-16"/>
        </w:rPr>
        <w:t> </w:t>
      </w:r>
      <w:r>
        <w:rPr/>
        <w:t>for 36</w:t>
      </w:r>
      <w:r>
        <w:rPr>
          <w:spacing w:val="-22"/>
        </w:rPr>
        <w:t> </w:t>
      </w:r>
      <w:r>
        <w:rPr/>
        <w:t>refugee</w:t>
      </w:r>
      <w:r>
        <w:rPr>
          <w:spacing w:val="-22"/>
        </w:rPr>
        <w:t> </w:t>
      </w:r>
      <w:r>
        <w:rPr/>
        <w:t>students.</w:t>
      </w:r>
    </w:p>
    <w:p>
      <w:pPr>
        <w:pStyle w:val="BodyText"/>
        <w:spacing w:before="6"/>
        <w:rPr>
          <w:sz w:val="14"/>
        </w:rPr>
      </w:pPr>
    </w:p>
    <w:p>
      <w:pPr>
        <w:pStyle w:val="Heading7"/>
      </w:pPr>
      <w:r>
        <w:rPr>
          <w:color w:val="615C58"/>
          <w:w w:val="95"/>
        </w:rPr>
        <w:t>Building Cultural Competence</w:t>
      </w:r>
    </w:p>
    <w:p>
      <w:pPr>
        <w:pStyle w:val="BodyText"/>
        <w:spacing w:line="249" w:lineRule="auto" w:before="58"/>
        <w:ind w:left="107" w:right="260"/>
      </w:pPr>
      <w:r>
        <w:rPr/>
        <w:t>Cultural Awareness Workshops were again delivered to more than 500 student</w:t>
      </w:r>
    </w:p>
    <w:p>
      <w:pPr>
        <w:pStyle w:val="BodyText"/>
        <w:spacing w:line="249" w:lineRule="auto"/>
        <w:ind w:left="107" w:right="-3"/>
      </w:pPr>
      <w:r>
        <w:rPr/>
        <w:t>volunteers,</w:t>
      </w:r>
      <w:r>
        <w:rPr>
          <w:spacing w:val="-22"/>
        </w:rPr>
        <w:t> </w:t>
      </w:r>
      <w:r>
        <w:rPr/>
        <w:t>leaders</w:t>
      </w:r>
      <w:r>
        <w:rPr>
          <w:spacing w:val="-22"/>
        </w:rPr>
        <w:t> </w:t>
      </w:r>
      <w:r>
        <w:rPr/>
        <w:t>and</w:t>
      </w:r>
      <w:r>
        <w:rPr>
          <w:spacing w:val="-22"/>
        </w:rPr>
        <w:t> </w:t>
      </w:r>
      <w:r>
        <w:rPr/>
        <w:t>employees,</w:t>
      </w:r>
      <w:r>
        <w:rPr>
          <w:spacing w:val="-22"/>
        </w:rPr>
        <w:t> </w:t>
      </w:r>
      <w:r>
        <w:rPr/>
        <w:t>to</w:t>
      </w:r>
      <w:r>
        <w:rPr>
          <w:spacing w:val="-22"/>
        </w:rPr>
        <w:t> </w:t>
      </w:r>
      <w:r>
        <w:rPr/>
        <w:t>improve cultural</w:t>
      </w:r>
      <w:r>
        <w:rPr>
          <w:spacing w:val="-29"/>
        </w:rPr>
        <w:t> </w:t>
      </w:r>
      <w:r>
        <w:rPr/>
        <w:t>awareness</w:t>
      </w:r>
      <w:r>
        <w:rPr>
          <w:spacing w:val="-29"/>
        </w:rPr>
        <w:t> </w:t>
      </w:r>
      <w:r>
        <w:rPr/>
        <w:t>and</w:t>
      </w:r>
      <w:r>
        <w:rPr>
          <w:spacing w:val="-29"/>
        </w:rPr>
        <w:t> </w:t>
      </w:r>
      <w:r>
        <w:rPr/>
        <w:t>sensitivity.</w:t>
      </w:r>
    </w:p>
    <w:p>
      <w:pPr>
        <w:pStyle w:val="BodyText"/>
        <w:spacing w:before="6"/>
        <w:rPr>
          <w:sz w:val="14"/>
        </w:rPr>
      </w:pPr>
    </w:p>
    <w:p>
      <w:pPr>
        <w:pStyle w:val="Heading7"/>
        <w:spacing w:line="249" w:lineRule="auto"/>
        <w:ind w:right="714"/>
      </w:pPr>
      <w:r>
        <w:rPr>
          <w:color w:val="615C58"/>
          <w:w w:val="95"/>
        </w:rPr>
        <w:t>Celebrating the University’s Cultural Diversity</w:t>
      </w:r>
    </w:p>
    <w:p>
      <w:pPr>
        <w:pStyle w:val="BodyText"/>
        <w:spacing w:line="249" w:lineRule="auto" w:before="50"/>
        <w:ind w:left="107" w:right="79"/>
      </w:pPr>
      <w:r>
        <w:rPr/>
        <w:t>Once again, the University held its annual diversity celebration, Diversity Fest. It attracted more than 2,000 students across six campuses, with live performances, panel discussions, community and student clubs, stalls, food and film screenings. The event focused on the many benefits of having a diverse and inclusive University and broader Australian society.</w:t>
      </w:r>
    </w:p>
    <w:p>
      <w:pPr>
        <w:pStyle w:val="BodyText"/>
        <w:rPr>
          <w:sz w:val="14"/>
        </w:rPr>
      </w:pPr>
    </w:p>
    <w:p>
      <w:pPr>
        <w:pStyle w:val="BodyText"/>
        <w:spacing w:line="249" w:lineRule="auto"/>
        <w:ind w:left="107" w:right="59"/>
      </w:pPr>
      <w:r>
        <w:rPr/>
        <w:t>In</w:t>
      </w:r>
      <w:r>
        <w:rPr>
          <w:spacing w:val="-21"/>
        </w:rPr>
        <w:t> </w:t>
      </w:r>
      <w:r>
        <w:rPr/>
        <w:t>multiple</w:t>
      </w:r>
      <w:r>
        <w:rPr>
          <w:spacing w:val="-21"/>
        </w:rPr>
        <w:t> </w:t>
      </w:r>
      <w:r>
        <w:rPr/>
        <w:t>venues</w:t>
      </w:r>
      <w:r>
        <w:rPr>
          <w:spacing w:val="-21"/>
        </w:rPr>
        <w:t> </w:t>
      </w:r>
      <w:r>
        <w:rPr/>
        <w:t>and</w:t>
      </w:r>
      <w:r>
        <w:rPr>
          <w:spacing w:val="-21"/>
        </w:rPr>
        <w:t> </w:t>
      </w:r>
      <w:r>
        <w:rPr/>
        <w:t>forms</w:t>
      </w:r>
      <w:r>
        <w:rPr>
          <w:spacing w:val="-21"/>
        </w:rPr>
        <w:t> </w:t>
      </w:r>
      <w:r>
        <w:rPr/>
        <w:t>across</w:t>
      </w:r>
      <w:r>
        <w:rPr>
          <w:spacing w:val="-21"/>
        </w:rPr>
        <w:t> </w:t>
      </w:r>
      <w:r>
        <w:rPr/>
        <w:t>the</w:t>
      </w:r>
      <w:r>
        <w:rPr>
          <w:spacing w:val="-21"/>
        </w:rPr>
        <w:t> </w:t>
      </w:r>
      <w:r>
        <w:rPr/>
        <w:t>year, the</w:t>
      </w:r>
      <w:r>
        <w:rPr>
          <w:spacing w:val="-13"/>
        </w:rPr>
        <w:t> </w:t>
      </w:r>
      <w:r>
        <w:rPr/>
        <w:t>University</w:t>
      </w:r>
      <w:r>
        <w:rPr>
          <w:spacing w:val="-13"/>
        </w:rPr>
        <w:t> </w:t>
      </w:r>
      <w:r>
        <w:rPr/>
        <w:t>contributed</w:t>
      </w:r>
      <w:r>
        <w:rPr>
          <w:spacing w:val="-13"/>
        </w:rPr>
        <w:t> </w:t>
      </w:r>
      <w:r>
        <w:rPr/>
        <w:t>to</w:t>
      </w:r>
      <w:r>
        <w:rPr>
          <w:spacing w:val="-13"/>
        </w:rPr>
        <w:t> </w:t>
      </w:r>
      <w:r>
        <w:rPr/>
        <w:t>public</w:t>
      </w:r>
      <w:r>
        <w:rPr>
          <w:spacing w:val="-13"/>
        </w:rPr>
        <w:t> </w:t>
      </w:r>
      <w:r>
        <w:rPr/>
        <w:t>discourse on the importance of multiculturalism and the contemporary issues facing Australian multiculturalism.</w:t>
      </w:r>
      <w:r>
        <w:rPr>
          <w:spacing w:val="-29"/>
        </w:rPr>
        <w:t> </w:t>
      </w:r>
      <w:r>
        <w:rPr/>
        <w:t>Some</w:t>
      </w:r>
      <w:r>
        <w:rPr>
          <w:spacing w:val="-29"/>
        </w:rPr>
        <w:t> </w:t>
      </w:r>
      <w:r>
        <w:rPr/>
        <w:t>highlights</w:t>
      </w:r>
      <w:r>
        <w:rPr>
          <w:spacing w:val="-29"/>
        </w:rPr>
        <w:t> </w:t>
      </w:r>
      <w:r>
        <w:rPr/>
        <w:t>include:</w:t>
      </w:r>
    </w:p>
    <w:p>
      <w:pPr>
        <w:spacing w:line="244" w:lineRule="auto" w:before="55"/>
        <w:ind w:left="305" w:right="-2" w:hanging="199"/>
        <w:jc w:val="left"/>
        <w:rPr>
          <w:sz w:val="16"/>
        </w:rPr>
      </w:pPr>
      <w:r>
        <w:rPr>
          <w:rFonts w:ascii="Century Gothic" w:hAnsi="Century Gothic"/>
          <w:b/>
          <w:w w:val="115"/>
          <w:sz w:val="16"/>
        </w:rPr>
        <w:t>≥ </w:t>
      </w:r>
      <w:r>
        <w:rPr>
          <w:sz w:val="16"/>
        </w:rPr>
        <w:t>Chancellor, Professor Peter Shergold’s article in The Conversation ‘</w:t>
      </w:r>
      <w:r>
        <w:rPr>
          <w:rFonts w:ascii="Century Gothic" w:hAnsi="Century Gothic"/>
          <w:i/>
          <w:sz w:val="16"/>
        </w:rPr>
        <w:t>Australia’s </w:t>
      </w:r>
      <w:r>
        <w:rPr>
          <w:rFonts w:ascii="Century Gothic" w:hAnsi="Century Gothic"/>
          <w:i/>
          <w:w w:val="95"/>
          <w:sz w:val="16"/>
        </w:rPr>
        <w:t>Multicultural</w:t>
      </w:r>
      <w:r>
        <w:rPr>
          <w:rFonts w:ascii="Century Gothic" w:hAnsi="Century Gothic"/>
          <w:i/>
          <w:spacing w:val="-16"/>
          <w:w w:val="95"/>
          <w:sz w:val="16"/>
        </w:rPr>
        <w:t> </w:t>
      </w:r>
      <w:r>
        <w:rPr>
          <w:rFonts w:ascii="Century Gothic" w:hAnsi="Century Gothic"/>
          <w:i/>
          <w:w w:val="95"/>
          <w:sz w:val="16"/>
        </w:rPr>
        <w:t>Future</w:t>
      </w:r>
      <w:r>
        <w:rPr>
          <w:rFonts w:ascii="Century Gothic" w:hAnsi="Century Gothic"/>
          <w:i/>
          <w:spacing w:val="-16"/>
          <w:w w:val="95"/>
          <w:sz w:val="16"/>
        </w:rPr>
        <w:t> </w:t>
      </w:r>
      <w:r>
        <w:rPr>
          <w:rFonts w:ascii="Century Gothic" w:hAnsi="Century Gothic"/>
          <w:i/>
          <w:w w:val="95"/>
          <w:sz w:val="16"/>
        </w:rPr>
        <w:t>is</w:t>
      </w:r>
      <w:r>
        <w:rPr>
          <w:rFonts w:ascii="Century Gothic" w:hAnsi="Century Gothic"/>
          <w:i/>
          <w:spacing w:val="-16"/>
          <w:w w:val="95"/>
          <w:sz w:val="16"/>
        </w:rPr>
        <w:t> </w:t>
      </w:r>
      <w:r>
        <w:rPr>
          <w:rFonts w:ascii="Century Gothic" w:hAnsi="Century Gothic"/>
          <w:i/>
          <w:w w:val="95"/>
          <w:sz w:val="16"/>
        </w:rPr>
        <w:t>a</w:t>
      </w:r>
      <w:r>
        <w:rPr>
          <w:rFonts w:ascii="Century Gothic" w:hAnsi="Century Gothic"/>
          <w:i/>
          <w:spacing w:val="-16"/>
          <w:w w:val="95"/>
          <w:sz w:val="16"/>
        </w:rPr>
        <w:t> </w:t>
      </w:r>
      <w:r>
        <w:rPr>
          <w:rFonts w:ascii="Century Gothic" w:hAnsi="Century Gothic"/>
          <w:i/>
          <w:w w:val="95"/>
          <w:sz w:val="16"/>
        </w:rPr>
        <w:t>Story</w:t>
      </w:r>
      <w:r>
        <w:rPr>
          <w:rFonts w:ascii="Century Gothic" w:hAnsi="Century Gothic"/>
          <w:i/>
          <w:spacing w:val="-16"/>
          <w:w w:val="95"/>
          <w:sz w:val="16"/>
        </w:rPr>
        <w:t> </w:t>
      </w:r>
      <w:r>
        <w:rPr>
          <w:rFonts w:ascii="Century Gothic" w:hAnsi="Century Gothic"/>
          <w:i/>
          <w:w w:val="95"/>
          <w:sz w:val="16"/>
        </w:rPr>
        <w:t>in</w:t>
      </w:r>
      <w:r>
        <w:rPr>
          <w:rFonts w:ascii="Century Gothic" w:hAnsi="Century Gothic"/>
          <w:i/>
          <w:spacing w:val="-16"/>
          <w:w w:val="95"/>
          <w:sz w:val="16"/>
        </w:rPr>
        <w:t> </w:t>
      </w:r>
      <w:r>
        <w:rPr>
          <w:rFonts w:ascii="Century Gothic" w:hAnsi="Century Gothic"/>
          <w:i/>
          <w:w w:val="95"/>
          <w:sz w:val="16"/>
        </w:rPr>
        <w:t>Three</w:t>
      </w:r>
      <w:r>
        <w:rPr>
          <w:rFonts w:ascii="Century Gothic" w:hAnsi="Century Gothic"/>
          <w:i/>
          <w:spacing w:val="-16"/>
          <w:w w:val="95"/>
          <w:sz w:val="16"/>
        </w:rPr>
        <w:t> </w:t>
      </w:r>
      <w:r>
        <w:rPr>
          <w:rFonts w:ascii="Century Gothic" w:hAnsi="Century Gothic"/>
          <w:i/>
          <w:spacing w:val="2"/>
          <w:w w:val="95"/>
          <w:sz w:val="16"/>
        </w:rPr>
        <w:t>Parts</w:t>
      </w:r>
      <w:r>
        <w:rPr>
          <w:spacing w:val="2"/>
          <w:w w:val="95"/>
          <w:sz w:val="16"/>
        </w:rPr>
        <w:t>’</w:t>
      </w:r>
    </w:p>
    <w:p>
      <w:pPr>
        <w:pStyle w:val="BodyText"/>
        <w:spacing w:before="8"/>
      </w:pPr>
      <w:r>
        <w:rPr/>
        <w:br w:type="column"/>
      </w:r>
      <w:r>
        <w:rPr/>
      </w:r>
    </w:p>
    <w:p>
      <w:pPr>
        <w:pStyle w:val="BodyText"/>
        <w:spacing w:line="247" w:lineRule="auto"/>
        <w:ind w:left="305" w:right="225" w:hanging="199"/>
      </w:pPr>
      <w:r>
        <w:rPr>
          <w:rFonts w:ascii="Century Gothic" w:hAnsi="Century Gothic"/>
          <w:b/>
          <w:w w:val="115"/>
        </w:rPr>
        <w:t>≥ </w:t>
      </w:r>
      <w:r>
        <w:rPr/>
        <w:t>Public Lecture titled ‘</w:t>
      </w:r>
      <w:r>
        <w:rPr>
          <w:rFonts w:ascii="Century Gothic" w:hAnsi="Century Gothic"/>
          <w:i/>
        </w:rPr>
        <w:t>Islamophobia in </w:t>
      </w:r>
      <w:r>
        <w:rPr>
          <w:rFonts w:ascii="Century Gothic" w:hAnsi="Century Gothic"/>
          <w:i/>
        </w:rPr>
        <w:t>Australia</w:t>
      </w:r>
      <w:r>
        <w:rPr/>
        <w:t>’ including speakers Prof Riaz Hassan (University of South Australia); Dr Jennifer Cheng (Western Sydney University); Dr Selda Dagistanli (Western Sydney University); Dr Alan Lentin (Western Sydney University)</w:t>
      </w:r>
    </w:p>
    <w:p>
      <w:pPr>
        <w:spacing w:line="244" w:lineRule="auto" w:before="57"/>
        <w:ind w:left="305" w:right="464" w:hanging="199"/>
        <w:jc w:val="left"/>
        <w:rPr>
          <w:sz w:val="16"/>
        </w:rPr>
      </w:pPr>
      <w:r>
        <w:rPr>
          <w:rFonts w:ascii="Century Gothic" w:hAnsi="Century Gothic"/>
          <w:b/>
          <w:w w:val="115"/>
          <w:sz w:val="16"/>
        </w:rPr>
        <w:t>≥ </w:t>
      </w:r>
      <w:r>
        <w:rPr>
          <w:sz w:val="16"/>
        </w:rPr>
        <w:t>Public Lecture as part of the Whitlam Institute’s ‘Masterclass’ Series titled </w:t>
      </w:r>
      <w:r>
        <w:rPr>
          <w:w w:val="90"/>
          <w:sz w:val="16"/>
        </w:rPr>
        <w:t>‘</w:t>
      </w:r>
      <w:r>
        <w:rPr>
          <w:rFonts w:ascii="Century Gothic" w:hAnsi="Century Gothic"/>
          <w:i/>
          <w:w w:val="90"/>
          <w:sz w:val="16"/>
        </w:rPr>
        <w:t>Contemporary Voices in Multicultural </w:t>
      </w:r>
      <w:r>
        <w:rPr>
          <w:rFonts w:ascii="Century Gothic" w:hAnsi="Century Gothic"/>
          <w:i/>
          <w:sz w:val="16"/>
        </w:rPr>
        <w:t>Australia and How To Be a Positive </w:t>
      </w:r>
      <w:r>
        <w:rPr>
          <w:rFonts w:ascii="Century Gothic" w:hAnsi="Century Gothic"/>
          <w:i/>
          <w:w w:val="86"/>
          <w:sz w:val="16"/>
        </w:rPr>
        <w:t>Voice </w:t>
      </w:r>
      <w:r>
        <w:rPr>
          <w:rFonts w:ascii="Century Gothic" w:hAnsi="Century Gothic"/>
          <w:i/>
          <w:w w:val="98"/>
          <w:sz w:val="16"/>
        </w:rPr>
        <w:t>for </w:t>
      </w:r>
      <w:r>
        <w:rPr>
          <w:rFonts w:ascii="Century Gothic" w:hAnsi="Century Gothic"/>
          <w:i/>
          <w:w w:val="92"/>
          <w:sz w:val="16"/>
        </w:rPr>
        <w:t>Social </w:t>
      </w:r>
      <w:r>
        <w:rPr>
          <w:rFonts w:ascii="Century Gothic" w:hAnsi="Century Gothic"/>
          <w:i/>
          <w:w w:val="84"/>
          <w:sz w:val="16"/>
        </w:rPr>
        <w:t>Changes </w:t>
      </w:r>
      <w:r>
        <w:rPr>
          <w:rFonts w:ascii="Century Gothic" w:hAnsi="Century Gothic"/>
          <w:i/>
          <w:w w:val="98"/>
          <w:sz w:val="16"/>
        </w:rPr>
        <w:t>in </w:t>
      </w:r>
      <w:r>
        <w:rPr>
          <w:rFonts w:ascii="Century Gothic" w:hAnsi="Century Gothic"/>
          <w:i/>
          <w:w w:val="90"/>
          <w:sz w:val="16"/>
        </w:rPr>
        <w:t>2016</w:t>
      </w:r>
      <w:r>
        <w:rPr>
          <w:w w:val="90"/>
          <w:sz w:val="16"/>
        </w:rPr>
        <w:t>’</w:t>
      </w:r>
    </w:p>
    <w:p>
      <w:pPr>
        <w:spacing w:line="244" w:lineRule="auto" w:before="56"/>
        <w:ind w:left="305" w:right="0" w:hanging="199"/>
        <w:jc w:val="left"/>
        <w:rPr>
          <w:sz w:val="16"/>
        </w:rPr>
      </w:pPr>
      <w:r>
        <w:rPr>
          <w:rFonts w:ascii="Century Gothic" w:hAnsi="Century Gothic"/>
          <w:b/>
          <w:w w:val="115"/>
          <w:sz w:val="16"/>
        </w:rPr>
        <w:t>≥</w:t>
      </w:r>
      <w:r>
        <w:rPr>
          <w:rFonts w:ascii="Century Gothic" w:hAnsi="Century Gothic"/>
          <w:b/>
          <w:spacing w:val="12"/>
          <w:w w:val="115"/>
          <w:sz w:val="16"/>
        </w:rPr>
        <w:t> </w:t>
      </w:r>
      <w:r>
        <w:rPr>
          <w:sz w:val="16"/>
        </w:rPr>
        <w:t>A</w:t>
      </w:r>
      <w:r>
        <w:rPr>
          <w:spacing w:val="-16"/>
          <w:sz w:val="16"/>
        </w:rPr>
        <w:t> </w:t>
      </w:r>
      <w:r>
        <w:rPr>
          <w:sz w:val="16"/>
        </w:rPr>
        <w:t>public</w:t>
      </w:r>
      <w:r>
        <w:rPr>
          <w:spacing w:val="-16"/>
          <w:sz w:val="16"/>
        </w:rPr>
        <w:t> </w:t>
      </w:r>
      <w:r>
        <w:rPr>
          <w:sz w:val="16"/>
        </w:rPr>
        <w:t>discussion</w:t>
      </w:r>
      <w:r>
        <w:rPr>
          <w:spacing w:val="-16"/>
          <w:sz w:val="16"/>
        </w:rPr>
        <w:t> </w:t>
      </w:r>
      <w:r>
        <w:rPr>
          <w:sz w:val="16"/>
        </w:rPr>
        <w:t>forum</w:t>
      </w:r>
      <w:r>
        <w:rPr>
          <w:spacing w:val="-16"/>
          <w:sz w:val="16"/>
        </w:rPr>
        <w:t> </w:t>
      </w:r>
      <w:r>
        <w:rPr>
          <w:sz w:val="16"/>
        </w:rPr>
        <w:t>on</w:t>
      </w:r>
      <w:r>
        <w:rPr>
          <w:spacing w:val="-16"/>
          <w:sz w:val="16"/>
        </w:rPr>
        <w:t> </w:t>
      </w:r>
      <w:r>
        <w:rPr>
          <w:sz w:val="16"/>
        </w:rPr>
        <w:t>‘</w:t>
      </w:r>
      <w:r>
        <w:rPr>
          <w:rFonts w:ascii="Century Gothic" w:hAnsi="Century Gothic"/>
          <w:i/>
          <w:sz w:val="16"/>
        </w:rPr>
        <w:t>The</w:t>
      </w:r>
      <w:r>
        <w:rPr>
          <w:rFonts w:ascii="Century Gothic" w:hAnsi="Century Gothic"/>
          <w:i/>
          <w:spacing w:val="-11"/>
          <w:sz w:val="16"/>
        </w:rPr>
        <w:t> </w:t>
      </w:r>
      <w:r>
        <w:rPr>
          <w:rFonts w:ascii="Century Gothic" w:hAnsi="Century Gothic"/>
          <w:i/>
          <w:sz w:val="16"/>
        </w:rPr>
        <w:t>Future</w:t>
      </w:r>
      <w:r>
        <w:rPr>
          <w:rFonts w:ascii="Century Gothic" w:hAnsi="Century Gothic"/>
          <w:i/>
          <w:spacing w:val="-11"/>
          <w:sz w:val="16"/>
        </w:rPr>
        <w:t> </w:t>
      </w:r>
      <w:r>
        <w:rPr>
          <w:rFonts w:ascii="Century Gothic" w:hAnsi="Century Gothic"/>
          <w:i/>
          <w:sz w:val="16"/>
        </w:rPr>
        <w:t>of </w:t>
      </w:r>
      <w:r>
        <w:rPr>
          <w:rFonts w:ascii="Century Gothic" w:hAnsi="Century Gothic"/>
          <w:i/>
          <w:sz w:val="16"/>
        </w:rPr>
        <w:t>Multiculturalism</w:t>
      </w:r>
      <w:r>
        <w:rPr>
          <w:sz w:val="16"/>
        </w:rPr>
        <w:t>’</w:t>
      </w:r>
      <w:r>
        <w:rPr>
          <w:spacing w:val="-29"/>
          <w:sz w:val="16"/>
        </w:rPr>
        <w:t> </w:t>
      </w:r>
      <w:r>
        <w:rPr>
          <w:sz w:val="16"/>
        </w:rPr>
        <w:t>as</w:t>
      </w:r>
      <w:r>
        <w:rPr>
          <w:spacing w:val="-29"/>
          <w:sz w:val="16"/>
        </w:rPr>
        <w:t> </w:t>
      </w:r>
      <w:r>
        <w:rPr>
          <w:spacing w:val="2"/>
          <w:sz w:val="16"/>
        </w:rPr>
        <w:t>part</w:t>
      </w:r>
      <w:r>
        <w:rPr>
          <w:spacing w:val="-29"/>
          <w:sz w:val="16"/>
        </w:rPr>
        <w:t> </w:t>
      </w:r>
      <w:r>
        <w:rPr>
          <w:sz w:val="16"/>
        </w:rPr>
        <w:t>of</w:t>
      </w:r>
      <w:r>
        <w:rPr>
          <w:spacing w:val="-29"/>
          <w:sz w:val="16"/>
        </w:rPr>
        <w:t> </w:t>
      </w:r>
      <w:r>
        <w:rPr>
          <w:sz w:val="16"/>
        </w:rPr>
        <w:t>the</w:t>
      </w:r>
      <w:r>
        <w:rPr>
          <w:spacing w:val="-29"/>
          <w:sz w:val="16"/>
        </w:rPr>
        <w:t> </w:t>
      </w:r>
      <w:r>
        <w:rPr>
          <w:sz w:val="16"/>
        </w:rPr>
        <w:t>University’s Open Fora</w:t>
      </w:r>
      <w:r>
        <w:rPr>
          <w:spacing w:val="-28"/>
          <w:sz w:val="16"/>
        </w:rPr>
        <w:t> </w:t>
      </w:r>
      <w:r>
        <w:rPr>
          <w:sz w:val="16"/>
        </w:rPr>
        <w:t>series</w:t>
      </w:r>
    </w:p>
    <w:p>
      <w:pPr>
        <w:pStyle w:val="BodyText"/>
        <w:spacing w:line="247" w:lineRule="auto" w:before="58"/>
        <w:ind w:left="305" w:right="122" w:hanging="199"/>
      </w:pPr>
      <w:r>
        <w:rPr>
          <w:rFonts w:ascii="Century Gothic" w:hAnsi="Century Gothic"/>
          <w:b/>
          <w:w w:val="115"/>
        </w:rPr>
        <w:t>≥ </w:t>
      </w:r>
      <w:r>
        <w:rPr/>
        <w:t>Photography exhibition on campus showcasing the diversity, multiculturalism, and definition of the Australian identity ‘What is Your Australia’</w:t>
      </w:r>
    </w:p>
    <w:p>
      <w:pPr>
        <w:pStyle w:val="BodyText"/>
        <w:spacing w:before="2"/>
        <w:rPr>
          <w:sz w:val="14"/>
        </w:rPr>
      </w:pPr>
    </w:p>
    <w:p>
      <w:pPr>
        <w:spacing w:line="247" w:lineRule="auto" w:before="0"/>
        <w:ind w:left="107" w:right="217" w:firstLine="0"/>
        <w:jc w:val="left"/>
        <w:rPr>
          <w:sz w:val="16"/>
        </w:rPr>
      </w:pPr>
      <w:r>
        <w:rPr>
          <w:sz w:val="16"/>
        </w:rPr>
        <w:t>Finally,</w:t>
      </w:r>
      <w:r>
        <w:rPr>
          <w:spacing w:val="-19"/>
          <w:sz w:val="16"/>
        </w:rPr>
        <w:t> </w:t>
      </w:r>
      <w:r>
        <w:rPr>
          <w:sz w:val="16"/>
        </w:rPr>
        <w:t>to</w:t>
      </w:r>
      <w:r>
        <w:rPr>
          <w:spacing w:val="-19"/>
          <w:sz w:val="16"/>
        </w:rPr>
        <w:t> </w:t>
      </w:r>
      <w:r>
        <w:rPr>
          <w:sz w:val="16"/>
        </w:rPr>
        <w:t>celebrate</w:t>
      </w:r>
      <w:r>
        <w:rPr>
          <w:spacing w:val="-19"/>
          <w:sz w:val="16"/>
        </w:rPr>
        <w:t> </w:t>
      </w:r>
      <w:r>
        <w:rPr>
          <w:sz w:val="16"/>
        </w:rPr>
        <w:t>and</w:t>
      </w:r>
      <w:r>
        <w:rPr>
          <w:spacing w:val="-19"/>
          <w:sz w:val="16"/>
        </w:rPr>
        <w:t> </w:t>
      </w:r>
      <w:r>
        <w:rPr>
          <w:sz w:val="16"/>
        </w:rPr>
        <w:t>promote</w:t>
      </w:r>
      <w:r>
        <w:rPr>
          <w:spacing w:val="-19"/>
          <w:sz w:val="16"/>
        </w:rPr>
        <w:t> </w:t>
      </w:r>
      <w:r>
        <w:rPr>
          <w:sz w:val="16"/>
        </w:rPr>
        <w:t>awareness of</w:t>
      </w:r>
      <w:r>
        <w:rPr>
          <w:spacing w:val="-18"/>
          <w:sz w:val="16"/>
        </w:rPr>
        <w:t> </w:t>
      </w:r>
      <w:r>
        <w:rPr>
          <w:sz w:val="16"/>
        </w:rPr>
        <w:t>the</w:t>
      </w:r>
      <w:r>
        <w:rPr>
          <w:spacing w:val="-18"/>
          <w:sz w:val="16"/>
        </w:rPr>
        <w:t> </w:t>
      </w:r>
      <w:r>
        <w:rPr>
          <w:sz w:val="16"/>
        </w:rPr>
        <w:t>University</w:t>
      </w:r>
      <w:r>
        <w:rPr>
          <w:spacing w:val="-18"/>
          <w:sz w:val="16"/>
        </w:rPr>
        <w:t> </w:t>
      </w:r>
      <w:r>
        <w:rPr>
          <w:sz w:val="16"/>
        </w:rPr>
        <w:t>Community’s</w:t>
      </w:r>
      <w:r>
        <w:rPr>
          <w:spacing w:val="-18"/>
          <w:sz w:val="16"/>
        </w:rPr>
        <w:t> </w:t>
      </w:r>
      <w:r>
        <w:rPr>
          <w:sz w:val="16"/>
        </w:rPr>
        <w:t>diversity,</w:t>
      </w:r>
      <w:r>
        <w:rPr>
          <w:spacing w:val="-18"/>
          <w:sz w:val="16"/>
        </w:rPr>
        <w:t> </w:t>
      </w:r>
      <w:r>
        <w:rPr>
          <w:sz w:val="16"/>
        </w:rPr>
        <w:t>over </w:t>
      </w:r>
      <w:r>
        <w:rPr>
          <w:spacing w:val="2"/>
          <w:sz w:val="16"/>
        </w:rPr>
        <w:t>600</w:t>
      </w:r>
      <w:r>
        <w:rPr>
          <w:spacing w:val="-30"/>
          <w:sz w:val="16"/>
        </w:rPr>
        <w:t> </w:t>
      </w:r>
      <w:r>
        <w:rPr>
          <w:sz w:val="16"/>
        </w:rPr>
        <w:t>copies</w:t>
      </w:r>
      <w:r>
        <w:rPr>
          <w:spacing w:val="-30"/>
          <w:sz w:val="16"/>
        </w:rPr>
        <w:t> </w:t>
      </w:r>
      <w:r>
        <w:rPr>
          <w:sz w:val="16"/>
        </w:rPr>
        <w:t>of</w:t>
      </w:r>
      <w:r>
        <w:rPr>
          <w:spacing w:val="-30"/>
          <w:sz w:val="16"/>
        </w:rPr>
        <w:t> </w:t>
      </w:r>
      <w:r>
        <w:rPr>
          <w:sz w:val="16"/>
        </w:rPr>
        <w:t>the</w:t>
      </w:r>
      <w:r>
        <w:rPr>
          <w:spacing w:val="-30"/>
          <w:sz w:val="16"/>
        </w:rPr>
        <w:t> </w:t>
      </w:r>
      <w:r>
        <w:rPr>
          <w:rFonts w:ascii="Century Gothic" w:hAnsi="Century Gothic"/>
          <w:i/>
          <w:sz w:val="16"/>
        </w:rPr>
        <w:t>Western</w:t>
      </w:r>
      <w:r>
        <w:rPr>
          <w:rFonts w:ascii="Century Gothic" w:hAnsi="Century Gothic"/>
          <w:i/>
          <w:spacing w:val="-25"/>
          <w:sz w:val="16"/>
        </w:rPr>
        <w:t> </w:t>
      </w:r>
      <w:r>
        <w:rPr>
          <w:rFonts w:ascii="Century Gothic" w:hAnsi="Century Gothic"/>
          <w:i/>
          <w:sz w:val="16"/>
        </w:rPr>
        <w:t>Sydney</w:t>
      </w:r>
      <w:r>
        <w:rPr>
          <w:rFonts w:ascii="Century Gothic" w:hAnsi="Century Gothic"/>
          <w:i/>
          <w:spacing w:val="-25"/>
          <w:sz w:val="16"/>
        </w:rPr>
        <w:t> </w:t>
      </w:r>
      <w:r>
        <w:rPr>
          <w:rFonts w:ascii="Century Gothic" w:hAnsi="Century Gothic"/>
          <w:i/>
          <w:sz w:val="16"/>
        </w:rPr>
        <w:t>University </w:t>
      </w:r>
      <w:r>
        <w:rPr>
          <w:rFonts w:ascii="Century Gothic" w:hAnsi="Century Gothic"/>
          <w:i/>
          <w:spacing w:val="1"/>
          <w:w w:val="85"/>
          <w:sz w:val="16"/>
        </w:rPr>
        <w:t>2017</w:t>
      </w:r>
      <w:r>
        <w:rPr>
          <w:rFonts w:ascii="Century Gothic" w:hAnsi="Century Gothic"/>
          <w:i/>
          <w:w w:val="85"/>
          <w:sz w:val="16"/>
        </w:rPr>
        <w:t> </w:t>
      </w:r>
      <w:r>
        <w:rPr>
          <w:rFonts w:ascii="Century Gothic" w:hAnsi="Century Gothic"/>
          <w:i/>
          <w:spacing w:val="1"/>
          <w:w w:val="95"/>
          <w:sz w:val="16"/>
        </w:rPr>
        <w:t>Equity</w:t>
      </w:r>
      <w:r>
        <w:rPr>
          <w:rFonts w:ascii="Century Gothic" w:hAnsi="Century Gothic"/>
          <w:i/>
          <w:w w:val="95"/>
          <w:sz w:val="16"/>
        </w:rPr>
        <w:t> </w:t>
      </w:r>
      <w:r>
        <w:rPr>
          <w:rFonts w:ascii="Century Gothic" w:hAnsi="Century Gothic"/>
          <w:i/>
          <w:spacing w:val="1"/>
          <w:w w:val="80"/>
          <w:sz w:val="16"/>
        </w:rPr>
        <w:t>and</w:t>
      </w:r>
      <w:r>
        <w:rPr>
          <w:rFonts w:ascii="Century Gothic" w:hAnsi="Century Gothic"/>
          <w:i/>
          <w:w w:val="80"/>
          <w:sz w:val="16"/>
        </w:rPr>
        <w:t> </w:t>
      </w:r>
      <w:r>
        <w:rPr>
          <w:rFonts w:ascii="Century Gothic" w:hAnsi="Century Gothic"/>
          <w:i/>
          <w:spacing w:val="1"/>
          <w:w w:val="98"/>
          <w:sz w:val="16"/>
        </w:rPr>
        <w:t>Diversity</w:t>
      </w:r>
      <w:r>
        <w:rPr>
          <w:rFonts w:ascii="Century Gothic" w:hAnsi="Century Gothic"/>
          <w:i/>
          <w:w w:val="98"/>
          <w:sz w:val="16"/>
        </w:rPr>
        <w:t> </w:t>
      </w:r>
      <w:r>
        <w:rPr>
          <w:rFonts w:ascii="Century Gothic" w:hAnsi="Century Gothic"/>
          <w:i/>
          <w:spacing w:val="1"/>
          <w:w w:val="86"/>
          <w:sz w:val="16"/>
        </w:rPr>
        <w:t>Calendar</w:t>
      </w:r>
      <w:r>
        <w:rPr>
          <w:rFonts w:ascii="Century Gothic" w:hAnsi="Century Gothic"/>
          <w:i/>
          <w:w w:val="86"/>
          <w:sz w:val="16"/>
        </w:rPr>
        <w:t> </w:t>
      </w:r>
      <w:r>
        <w:rPr>
          <w:w w:val="97"/>
          <w:sz w:val="16"/>
        </w:rPr>
        <w:t>were </w:t>
      </w:r>
      <w:r>
        <w:rPr>
          <w:sz w:val="16"/>
        </w:rPr>
        <w:t>distributed.</w:t>
      </w:r>
      <w:r>
        <w:rPr>
          <w:spacing w:val="-21"/>
          <w:sz w:val="16"/>
        </w:rPr>
        <w:t> </w:t>
      </w:r>
      <w:r>
        <w:rPr>
          <w:sz w:val="16"/>
        </w:rPr>
        <w:t>The</w:t>
      </w:r>
      <w:r>
        <w:rPr>
          <w:spacing w:val="-21"/>
          <w:sz w:val="16"/>
        </w:rPr>
        <w:t> </w:t>
      </w:r>
      <w:r>
        <w:rPr>
          <w:sz w:val="16"/>
        </w:rPr>
        <w:t>calendar</w:t>
      </w:r>
      <w:r>
        <w:rPr>
          <w:spacing w:val="-21"/>
          <w:sz w:val="16"/>
        </w:rPr>
        <w:t> </w:t>
      </w:r>
      <w:r>
        <w:rPr>
          <w:sz w:val="16"/>
        </w:rPr>
        <w:t>marks</w:t>
      </w:r>
      <w:r>
        <w:rPr>
          <w:spacing w:val="-21"/>
          <w:sz w:val="16"/>
        </w:rPr>
        <w:t> </w:t>
      </w:r>
      <w:r>
        <w:rPr>
          <w:sz w:val="16"/>
        </w:rPr>
        <w:t>cultural</w:t>
      </w:r>
    </w:p>
    <w:p>
      <w:pPr>
        <w:pStyle w:val="BodyText"/>
        <w:spacing w:line="249" w:lineRule="auto" w:before="1"/>
        <w:ind w:left="107" w:right="247"/>
      </w:pPr>
      <w:r>
        <w:rPr/>
        <w:t>and religious days celebrated in Australia and around the world, and was provided to University staff and students, Members of Parliament, community partners, and other </w:t>
      </w:r>
      <w:r>
        <w:rPr>
          <w:w w:val="95"/>
        </w:rPr>
        <w:t>major stakeholders.</w:t>
      </w:r>
    </w:p>
    <w:p>
      <w:pPr>
        <w:pStyle w:val="BodyText"/>
        <w:spacing w:before="6"/>
        <w:rPr>
          <w:sz w:val="14"/>
        </w:rPr>
      </w:pPr>
    </w:p>
    <w:p>
      <w:pPr>
        <w:pStyle w:val="Heading7"/>
        <w:ind w:right="0"/>
      </w:pPr>
      <w:r>
        <w:rPr>
          <w:color w:val="615C58"/>
          <w:w w:val="95"/>
        </w:rPr>
        <w:t>Supporting Religious Diversity</w:t>
      </w:r>
    </w:p>
    <w:p>
      <w:pPr>
        <w:pStyle w:val="BodyText"/>
        <w:spacing w:line="249" w:lineRule="auto" w:before="58"/>
        <w:ind w:left="107" w:right="147"/>
      </w:pPr>
      <w:r>
        <w:rPr>
          <w:w w:val="97"/>
        </w:rPr>
        <w:t>Throughout </w:t>
      </w:r>
      <w:r>
        <w:rPr>
          <w:w w:val="85"/>
        </w:rPr>
        <w:t>2016, </w:t>
      </w:r>
      <w:r>
        <w:rPr>
          <w:w w:val="97"/>
        </w:rPr>
        <w:t>the </w:t>
      </w:r>
      <w:r>
        <w:rPr>
          <w:w w:val="97"/>
        </w:rPr>
        <w:t>University </w:t>
      </w:r>
      <w:r>
        <w:rPr>
          <w:w w:val="97"/>
        </w:rPr>
        <w:t>staff </w:t>
      </w:r>
      <w:r>
        <w:rPr>
          <w:w w:val="97"/>
        </w:rPr>
        <w:t>and </w:t>
      </w:r>
      <w:r>
        <w:rPr/>
        <w:t>students upgraded multi-faith prayer and meditation facilities and Muslim prayer rooms. Chaplains from a broad range of denominations and faith traditions continued to serve staff and students; for example,</w:t>
      </w:r>
    </w:p>
    <w:p>
      <w:pPr>
        <w:pStyle w:val="BodyText"/>
        <w:spacing w:line="249" w:lineRule="auto"/>
        <w:ind w:left="107" w:right="165"/>
      </w:pPr>
      <w:r>
        <w:rPr/>
        <w:t>non-denominational memorial services were held, as were regular ‘drop-in’ services on the Parramatta, Kingswood, Bankstown</w:t>
      </w:r>
    </w:p>
    <w:p>
      <w:pPr>
        <w:pStyle w:val="BodyText"/>
        <w:spacing w:line="249" w:lineRule="auto"/>
        <w:ind w:left="107" w:right="27"/>
      </w:pPr>
      <w:r>
        <w:rPr/>
        <w:t>and Campbelltown campuses. Multi-faith commemorative and reflection spaces were also dedicated to the victims and those </w:t>
      </w:r>
      <w:r>
        <w:rPr>
          <w:w w:val="98"/>
        </w:rPr>
        <w:t>affected </w:t>
      </w:r>
      <w:r>
        <w:rPr>
          <w:w w:val="102"/>
        </w:rPr>
        <w:t>by </w:t>
      </w:r>
      <w:r>
        <w:rPr>
          <w:w w:val="97"/>
        </w:rPr>
        <w:t>the </w:t>
      </w:r>
      <w:r>
        <w:rPr>
          <w:w w:val="90"/>
        </w:rPr>
        <w:t>2016 </w:t>
      </w:r>
      <w:r>
        <w:rPr>
          <w:w w:val="98"/>
        </w:rPr>
        <w:t>shooting </w:t>
      </w:r>
      <w:r>
        <w:rPr>
          <w:w w:val="98"/>
        </w:rPr>
        <w:t>at </w:t>
      </w:r>
      <w:r>
        <w:rPr>
          <w:w w:val="94"/>
        </w:rPr>
        <w:t>a </w:t>
      </w:r>
      <w:r>
        <w:rPr>
          <w:w w:val="98"/>
        </w:rPr>
        <w:t>nightclub </w:t>
      </w:r>
      <w:r>
        <w:rPr>
          <w:w w:val="95"/>
        </w:rPr>
        <w:t>in </w:t>
      </w:r>
      <w:r>
        <w:rPr/>
        <w:t>Orlando, Florida.</w:t>
      </w:r>
    </w:p>
    <w:p>
      <w:pPr>
        <w:spacing w:after="0" w:line="249" w:lineRule="auto"/>
        <w:sectPr>
          <w:type w:val="continuous"/>
          <w:pgSz w:w="11910" w:h="16840"/>
          <w:pgMar w:top="1580" w:bottom="280" w:left="800" w:right="800"/>
          <w:cols w:num="3" w:equalWidth="0">
            <w:col w:w="3320" w:space="119"/>
            <w:col w:w="3320" w:space="119"/>
            <w:col w:w="3432"/>
          </w:cols>
        </w:sectPr>
      </w:pPr>
    </w:p>
    <w:p>
      <w:pPr>
        <w:pStyle w:val="BodyText"/>
        <w:spacing w:before="9"/>
        <w:rPr>
          <w:sz w:val="28"/>
        </w:rPr>
      </w:pPr>
    </w:p>
    <w:p>
      <w:pPr>
        <w:pStyle w:val="Heading2"/>
        <w:ind w:left="327" w:right="816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15"/>
        </w:rPr>
      </w:pPr>
    </w:p>
    <w:p>
      <w:pPr>
        <w:spacing w:after="0"/>
        <w:rPr>
          <w:rFonts w:ascii="Chronicle Text G1"/>
          <w:sz w:val="15"/>
        </w:rPr>
        <w:sectPr>
          <w:pgSz w:w="11910" w:h="16840"/>
          <w:pgMar w:header="496" w:footer="472" w:top="680" w:bottom="660" w:left="580" w:right="580"/>
        </w:sectPr>
      </w:pPr>
    </w:p>
    <w:p>
      <w:pPr>
        <w:pStyle w:val="Heading5"/>
        <w:spacing w:before="66"/>
        <w:ind w:left="327" w:right="-2"/>
      </w:pPr>
      <w:bookmarkStart w:name="_TOC_250030" w:id="24"/>
      <w:bookmarkEnd w:id="24"/>
      <w:r>
        <w:rPr>
          <w:w w:val="95"/>
        </w:rPr>
        <w:t>ADVANCEMENT AND ALUMNI</w:t>
      </w:r>
    </w:p>
    <w:p>
      <w:pPr>
        <w:pStyle w:val="BodyText"/>
        <w:spacing w:line="249" w:lineRule="auto" w:before="95"/>
        <w:ind w:left="327" w:right="120"/>
      </w:pPr>
      <w:r>
        <w:rPr/>
        <w:t>The Office of Advancement and Alumni leads</w:t>
      </w:r>
      <w:r>
        <w:rPr>
          <w:spacing w:val="-17"/>
        </w:rPr>
        <w:t> </w:t>
      </w:r>
      <w:r>
        <w:rPr/>
        <w:t>activities</w:t>
      </w:r>
      <w:r>
        <w:rPr>
          <w:spacing w:val="-17"/>
        </w:rPr>
        <w:t> </w:t>
      </w:r>
      <w:r>
        <w:rPr/>
        <w:t>to</w:t>
      </w:r>
      <w:r>
        <w:rPr>
          <w:spacing w:val="-17"/>
        </w:rPr>
        <w:t> </w:t>
      </w:r>
      <w:r>
        <w:rPr/>
        <w:t>attract</w:t>
      </w:r>
      <w:r>
        <w:rPr>
          <w:spacing w:val="-17"/>
        </w:rPr>
        <w:t> </w:t>
      </w:r>
      <w:r>
        <w:rPr/>
        <w:t>major</w:t>
      </w:r>
      <w:r>
        <w:rPr>
          <w:spacing w:val="-17"/>
        </w:rPr>
        <w:t> </w:t>
      </w:r>
      <w:r>
        <w:rPr/>
        <w:t>philanthropic support; manages fundraising initiatives; engages with the University’s alumni; and fosters</w:t>
      </w:r>
      <w:r>
        <w:rPr>
          <w:spacing w:val="-21"/>
        </w:rPr>
        <w:t> </w:t>
      </w:r>
      <w:r>
        <w:rPr/>
        <w:t>University</w:t>
      </w:r>
      <w:r>
        <w:rPr>
          <w:spacing w:val="-21"/>
        </w:rPr>
        <w:t> </w:t>
      </w:r>
      <w:r>
        <w:rPr/>
        <w:t>relationships,</w:t>
      </w:r>
      <w:r>
        <w:rPr>
          <w:spacing w:val="-21"/>
        </w:rPr>
        <w:t> </w:t>
      </w:r>
      <w:r>
        <w:rPr/>
        <w:t>primarily</w:t>
      </w:r>
      <w:r>
        <w:rPr>
          <w:spacing w:val="-21"/>
        </w:rPr>
        <w:t> </w:t>
      </w:r>
      <w:r>
        <w:rPr/>
        <w:t>for the</w:t>
      </w:r>
      <w:r>
        <w:rPr>
          <w:spacing w:val="-20"/>
        </w:rPr>
        <w:t> </w:t>
      </w:r>
      <w:r>
        <w:rPr/>
        <w:t>purposes</w:t>
      </w:r>
      <w:r>
        <w:rPr>
          <w:spacing w:val="-20"/>
        </w:rPr>
        <w:t> </w:t>
      </w:r>
      <w:r>
        <w:rPr/>
        <w:t>of</w:t>
      </w:r>
      <w:r>
        <w:rPr>
          <w:spacing w:val="-20"/>
        </w:rPr>
        <w:t> </w:t>
      </w:r>
      <w:r>
        <w:rPr/>
        <w:t>philanthropy,</w:t>
      </w:r>
      <w:r>
        <w:rPr>
          <w:spacing w:val="-20"/>
        </w:rPr>
        <w:t> </w:t>
      </w:r>
      <w:r>
        <w:rPr/>
        <w:t>donations</w:t>
      </w:r>
      <w:r>
        <w:rPr>
          <w:spacing w:val="-20"/>
        </w:rPr>
        <w:t> </w:t>
      </w:r>
      <w:r>
        <w:rPr/>
        <w:t>and sponsorship,</w:t>
      </w:r>
      <w:r>
        <w:rPr>
          <w:spacing w:val="-21"/>
        </w:rPr>
        <w:t> </w:t>
      </w:r>
      <w:r>
        <w:rPr/>
        <w:t>but</w:t>
      </w:r>
      <w:r>
        <w:rPr>
          <w:spacing w:val="-21"/>
        </w:rPr>
        <w:t> </w:t>
      </w:r>
      <w:r>
        <w:rPr/>
        <w:t>also</w:t>
      </w:r>
      <w:r>
        <w:rPr>
          <w:spacing w:val="-21"/>
        </w:rPr>
        <w:t> </w:t>
      </w:r>
      <w:r>
        <w:rPr/>
        <w:t>to</w:t>
      </w:r>
      <w:r>
        <w:rPr>
          <w:spacing w:val="-21"/>
        </w:rPr>
        <w:t> </w:t>
      </w:r>
      <w:r>
        <w:rPr/>
        <w:t>foster</w:t>
      </w:r>
      <w:r>
        <w:rPr>
          <w:spacing w:val="-21"/>
        </w:rPr>
        <w:t> </w:t>
      </w:r>
      <w:r>
        <w:rPr/>
        <w:t>internship</w:t>
      </w:r>
      <w:r>
        <w:rPr>
          <w:spacing w:val="-21"/>
        </w:rPr>
        <w:t> </w:t>
      </w:r>
      <w:r>
        <w:rPr/>
        <w:t>and careers</w:t>
      </w:r>
      <w:r>
        <w:rPr>
          <w:spacing w:val="-17"/>
        </w:rPr>
        <w:t> </w:t>
      </w:r>
      <w:r>
        <w:rPr/>
        <w:t>opportunities</w:t>
      </w:r>
      <w:r>
        <w:rPr>
          <w:spacing w:val="-17"/>
        </w:rPr>
        <w:t> </w:t>
      </w:r>
      <w:r>
        <w:rPr/>
        <w:t>for</w:t>
      </w:r>
      <w:r>
        <w:rPr>
          <w:spacing w:val="-17"/>
        </w:rPr>
        <w:t> </w:t>
      </w:r>
      <w:r>
        <w:rPr/>
        <w:t>students,</w:t>
      </w:r>
      <w:r>
        <w:rPr>
          <w:spacing w:val="-17"/>
        </w:rPr>
        <w:t> </w:t>
      </w:r>
      <w:r>
        <w:rPr/>
        <w:t>and</w:t>
      </w:r>
      <w:r>
        <w:rPr>
          <w:spacing w:val="-17"/>
        </w:rPr>
        <w:t> </w:t>
      </w:r>
      <w:r>
        <w:rPr/>
        <w:t>to</w:t>
      </w:r>
    </w:p>
    <w:p>
      <w:pPr>
        <w:pStyle w:val="BodyText"/>
        <w:spacing w:line="192" w:lineRule="exact"/>
        <w:ind w:left="327" w:right="-3"/>
      </w:pPr>
      <w:r>
        <w:rPr/>
        <w:t>enhance</w:t>
      </w:r>
      <w:r>
        <w:rPr>
          <w:spacing w:val="-23"/>
        </w:rPr>
        <w:t> </w:t>
      </w:r>
      <w:r>
        <w:rPr/>
        <w:t>the</w:t>
      </w:r>
      <w:r>
        <w:rPr>
          <w:spacing w:val="-23"/>
        </w:rPr>
        <w:t> </w:t>
      </w:r>
      <w:r>
        <w:rPr/>
        <w:t>University’s</w:t>
      </w:r>
      <w:r>
        <w:rPr>
          <w:spacing w:val="-23"/>
        </w:rPr>
        <w:t> </w:t>
      </w:r>
      <w:r>
        <w:rPr/>
        <w:t>reputation</w:t>
      </w:r>
      <w:r>
        <w:rPr>
          <w:spacing w:val="-23"/>
        </w:rPr>
        <w:t> </w:t>
      </w:r>
      <w:r>
        <w:rPr/>
        <w:t>and</w:t>
      </w:r>
      <w:r>
        <w:rPr>
          <w:spacing w:val="-23"/>
        </w:rPr>
        <w:t> </w:t>
      </w:r>
      <w:r>
        <w:rPr/>
        <w:t>brand.</w:t>
      </w:r>
    </w:p>
    <w:p>
      <w:pPr>
        <w:pStyle w:val="BodyText"/>
        <w:spacing w:before="7"/>
        <w:rPr>
          <w:sz w:val="14"/>
        </w:rPr>
      </w:pPr>
    </w:p>
    <w:p>
      <w:pPr>
        <w:pStyle w:val="BodyText"/>
        <w:spacing w:line="247" w:lineRule="auto"/>
        <w:ind w:left="327" w:right="1"/>
      </w:pPr>
      <w:r>
        <w:rPr>
          <w:w w:val="94"/>
        </w:rPr>
        <w:t>The </w:t>
      </w:r>
      <w:r>
        <w:rPr>
          <w:w w:val="97"/>
        </w:rPr>
        <w:t>University’s </w:t>
      </w:r>
      <w:r>
        <w:rPr>
          <w:rFonts w:ascii="Century Gothic" w:hAnsi="Century Gothic"/>
          <w:i/>
          <w:w w:val="92"/>
        </w:rPr>
        <w:t>Securing </w:t>
      </w:r>
      <w:r>
        <w:rPr>
          <w:rFonts w:ascii="Century Gothic" w:hAnsi="Century Gothic"/>
          <w:i/>
          <w:w w:val="90"/>
        </w:rPr>
        <w:t>Success </w:t>
      </w:r>
      <w:r>
        <w:rPr>
          <w:rFonts w:ascii="Century Gothic" w:hAnsi="Century Gothic"/>
          <w:i/>
          <w:w w:val="94"/>
        </w:rPr>
        <w:t>2015–2020 </w:t>
      </w:r>
      <w:r>
        <w:rPr>
          <w:rFonts w:ascii="Century Gothic" w:hAnsi="Century Gothic"/>
          <w:i/>
        </w:rPr>
        <w:t>Strategic Plan </w:t>
      </w:r>
      <w:r>
        <w:rPr/>
        <w:t>underpins the Office’s future direction, incorporating the goals of being student-centred and research-led. The Office works to ensure that a strong culture of philanthropic giving advances the University’s teaching, learning and research agendas.</w:t>
      </w:r>
    </w:p>
    <w:p>
      <w:pPr>
        <w:pStyle w:val="BodyText"/>
        <w:spacing w:before="2"/>
        <w:rPr>
          <w:sz w:val="14"/>
        </w:rPr>
      </w:pPr>
    </w:p>
    <w:p>
      <w:pPr>
        <w:pStyle w:val="BodyText"/>
        <w:spacing w:line="249" w:lineRule="auto"/>
        <w:ind w:left="327" w:right="24"/>
      </w:pPr>
      <w:r>
        <w:rPr>
          <w:w w:val="80"/>
        </w:rPr>
        <w:t>In </w:t>
      </w:r>
      <w:r>
        <w:rPr>
          <w:w w:val="85"/>
        </w:rPr>
        <w:t>2016, </w:t>
      </w:r>
      <w:r>
        <w:rPr>
          <w:w w:val="97"/>
        </w:rPr>
        <w:t>the </w:t>
      </w:r>
      <w:r>
        <w:rPr>
          <w:w w:val="97"/>
        </w:rPr>
        <w:t>University </w:t>
      </w:r>
      <w:r>
        <w:rPr>
          <w:w w:val="96"/>
        </w:rPr>
        <w:t>was </w:t>
      </w:r>
      <w:r>
        <w:rPr>
          <w:w w:val="97"/>
        </w:rPr>
        <w:t>fortunate </w:t>
      </w:r>
      <w:r>
        <w:rPr>
          <w:w w:val="101"/>
        </w:rPr>
        <w:t>to </w:t>
      </w:r>
      <w:r>
        <w:rPr/>
        <w:t>receive more philanthropic support than ever before, receiving major gift commitments for both research and scholarships.</w:t>
      </w:r>
    </w:p>
    <w:p>
      <w:pPr>
        <w:pStyle w:val="BodyText"/>
        <w:spacing w:before="3"/>
        <w:rPr>
          <w:sz w:val="19"/>
        </w:rPr>
      </w:pPr>
    </w:p>
    <w:p>
      <w:pPr>
        <w:pStyle w:val="Heading7"/>
        <w:ind w:left="327"/>
      </w:pPr>
      <w:r>
        <w:rPr>
          <w:w w:val="95"/>
        </w:rPr>
        <w:t>FOUNDATION COUNCIL</w:t>
      </w:r>
    </w:p>
    <w:p>
      <w:pPr>
        <w:pStyle w:val="BodyText"/>
        <w:spacing w:line="249" w:lineRule="auto" w:before="58"/>
        <w:ind w:left="327" w:right="412"/>
      </w:pPr>
      <w:r>
        <w:rPr/>
        <w:t>The Office of Advancement and Alumni is led and supported by the University’s</w:t>
      </w:r>
    </w:p>
    <w:p>
      <w:pPr>
        <w:pStyle w:val="BodyText"/>
        <w:spacing w:line="249" w:lineRule="auto"/>
        <w:ind w:left="327" w:right="52"/>
      </w:pPr>
      <w:r>
        <w:rPr/>
        <w:t>Foundation Council, a sub-committee of the </w:t>
      </w:r>
      <w:r>
        <w:rPr>
          <w:spacing w:val="1"/>
          <w:w w:val="99"/>
        </w:rPr>
        <w:t>Board</w:t>
      </w:r>
      <w:r>
        <w:rPr>
          <w:w w:val="99"/>
        </w:rPr>
        <w:t> </w:t>
      </w:r>
      <w:r>
        <w:rPr>
          <w:w w:val="99"/>
        </w:rPr>
        <w:t>of </w:t>
      </w:r>
      <w:r>
        <w:rPr>
          <w:w w:val="92"/>
        </w:rPr>
        <w:t>Trustees. </w:t>
      </w:r>
      <w:r>
        <w:rPr>
          <w:spacing w:val="1"/>
          <w:w w:val="80"/>
        </w:rPr>
        <w:t>In</w:t>
      </w:r>
      <w:r>
        <w:rPr>
          <w:w w:val="80"/>
        </w:rPr>
        <w:t> </w:t>
      </w:r>
      <w:r>
        <w:rPr>
          <w:spacing w:val="2"/>
          <w:w w:val="85"/>
        </w:rPr>
        <w:t>2016,</w:t>
      </w:r>
      <w:r>
        <w:rPr>
          <w:w w:val="85"/>
        </w:rPr>
        <w:t> </w:t>
      </w:r>
      <w:r>
        <w:rPr>
          <w:w w:val="97"/>
        </w:rPr>
        <w:t>the </w:t>
      </w:r>
      <w:r>
        <w:rPr>
          <w:spacing w:val="1"/>
          <w:w w:val="98"/>
        </w:rPr>
        <w:t>Foundation</w:t>
      </w:r>
      <w:r>
        <w:rPr>
          <w:w w:val="98"/>
        </w:rPr>
        <w:t> </w:t>
      </w:r>
      <w:r>
        <w:rPr/>
        <w:t>Council</w:t>
      </w:r>
      <w:r>
        <w:rPr>
          <w:spacing w:val="-19"/>
        </w:rPr>
        <w:t> </w:t>
      </w:r>
      <w:r>
        <w:rPr/>
        <w:t>comprised</w:t>
      </w:r>
      <w:r>
        <w:rPr>
          <w:spacing w:val="-19"/>
        </w:rPr>
        <w:t> </w:t>
      </w:r>
      <w:r>
        <w:rPr/>
        <w:t>Danny</w:t>
      </w:r>
      <w:r>
        <w:rPr>
          <w:spacing w:val="-19"/>
        </w:rPr>
        <w:t> </w:t>
      </w:r>
      <w:r>
        <w:rPr/>
        <w:t>Gilbert,</w:t>
      </w:r>
      <w:r>
        <w:rPr>
          <w:spacing w:val="-19"/>
        </w:rPr>
        <w:t> </w:t>
      </w:r>
      <w:r>
        <w:rPr/>
        <w:t>AM</w:t>
      </w:r>
      <w:r>
        <w:rPr>
          <w:spacing w:val="-19"/>
        </w:rPr>
        <w:t> </w:t>
      </w:r>
      <w:r>
        <w:rPr/>
        <w:t>(Chair); Professor Peter Shergold, AC; Professor Barney</w:t>
      </w:r>
      <w:r>
        <w:rPr>
          <w:spacing w:val="-22"/>
        </w:rPr>
        <w:t> </w:t>
      </w:r>
      <w:r>
        <w:rPr/>
        <w:t>Glover;</w:t>
      </w:r>
      <w:r>
        <w:rPr>
          <w:spacing w:val="-22"/>
        </w:rPr>
        <w:t> </w:t>
      </w:r>
      <w:r>
        <w:rPr/>
        <w:t>John</w:t>
      </w:r>
      <w:r>
        <w:rPr>
          <w:spacing w:val="-22"/>
        </w:rPr>
        <w:t> </w:t>
      </w:r>
      <w:r>
        <w:rPr>
          <w:spacing w:val="2"/>
        </w:rPr>
        <w:t>Banks;</w:t>
      </w:r>
      <w:r>
        <w:rPr>
          <w:spacing w:val="-22"/>
        </w:rPr>
        <w:t> </w:t>
      </w:r>
      <w:r>
        <w:rPr/>
        <w:t>Professor</w:t>
      </w:r>
      <w:r>
        <w:rPr>
          <w:spacing w:val="-22"/>
        </w:rPr>
        <w:t> </w:t>
      </w:r>
      <w:r>
        <w:rPr/>
        <w:t>Richard Bawden, AM; Mark Bouris, AM; Cameron Clyne;</w:t>
      </w:r>
      <w:r>
        <w:rPr>
          <w:spacing w:val="-22"/>
        </w:rPr>
        <w:t> </w:t>
      </w:r>
      <w:r>
        <w:rPr/>
        <w:t>Matt</w:t>
      </w:r>
      <w:r>
        <w:rPr>
          <w:spacing w:val="-22"/>
        </w:rPr>
        <w:t> </w:t>
      </w:r>
      <w:r>
        <w:rPr/>
        <w:t>Graham;</w:t>
      </w:r>
      <w:r>
        <w:rPr>
          <w:spacing w:val="-22"/>
        </w:rPr>
        <w:t> </w:t>
      </w:r>
      <w:r>
        <w:rPr/>
        <w:t>Peeyush</w:t>
      </w:r>
      <w:r>
        <w:rPr>
          <w:spacing w:val="-22"/>
        </w:rPr>
        <w:t> </w:t>
      </w:r>
      <w:r>
        <w:rPr/>
        <w:t>Gupta;</w:t>
      </w:r>
      <w:r>
        <w:rPr>
          <w:spacing w:val="-22"/>
        </w:rPr>
        <w:t> </w:t>
      </w:r>
      <w:r>
        <w:rPr/>
        <w:t>Carmel Hourigan;</w:t>
      </w:r>
      <w:r>
        <w:rPr>
          <w:spacing w:val="-25"/>
        </w:rPr>
        <w:t> </w:t>
      </w:r>
      <w:r>
        <w:rPr/>
        <w:t>Susan</w:t>
      </w:r>
      <w:r>
        <w:rPr>
          <w:spacing w:val="-25"/>
        </w:rPr>
        <w:t> </w:t>
      </w:r>
      <w:r>
        <w:rPr/>
        <w:t>Lloyd-Hurwitz;</w:t>
      </w:r>
      <w:r>
        <w:rPr>
          <w:spacing w:val="-25"/>
        </w:rPr>
        <w:t> </w:t>
      </w:r>
      <w:r>
        <w:rPr/>
        <w:t>Nick</w:t>
      </w:r>
      <w:r>
        <w:rPr>
          <w:spacing w:val="-25"/>
        </w:rPr>
        <w:t> </w:t>
      </w:r>
      <w:r>
        <w:rPr/>
        <w:t>Moraitis,</w:t>
      </w:r>
    </w:p>
    <w:p>
      <w:pPr>
        <w:pStyle w:val="BodyText"/>
        <w:spacing w:line="249" w:lineRule="auto" w:before="72"/>
        <w:ind w:left="186" w:right="68"/>
        <w:jc w:val="both"/>
      </w:pPr>
      <w:r>
        <w:rPr/>
        <w:br w:type="column"/>
      </w:r>
      <w:r>
        <w:rPr/>
        <w:t>AM;</w:t>
      </w:r>
      <w:r>
        <w:rPr>
          <w:spacing w:val="-21"/>
        </w:rPr>
        <w:t> </w:t>
      </w:r>
      <w:r>
        <w:rPr/>
        <w:t>Harold</w:t>
      </w:r>
      <w:r>
        <w:rPr>
          <w:spacing w:val="-21"/>
        </w:rPr>
        <w:t> </w:t>
      </w:r>
      <w:r>
        <w:rPr/>
        <w:t>Mitchell,</w:t>
      </w:r>
      <w:r>
        <w:rPr>
          <w:spacing w:val="-21"/>
        </w:rPr>
        <w:t> </w:t>
      </w:r>
      <w:r>
        <w:rPr/>
        <w:t>AC;</w:t>
      </w:r>
      <w:r>
        <w:rPr>
          <w:spacing w:val="-21"/>
        </w:rPr>
        <w:t> </w:t>
      </w:r>
      <w:r>
        <w:rPr/>
        <w:t>Katie</w:t>
      </w:r>
      <w:r>
        <w:rPr>
          <w:spacing w:val="-21"/>
        </w:rPr>
        <w:t> </w:t>
      </w:r>
      <w:r>
        <w:rPr/>
        <w:t>Page;</w:t>
      </w:r>
      <w:r>
        <w:rPr>
          <w:spacing w:val="-21"/>
        </w:rPr>
        <w:t> </w:t>
      </w:r>
      <w:r>
        <w:rPr/>
        <w:t>Gabrielle Trainor;</w:t>
      </w:r>
      <w:r>
        <w:rPr>
          <w:spacing w:val="-26"/>
        </w:rPr>
        <w:t> </w:t>
      </w:r>
      <w:r>
        <w:rPr/>
        <w:t>Kim</w:t>
      </w:r>
      <w:r>
        <w:rPr>
          <w:spacing w:val="-26"/>
        </w:rPr>
        <w:t> </w:t>
      </w:r>
      <w:r>
        <w:rPr/>
        <w:t>Williams,</w:t>
      </w:r>
      <w:r>
        <w:rPr>
          <w:spacing w:val="-26"/>
        </w:rPr>
        <w:t> </w:t>
      </w:r>
      <w:r>
        <w:rPr/>
        <w:t>AM;</w:t>
      </w:r>
      <w:r>
        <w:rPr>
          <w:spacing w:val="-26"/>
        </w:rPr>
        <w:t> </w:t>
      </w:r>
      <w:r>
        <w:rPr/>
        <w:t>and</w:t>
      </w:r>
      <w:r>
        <w:rPr>
          <w:spacing w:val="-26"/>
        </w:rPr>
        <w:t> </w:t>
      </w:r>
      <w:r>
        <w:rPr/>
        <w:t>Professor</w:t>
      </w:r>
      <w:r>
        <w:rPr>
          <w:spacing w:val="-26"/>
        </w:rPr>
        <w:t> </w:t>
      </w:r>
      <w:r>
        <w:rPr/>
        <w:t>Talal </w:t>
      </w:r>
      <w:r>
        <w:rPr>
          <w:w w:val="95"/>
        </w:rPr>
        <w:t>Yassine,</w:t>
      </w:r>
      <w:r>
        <w:rPr>
          <w:spacing w:val="9"/>
          <w:w w:val="95"/>
        </w:rPr>
        <w:t> </w:t>
      </w:r>
      <w:r>
        <w:rPr>
          <w:w w:val="95"/>
        </w:rPr>
        <w:t>OAM.</w:t>
      </w:r>
    </w:p>
    <w:p>
      <w:pPr>
        <w:pStyle w:val="BodyText"/>
        <w:spacing w:before="3"/>
        <w:rPr>
          <w:sz w:val="19"/>
        </w:rPr>
      </w:pPr>
    </w:p>
    <w:p>
      <w:pPr>
        <w:pStyle w:val="Heading7"/>
        <w:ind w:left="186" w:right="-1"/>
      </w:pPr>
      <w:r>
        <w:rPr/>
        <w:t>TOWN AND GOWN DINNER</w:t>
      </w:r>
    </w:p>
    <w:p>
      <w:pPr>
        <w:pStyle w:val="BodyText"/>
        <w:spacing w:line="249" w:lineRule="auto" w:before="58"/>
        <w:ind w:left="186" w:right="-1"/>
      </w:pPr>
      <w:r>
        <w:rPr/>
        <w:t>The</w:t>
      </w:r>
      <w:r>
        <w:rPr>
          <w:spacing w:val="-17"/>
        </w:rPr>
        <w:t> </w:t>
      </w:r>
      <w:r>
        <w:rPr/>
        <w:t>University’s</w:t>
      </w:r>
      <w:r>
        <w:rPr>
          <w:spacing w:val="-17"/>
        </w:rPr>
        <w:t> </w:t>
      </w:r>
      <w:r>
        <w:rPr/>
        <w:t>first</w:t>
      </w:r>
      <w:r>
        <w:rPr>
          <w:spacing w:val="-17"/>
        </w:rPr>
        <w:t> </w:t>
      </w:r>
      <w:r>
        <w:rPr>
          <w:spacing w:val="-3"/>
        </w:rPr>
        <w:t>Town</w:t>
      </w:r>
      <w:r>
        <w:rPr>
          <w:spacing w:val="-17"/>
        </w:rPr>
        <w:t> </w:t>
      </w:r>
      <w:r>
        <w:rPr/>
        <w:t>and</w:t>
      </w:r>
      <w:r>
        <w:rPr>
          <w:spacing w:val="-17"/>
        </w:rPr>
        <w:t> </w:t>
      </w:r>
      <w:r>
        <w:rPr/>
        <w:t>Gown</w:t>
      </w:r>
      <w:r>
        <w:rPr>
          <w:spacing w:val="-17"/>
        </w:rPr>
        <w:t> </w:t>
      </w:r>
      <w:r>
        <w:rPr/>
        <w:t>Dinner </w:t>
      </w:r>
      <w:r>
        <w:rPr>
          <w:w w:val="100"/>
        </w:rPr>
        <w:t>took </w:t>
      </w:r>
      <w:r>
        <w:rPr>
          <w:spacing w:val="1"/>
          <w:w w:val="98"/>
        </w:rPr>
        <w:t>place</w:t>
      </w:r>
      <w:r>
        <w:rPr>
          <w:w w:val="98"/>
        </w:rPr>
        <w:t> </w:t>
      </w:r>
      <w:r>
        <w:rPr>
          <w:spacing w:val="1"/>
          <w:w w:val="98"/>
        </w:rPr>
        <w:t>on</w:t>
      </w:r>
      <w:r>
        <w:rPr>
          <w:w w:val="98"/>
        </w:rPr>
        <w:t> </w:t>
      </w:r>
      <w:r>
        <w:rPr>
          <w:spacing w:val="-1"/>
          <w:w w:val="94"/>
        </w:rPr>
        <w:t>Saturday,</w:t>
      </w:r>
      <w:r>
        <w:rPr>
          <w:w w:val="94"/>
        </w:rPr>
        <w:t> </w:t>
      </w:r>
      <w:r>
        <w:rPr>
          <w:spacing w:val="1"/>
          <w:w w:val="97"/>
        </w:rPr>
        <w:t>29</w:t>
      </w:r>
      <w:r>
        <w:rPr>
          <w:w w:val="97"/>
        </w:rPr>
        <w:t> </w:t>
      </w:r>
      <w:r>
        <w:rPr>
          <w:spacing w:val="1"/>
          <w:w w:val="100"/>
        </w:rPr>
        <w:t>October</w:t>
      </w:r>
      <w:r>
        <w:rPr>
          <w:w w:val="100"/>
        </w:rPr>
        <w:t> </w:t>
      </w:r>
      <w:r>
        <w:rPr>
          <w:spacing w:val="1"/>
          <w:w w:val="90"/>
        </w:rPr>
        <w:t>2016</w:t>
      </w:r>
      <w:r>
        <w:rPr>
          <w:w w:val="90"/>
        </w:rPr>
        <w:t> </w:t>
      </w:r>
      <w:r>
        <w:rPr>
          <w:w w:val="98"/>
        </w:rPr>
        <w:t>at </w:t>
      </w:r>
      <w:r>
        <w:rPr/>
        <w:t>Rosehill</w:t>
      </w:r>
      <w:r>
        <w:rPr>
          <w:spacing w:val="-21"/>
        </w:rPr>
        <w:t> </w:t>
      </w:r>
      <w:r>
        <w:rPr/>
        <w:t>Gardens.</w:t>
      </w:r>
      <w:r>
        <w:rPr>
          <w:spacing w:val="-21"/>
        </w:rPr>
        <w:t> </w:t>
      </w:r>
      <w:r>
        <w:rPr/>
        <w:t>The</w:t>
      </w:r>
      <w:r>
        <w:rPr>
          <w:spacing w:val="-21"/>
        </w:rPr>
        <w:t> </w:t>
      </w:r>
      <w:r>
        <w:rPr/>
        <w:t>objectives</w:t>
      </w:r>
      <w:r>
        <w:rPr>
          <w:spacing w:val="-21"/>
        </w:rPr>
        <w:t> </w:t>
      </w:r>
      <w:r>
        <w:rPr/>
        <w:t>of</w:t>
      </w:r>
      <w:r>
        <w:rPr>
          <w:spacing w:val="-21"/>
        </w:rPr>
        <w:t> </w:t>
      </w:r>
      <w:r>
        <w:rPr/>
        <w:t>the</w:t>
      </w:r>
      <w:r>
        <w:rPr>
          <w:spacing w:val="-21"/>
        </w:rPr>
        <w:t> </w:t>
      </w:r>
      <w:r>
        <w:rPr/>
        <w:t>event </w:t>
      </w:r>
      <w:r>
        <w:rPr>
          <w:w w:val="95"/>
        </w:rPr>
        <w:t>were</w:t>
      </w:r>
      <w:r>
        <w:rPr>
          <w:spacing w:val="-13"/>
          <w:w w:val="95"/>
        </w:rPr>
        <w:t> </w:t>
      </w:r>
      <w:r>
        <w:rPr>
          <w:w w:val="95"/>
        </w:rPr>
        <w:t>to:</w:t>
      </w:r>
    </w:p>
    <w:p>
      <w:pPr>
        <w:pStyle w:val="BodyText"/>
        <w:spacing w:line="244" w:lineRule="auto" w:before="55"/>
        <w:ind w:left="385" w:right="317" w:hanging="199"/>
      </w:pPr>
      <w:r>
        <w:rPr>
          <w:rFonts w:ascii="Century Gothic" w:hAnsi="Century Gothic"/>
          <w:b/>
          <w:w w:val="115"/>
        </w:rPr>
        <w:t>≥</w:t>
      </w:r>
      <w:r>
        <w:rPr>
          <w:rFonts w:ascii="Century Gothic" w:hAnsi="Century Gothic"/>
          <w:b/>
          <w:spacing w:val="-14"/>
          <w:w w:val="115"/>
        </w:rPr>
        <w:t> </w:t>
      </w:r>
      <w:r>
        <w:rPr>
          <w:w w:val="105"/>
        </w:rPr>
        <w:t>raise</w:t>
      </w:r>
      <w:r>
        <w:rPr>
          <w:spacing w:val="-32"/>
          <w:w w:val="105"/>
        </w:rPr>
        <w:t> </w:t>
      </w:r>
      <w:r>
        <w:rPr>
          <w:w w:val="105"/>
        </w:rPr>
        <w:t>funds</w:t>
      </w:r>
      <w:r>
        <w:rPr>
          <w:spacing w:val="-32"/>
          <w:w w:val="105"/>
        </w:rPr>
        <w:t> </w:t>
      </w:r>
      <w:r>
        <w:rPr>
          <w:w w:val="105"/>
        </w:rPr>
        <w:t>for</w:t>
      </w:r>
      <w:r>
        <w:rPr>
          <w:spacing w:val="-32"/>
          <w:w w:val="105"/>
        </w:rPr>
        <w:t> </w:t>
      </w:r>
      <w:r>
        <w:rPr>
          <w:w w:val="105"/>
        </w:rPr>
        <w:t>scholarships</w:t>
      </w:r>
      <w:r>
        <w:rPr>
          <w:spacing w:val="-32"/>
          <w:w w:val="105"/>
        </w:rPr>
        <w:t> </w:t>
      </w:r>
      <w:r>
        <w:rPr>
          <w:w w:val="105"/>
        </w:rPr>
        <w:t>for</w:t>
      </w:r>
      <w:r>
        <w:rPr>
          <w:spacing w:val="-32"/>
          <w:w w:val="105"/>
        </w:rPr>
        <w:t> </w:t>
      </w:r>
      <w:r>
        <w:rPr>
          <w:w w:val="105"/>
        </w:rPr>
        <w:t>refugee students</w:t>
      </w:r>
    </w:p>
    <w:p>
      <w:pPr>
        <w:pStyle w:val="BodyText"/>
        <w:spacing w:line="247" w:lineRule="auto" w:before="58"/>
        <w:ind w:left="385" w:right="154" w:hanging="199"/>
        <w:jc w:val="both"/>
      </w:pPr>
      <w:r>
        <w:rPr>
          <w:rFonts w:ascii="Century Gothic" w:hAnsi="Century Gothic"/>
          <w:b/>
          <w:w w:val="115"/>
        </w:rPr>
        <w:t>≥ </w:t>
      </w:r>
      <w:r>
        <w:rPr/>
        <w:t>foster relationships between the</w:t>
      </w:r>
      <w:r>
        <w:rPr>
          <w:spacing w:val="-35"/>
        </w:rPr>
        <w:t> </w:t>
      </w:r>
      <w:r>
        <w:rPr/>
        <w:t>business community and University community to encourage industry</w:t>
      </w:r>
      <w:r>
        <w:rPr>
          <w:spacing w:val="-30"/>
        </w:rPr>
        <w:t> </w:t>
      </w:r>
      <w:r>
        <w:rPr/>
        <w:t>partnerships</w:t>
      </w:r>
    </w:p>
    <w:p>
      <w:pPr>
        <w:pStyle w:val="BodyText"/>
        <w:spacing w:line="247" w:lineRule="auto" w:before="57"/>
        <w:ind w:left="385" w:right="-1" w:hanging="199"/>
      </w:pPr>
      <w:r>
        <w:rPr>
          <w:rFonts w:ascii="Century Gothic" w:hAnsi="Century Gothic"/>
          <w:b/>
          <w:w w:val="115"/>
        </w:rPr>
        <w:t>≥ </w:t>
      </w:r>
      <w:r>
        <w:rPr/>
        <w:t>raise the profile of the University by showcasing some of its prominent alumni, its</w:t>
      </w:r>
      <w:r>
        <w:rPr>
          <w:spacing w:val="-19"/>
        </w:rPr>
        <w:t> </w:t>
      </w:r>
      <w:r>
        <w:rPr/>
        <w:t>leadership</w:t>
      </w:r>
      <w:r>
        <w:rPr>
          <w:spacing w:val="-19"/>
        </w:rPr>
        <w:t> </w:t>
      </w:r>
      <w:r>
        <w:rPr/>
        <w:t>in</w:t>
      </w:r>
      <w:r>
        <w:rPr>
          <w:spacing w:val="-19"/>
        </w:rPr>
        <w:t> </w:t>
      </w:r>
      <w:r>
        <w:rPr/>
        <w:t>Western</w:t>
      </w:r>
      <w:r>
        <w:rPr>
          <w:spacing w:val="-19"/>
        </w:rPr>
        <w:t> </w:t>
      </w:r>
      <w:r>
        <w:rPr/>
        <w:t>Sydney</w:t>
      </w:r>
      <w:r>
        <w:rPr>
          <w:spacing w:val="-19"/>
        </w:rPr>
        <w:t> </w:t>
      </w:r>
      <w:r>
        <w:rPr/>
        <w:t>(especially with regard to refugee scholarships) and the</w:t>
      </w:r>
      <w:r>
        <w:rPr>
          <w:spacing w:val="-28"/>
        </w:rPr>
        <w:t> </w:t>
      </w:r>
      <w:r>
        <w:rPr/>
        <w:t>region’s</w:t>
      </w:r>
      <w:r>
        <w:rPr>
          <w:spacing w:val="-28"/>
        </w:rPr>
        <w:t> </w:t>
      </w:r>
      <w:r>
        <w:rPr/>
        <w:t>talent.</w:t>
      </w:r>
    </w:p>
    <w:p>
      <w:pPr>
        <w:pStyle w:val="BodyText"/>
        <w:spacing w:before="2"/>
        <w:rPr>
          <w:sz w:val="14"/>
        </w:rPr>
      </w:pPr>
    </w:p>
    <w:p>
      <w:pPr>
        <w:pStyle w:val="BodyText"/>
        <w:spacing w:line="249" w:lineRule="auto"/>
        <w:ind w:left="186" w:right="269"/>
      </w:pPr>
      <w:r>
        <w:rPr/>
        <w:t>The</w:t>
      </w:r>
      <w:r>
        <w:rPr>
          <w:spacing w:val="-13"/>
        </w:rPr>
        <w:t> </w:t>
      </w:r>
      <w:r>
        <w:rPr/>
        <w:t>event</w:t>
      </w:r>
      <w:r>
        <w:rPr>
          <w:spacing w:val="-13"/>
        </w:rPr>
        <w:t> </w:t>
      </w:r>
      <w:r>
        <w:rPr/>
        <w:t>was</w:t>
      </w:r>
      <w:r>
        <w:rPr>
          <w:spacing w:val="-13"/>
        </w:rPr>
        <w:t> </w:t>
      </w:r>
      <w:r>
        <w:rPr/>
        <w:t>attended</w:t>
      </w:r>
      <w:r>
        <w:rPr>
          <w:spacing w:val="-13"/>
        </w:rPr>
        <w:t> </w:t>
      </w:r>
      <w:r>
        <w:rPr/>
        <w:t>by</w:t>
      </w:r>
      <w:r>
        <w:rPr>
          <w:spacing w:val="-13"/>
        </w:rPr>
        <w:t> </w:t>
      </w:r>
      <w:r>
        <w:rPr/>
        <w:t>660</w:t>
      </w:r>
      <w:r>
        <w:rPr>
          <w:spacing w:val="-13"/>
        </w:rPr>
        <w:t> </w:t>
      </w:r>
      <w:r>
        <w:rPr/>
        <w:t>people</w:t>
      </w:r>
      <w:r>
        <w:rPr>
          <w:spacing w:val="-13"/>
        </w:rPr>
        <w:t> </w:t>
      </w:r>
      <w:r>
        <w:rPr/>
        <w:t>–</w:t>
      </w:r>
      <w:r>
        <w:rPr>
          <w:spacing w:val="-13"/>
        </w:rPr>
        <w:t> </w:t>
      </w:r>
      <w:r>
        <w:rPr/>
        <w:t>a sellout</w:t>
      </w:r>
      <w:r>
        <w:rPr>
          <w:spacing w:val="-15"/>
        </w:rPr>
        <w:t> </w:t>
      </w:r>
      <w:r>
        <w:rPr/>
        <w:t>–</w:t>
      </w:r>
      <w:r>
        <w:rPr>
          <w:spacing w:val="-15"/>
        </w:rPr>
        <w:t> </w:t>
      </w:r>
      <w:r>
        <w:rPr/>
        <w:t>and</w:t>
      </w:r>
      <w:r>
        <w:rPr>
          <w:spacing w:val="-15"/>
        </w:rPr>
        <w:t> </w:t>
      </w:r>
      <w:r>
        <w:rPr/>
        <w:t>attracted</w:t>
      </w:r>
      <w:r>
        <w:rPr>
          <w:spacing w:val="-15"/>
        </w:rPr>
        <w:t> </w:t>
      </w:r>
      <w:r>
        <w:rPr/>
        <w:t>high-profile</w:t>
      </w:r>
      <w:r>
        <w:rPr>
          <w:spacing w:val="-15"/>
        </w:rPr>
        <w:t> </w:t>
      </w:r>
      <w:r>
        <w:rPr>
          <w:spacing w:val="2"/>
        </w:rPr>
        <w:t>guests </w:t>
      </w:r>
      <w:r>
        <w:rPr/>
        <w:t>including the </w:t>
      </w:r>
      <w:r>
        <w:rPr>
          <w:spacing w:val="2"/>
        </w:rPr>
        <w:t>Hon. </w:t>
      </w:r>
      <w:r>
        <w:rPr/>
        <w:t>Malcolm Turnbull, </w:t>
      </w:r>
      <w:r>
        <w:rPr>
          <w:spacing w:val="-3"/>
        </w:rPr>
        <w:t>MP, </w:t>
      </w:r>
      <w:r>
        <w:rPr/>
        <w:t>Prime</w:t>
      </w:r>
      <w:r>
        <w:rPr>
          <w:spacing w:val="-20"/>
        </w:rPr>
        <w:t> </w:t>
      </w:r>
      <w:r>
        <w:rPr/>
        <w:t>Minister</w:t>
      </w:r>
      <w:r>
        <w:rPr>
          <w:spacing w:val="-20"/>
        </w:rPr>
        <w:t> </w:t>
      </w:r>
      <w:r>
        <w:rPr/>
        <w:t>of</w:t>
      </w:r>
      <w:r>
        <w:rPr>
          <w:spacing w:val="-20"/>
        </w:rPr>
        <w:t> </w:t>
      </w:r>
      <w:r>
        <w:rPr/>
        <w:t>Australia;</w:t>
      </w:r>
      <w:r>
        <w:rPr>
          <w:spacing w:val="-20"/>
        </w:rPr>
        <w:t> </w:t>
      </w:r>
      <w:r>
        <w:rPr/>
        <w:t>Lucy</w:t>
      </w:r>
      <w:r>
        <w:rPr>
          <w:spacing w:val="-20"/>
        </w:rPr>
        <w:t> </w:t>
      </w:r>
      <w:r>
        <w:rPr/>
        <w:t>Turnbull, AO; federal and state MPs; and business, community</w:t>
      </w:r>
      <w:r>
        <w:rPr>
          <w:spacing w:val="-18"/>
        </w:rPr>
        <w:t> </w:t>
      </w:r>
      <w:r>
        <w:rPr/>
        <w:t>and</w:t>
      </w:r>
      <w:r>
        <w:rPr>
          <w:spacing w:val="-18"/>
        </w:rPr>
        <w:t> </w:t>
      </w:r>
      <w:r>
        <w:rPr/>
        <w:t>University</w:t>
      </w:r>
      <w:r>
        <w:rPr>
          <w:spacing w:val="-18"/>
        </w:rPr>
        <w:t> </w:t>
      </w:r>
      <w:r>
        <w:rPr/>
        <w:t>leaders.</w:t>
      </w:r>
    </w:p>
    <w:p>
      <w:pPr>
        <w:pStyle w:val="BodyText"/>
        <w:rPr>
          <w:sz w:val="14"/>
        </w:rPr>
      </w:pPr>
    </w:p>
    <w:p>
      <w:pPr>
        <w:pStyle w:val="BodyText"/>
        <w:spacing w:line="247" w:lineRule="auto"/>
        <w:ind w:left="186" w:right="33"/>
      </w:pPr>
      <w:r>
        <w:rPr/>
        <w:t>It</w:t>
      </w:r>
      <w:r>
        <w:rPr>
          <w:spacing w:val="-19"/>
        </w:rPr>
        <w:t> </w:t>
      </w:r>
      <w:r>
        <w:rPr/>
        <w:t>featured</w:t>
      </w:r>
      <w:r>
        <w:rPr>
          <w:spacing w:val="-19"/>
        </w:rPr>
        <w:t> </w:t>
      </w:r>
      <w:r>
        <w:rPr/>
        <w:t>entertainment</w:t>
      </w:r>
      <w:r>
        <w:rPr>
          <w:spacing w:val="-19"/>
        </w:rPr>
        <w:t> </w:t>
      </w:r>
      <w:r>
        <w:rPr/>
        <w:t>from</w:t>
      </w:r>
      <w:r>
        <w:rPr>
          <w:spacing w:val="-19"/>
        </w:rPr>
        <w:t> </w:t>
      </w:r>
      <w:r>
        <w:rPr/>
        <w:t>the</w:t>
      </w:r>
      <w:r>
        <w:rPr>
          <w:spacing w:val="-19"/>
        </w:rPr>
        <w:t> </w:t>
      </w:r>
      <w:r>
        <w:rPr/>
        <w:t>Australian Girls Choir; </w:t>
      </w:r>
      <w:r>
        <w:rPr>
          <w:rFonts w:ascii="Century Gothic"/>
          <w:i/>
        </w:rPr>
        <w:t>The X Factor </w:t>
      </w:r>
      <w:r>
        <w:rPr/>
        <w:t>finalists </w:t>
      </w:r>
      <w:r>
        <w:rPr>
          <w:spacing w:val="2"/>
        </w:rPr>
        <w:t>Jess </w:t>
      </w:r>
      <w:r>
        <w:rPr/>
        <w:t>and Matt;</w:t>
      </w:r>
      <w:r>
        <w:rPr>
          <w:spacing w:val="-19"/>
        </w:rPr>
        <w:t> </w:t>
      </w:r>
      <w:r>
        <w:rPr/>
        <w:t>the</w:t>
      </w:r>
      <w:r>
        <w:rPr>
          <w:spacing w:val="-19"/>
        </w:rPr>
        <w:t> </w:t>
      </w:r>
      <w:r>
        <w:rPr/>
        <w:t>Bollywood</w:t>
      </w:r>
      <w:r>
        <w:rPr>
          <w:spacing w:val="-19"/>
        </w:rPr>
        <w:t> </w:t>
      </w:r>
      <w:r>
        <w:rPr/>
        <w:t>Sensations</w:t>
      </w:r>
      <w:r>
        <w:rPr>
          <w:spacing w:val="-19"/>
        </w:rPr>
        <w:t> </w:t>
      </w:r>
      <w:r>
        <w:rPr/>
        <w:t>dance</w:t>
      </w:r>
      <w:r>
        <w:rPr>
          <w:spacing w:val="-19"/>
        </w:rPr>
        <w:t> </w:t>
      </w:r>
      <w:r>
        <w:rPr/>
        <w:t>troupe; and band Planet Groove, all of which have strong</w:t>
      </w:r>
      <w:r>
        <w:rPr>
          <w:spacing w:val="-19"/>
        </w:rPr>
        <w:t> </w:t>
      </w:r>
      <w:r>
        <w:rPr/>
        <w:t>connections</w:t>
      </w:r>
      <w:r>
        <w:rPr>
          <w:spacing w:val="-19"/>
        </w:rPr>
        <w:t> </w:t>
      </w:r>
      <w:r>
        <w:rPr/>
        <w:t>to</w:t>
      </w:r>
      <w:r>
        <w:rPr>
          <w:spacing w:val="-19"/>
        </w:rPr>
        <w:t> </w:t>
      </w:r>
      <w:r>
        <w:rPr/>
        <w:t>Western</w:t>
      </w:r>
      <w:r>
        <w:rPr>
          <w:spacing w:val="-19"/>
        </w:rPr>
        <w:t> </w:t>
      </w:r>
      <w:r>
        <w:rPr/>
        <w:t>Sydney.</w:t>
      </w:r>
    </w:p>
    <w:p>
      <w:pPr>
        <w:pStyle w:val="BodyText"/>
        <w:spacing w:line="249" w:lineRule="auto" w:before="1"/>
        <w:ind w:left="186" w:right="149"/>
      </w:pPr>
      <w:r>
        <w:rPr/>
        <w:t>Chancellor Professor Peter Shergold, AC delivered the welcome address, while Vice- Chancellor and President, Professor Barney</w:t>
      </w:r>
    </w:p>
    <w:p>
      <w:pPr>
        <w:pStyle w:val="BodyText"/>
        <w:spacing w:line="249" w:lineRule="auto" w:before="71"/>
        <w:ind w:left="187" w:right="633"/>
      </w:pPr>
      <w:r>
        <w:rPr/>
        <w:br w:type="column"/>
      </w:r>
      <w:r>
        <w:rPr/>
        <w:t>Glover, provided a thank you and closing address. The event MC was Professor James Arvanitakis, Dean of the Graduate Research School.</w:t>
      </w:r>
    </w:p>
    <w:p>
      <w:pPr>
        <w:pStyle w:val="BodyText"/>
        <w:rPr>
          <w:sz w:val="14"/>
        </w:rPr>
      </w:pPr>
    </w:p>
    <w:p>
      <w:pPr>
        <w:pStyle w:val="BodyText"/>
        <w:spacing w:line="249" w:lineRule="auto"/>
        <w:ind w:left="187" w:right="467"/>
      </w:pPr>
      <w:r>
        <w:rPr/>
        <w:t>Donations made during and after the event exceeded $500,000, which will provide 30 new duration-of-degree scholarships for </w:t>
      </w:r>
      <w:r>
        <w:rPr>
          <w:w w:val="96"/>
        </w:rPr>
        <w:t>refugees </w:t>
      </w:r>
      <w:r>
        <w:rPr>
          <w:w w:val="95"/>
        </w:rPr>
        <w:t>in </w:t>
      </w:r>
      <w:r>
        <w:rPr>
          <w:w w:val="83"/>
        </w:rPr>
        <w:t>2017.</w:t>
      </w:r>
    </w:p>
    <w:p>
      <w:pPr>
        <w:pStyle w:val="BodyText"/>
        <w:spacing w:before="3"/>
        <w:rPr>
          <w:sz w:val="19"/>
        </w:rPr>
      </w:pPr>
    </w:p>
    <w:p>
      <w:pPr>
        <w:pStyle w:val="Heading7"/>
        <w:ind w:left="187" w:right="633"/>
      </w:pPr>
      <w:r>
        <w:rPr/>
        <w:t>PHILANTHROPY</w:t>
      </w:r>
    </w:p>
    <w:p>
      <w:pPr>
        <w:spacing w:before="64"/>
        <w:ind w:left="187" w:right="633" w:firstLine="0"/>
        <w:jc w:val="left"/>
        <w:rPr>
          <w:rFonts w:ascii="Gotham Narrow Bold"/>
          <w:b/>
          <w:sz w:val="16"/>
        </w:rPr>
      </w:pPr>
      <w:r>
        <w:rPr>
          <w:rFonts w:ascii="Gotham Narrow Bold"/>
          <w:b/>
          <w:color w:val="615C58"/>
          <w:w w:val="95"/>
          <w:sz w:val="16"/>
        </w:rPr>
        <w:t>Staff Giving</w:t>
      </w:r>
    </w:p>
    <w:p>
      <w:pPr>
        <w:pStyle w:val="BodyText"/>
        <w:spacing w:line="249" w:lineRule="auto" w:before="86"/>
        <w:ind w:left="187" w:right="367"/>
      </w:pPr>
      <w:r>
        <w:rPr>
          <w:spacing w:val="1"/>
          <w:w w:val="80"/>
        </w:rPr>
        <w:t>In</w:t>
      </w:r>
      <w:r>
        <w:rPr>
          <w:w w:val="80"/>
        </w:rPr>
        <w:t> </w:t>
      </w:r>
      <w:r>
        <w:rPr>
          <w:spacing w:val="2"/>
          <w:w w:val="85"/>
        </w:rPr>
        <w:t>2016,</w:t>
      </w:r>
      <w:r>
        <w:rPr>
          <w:w w:val="85"/>
        </w:rPr>
        <w:t> </w:t>
      </w:r>
      <w:r>
        <w:rPr>
          <w:w w:val="98"/>
        </w:rPr>
        <w:t>Western </w:t>
      </w:r>
      <w:r>
        <w:rPr>
          <w:spacing w:val="-1"/>
          <w:w w:val="99"/>
        </w:rPr>
        <w:t>Sydney</w:t>
      </w:r>
      <w:r>
        <w:rPr>
          <w:w w:val="99"/>
        </w:rPr>
        <w:t> </w:t>
      </w:r>
      <w:r>
        <w:rPr>
          <w:spacing w:val="1"/>
          <w:w w:val="97"/>
        </w:rPr>
        <w:t>University</w:t>
      </w:r>
      <w:r>
        <w:rPr>
          <w:w w:val="97"/>
        </w:rPr>
        <w:t> </w:t>
      </w:r>
      <w:r>
        <w:rPr/>
        <w:t>maintained</w:t>
      </w:r>
      <w:r>
        <w:rPr>
          <w:spacing w:val="-16"/>
        </w:rPr>
        <w:t> </w:t>
      </w:r>
      <w:r>
        <w:rPr/>
        <w:t>its</w:t>
      </w:r>
      <w:r>
        <w:rPr>
          <w:spacing w:val="-16"/>
        </w:rPr>
        <w:t> </w:t>
      </w:r>
      <w:r>
        <w:rPr/>
        <w:t>position</w:t>
      </w:r>
      <w:r>
        <w:rPr>
          <w:spacing w:val="-16"/>
        </w:rPr>
        <w:t> </w:t>
      </w:r>
      <w:r>
        <w:rPr/>
        <w:t>as</w:t>
      </w:r>
      <w:r>
        <w:rPr>
          <w:spacing w:val="-16"/>
        </w:rPr>
        <w:t> </w:t>
      </w:r>
      <w:r>
        <w:rPr/>
        <w:t>a</w:t>
      </w:r>
      <w:r>
        <w:rPr>
          <w:spacing w:val="-16"/>
        </w:rPr>
        <w:t> </w:t>
      </w:r>
      <w:r>
        <w:rPr/>
        <w:t>leading</w:t>
      </w:r>
      <w:r>
        <w:rPr>
          <w:spacing w:val="-16"/>
        </w:rPr>
        <w:t> </w:t>
      </w:r>
      <w:r>
        <w:rPr/>
        <w:t>Australian university</w:t>
      </w:r>
      <w:r>
        <w:rPr>
          <w:spacing w:val="-17"/>
        </w:rPr>
        <w:t> </w:t>
      </w:r>
      <w:r>
        <w:rPr/>
        <w:t>in</w:t>
      </w:r>
      <w:r>
        <w:rPr>
          <w:spacing w:val="-17"/>
        </w:rPr>
        <w:t> </w:t>
      </w:r>
      <w:r>
        <w:rPr/>
        <w:t>terms</w:t>
      </w:r>
      <w:r>
        <w:rPr>
          <w:spacing w:val="-17"/>
        </w:rPr>
        <w:t> </w:t>
      </w:r>
      <w:r>
        <w:rPr/>
        <w:t>of</w:t>
      </w:r>
      <w:r>
        <w:rPr>
          <w:spacing w:val="-17"/>
        </w:rPr>
        <w:t> </w:t>
      </w:r>
      <w:r>
        <w:rPr/>
        <w:t>workplace</w:t>
      </w:r>
      <w:r>
        <w:rPr>
          <w:spacing w:val="-17"/>
        </w:rPr>
        <w:t> </w:t>
      </w:r>
      <w:r>
        <w:rPr/>
        <w:t>giving,</w:t>
      </w:r>
      <w:r>
        <w:rPr>
          <w:spacing w:val="-17"/>
        </w:rPr>
        <w:t> </w:t>
      </w:r>
      <w:r>
        <w:rPr/>
        <w:t>with</w:t>
      </w:r>
    </w:p>
    <w:p>
      <w:pPr>
        <w:pStyle w:val="BodyText"/>
        <w:spacing w:line="249" w:lineRule="auto"/>
        <w:ind w:left="187" w:right="358"/>
      </w:pPr>
      <w:r>
        <w:rPr/>
        <w:t>14.4</w:t>
      </w:r>
      <w:r>
        <w:rPr>
          <w:spacing w:val="-18"/>
        </w:rPr>
        <w:t> </w:t>
      </w:r>
      <w:r>
        <w:rPr/>
        <w:t>per</w:t>
      </w:r>
      <w:r>
        <w:rPr>
          <w:spacing w:val="-18"/>
        </w:rPr>
        <w:t> </w:t>
      </w:r>
      <w:r>
        <w:rPr/>
        <w:t>cent</w:t>
      </w:r>
      <w:r>
        <w:rPr>
          <w:spacing w:val="-18"/>
        </w:rPr>
        <w:t> </w:t>
      </w:r>
      <w:r>
        <w:rPr/>
        <w:t>of</w:t>
      </w:r>
      <w:r>
        <w:rPr>
          <w:spacing w:val="-18"/>
        </w:rPr>
        <w:t> </w:t>
      </w:r>
      <w:r>
        <w:rPr/>
        <w:t>staff</w:t>
      </w:r>
      <w:r>
        <w:rPr>
          <w:spacing w:val="-18"/>
        </w:rPr>
        <w:t> </w:t>
      </w:r>
      <w:r>
        <w:rPr/>
        <w:t>members</w:t>
      </w:r>
      <w:r>
        <w:rPr>
          <w:spacing w:val="-18"/>
        </w:rPr>
        <w:t> </w:t>
      </w:r>
      <w:r>
        <w:rPr/>
        <w:t>participating</w:t>
      </w:r>
      <w:r>
        <w:rPr>
          <w:spacing w:val="-18"/>
        </w:rPr>
        <w:t> </w:t>
      </w:r>
      <w:r>
        <w:rPr/>
        <w:t>in the</w:t>
      </w:r>
      <w:r>
        <w:rPr>
          <w:spacing w:val="-18"/>
        </w:rPr>
        <w:t> </w:t>
      </w:r>
      <w:r>
        <w:rPr/>
        <w:t>Staff</w:t>
      </w:r>
      <w:r>
        <w:rPr>
          <w:spacing w:val="-18"/>
        </w:rPr>
        <w:t> </w:t>
      </w:r>
      <w:r>
        <w:rPr/>
        <w:t>Giving</w:t>
      </w:r>
      <w:r>
        <w:rPr>
          <w:spacing w:val="-18"/>
        </w:rPr>
        <w:t> </w:t>
      </w:r>
      <w:r>
        <w:rPr/>
        <w:t>program.</w:t>
      </w:r>
    </w:p>
    <w:p>
      <w:pPr>
        <w:pStyle w:val="BodyText"/>
        <w:rPr>
          <w:sz w:val="14"/>
        </w:rPr>
      </w:pPr>
    </w:p>
    <w:p>
      <w:pPr>
        <w:pStyle w:val="BodyText"/>
        <w:spacing w:line="249" w:lineRule="auto"/>
        <w:ind w:left="187" w:right="367"/>
      </w:pPr>
      <w:r>
        <w:rPr/>
        <w:t>Staff Giving enables academic and professional staff members to support the University’s students through scholarships, the</w:t>
      </w:r>
      <w:r>
        <w:rPr>
          <w:spacing w:val="-18"/>
        </w:rPr>
        <w:t> </w:t>
      </w:r>
      <w:r>
        <w:rPr/>
        <w:t>Whitlam</w:t>
      </w:r>
      <w:r>
        <w:rPr>
          <w:spacing w:val="-18"/>
        </w:rPr>
        <w:t> </w:t>
      </w:r>
      <w:r>
        <w:rPr/>
        <w:t>Institute</w:t>
      </w:r>
      <w:r>
        <w:rPr>
          <w:spacing w:val="-18"/>
        </w:rPr>
        <w:t> </w:t>
      </w:r>
      <w:r>
        <w:rPr/>
        <w:t>and</w:t>
      </w:r>
      <w:r>
        <w:rPr>
          <w:spacing w:val="-18"/>
        </w:rPr>
        <w:t> </w:t>
      </w:r>
      <w:r>
        <w:rPr/>
        <w:t>our</w:t>
      </w:r>
      <w:r>
        <w:rPr>
          <w:spacing w:val="-18"/>
        </w:rPr>
        <w:t> </w:t>
      </w:r>
      <w:r>
        <w:rPr/>
        <w:t>charity</w:t>
      </w:r>
      <w:r>
        <w:rPr>
          <w:spacing w:val="-18"/>
        </w:rPr>
        <w:t> </w:t>
      </w:r>
      <w:r>
        <w:rPr/>
        <w:t>partners </w:t>
      </w:r>
      <w:r>
        <w:rPr>
          <w:w w:val="97"/>
        </w:rPr>
        <w:t>via </w:t>
      </w:r>
      <w:r>
        <w:rPr>
          <w:spacing w:val="1"/>
          <w:w w:val="98"/>
        </w:rPr>
        <w:t>fortnightly</w:t>
      </w:r>
      <w:r>
        <w:rPr>
          <w:w w:val="98"/>
        </w:rPr>
        <w:t> </w:t>
      </w:r>
      <w:r>
        <w:rPr>
          <w:w w:val="98"/>
        </w:rPr>
        <w:t>payroll </w:t>
      </w:r>
      <w:r>
        <w:rPr>
          <w:spacing w:val="1"/>
          <w:w w:val="95"/>
        </w:rPr>
        <w:t>donations.</w:t>
      </w:r>
      <w:r>
        <w:rPr>
          <w:w w:val="95"/>
        </w:rPr>
        <w:t> </w:t>
      </w:r>
      <w:r>
        <w:rPr>
          <w:spacing w:val="1"/>
          <w:w w:val="80"/>
        </w:rPr>
        <w:t>In</w:t>
      </w:r>
      <w:r>
        <w:rPr>
          <w:spacing w:val="-10"/>
          <w:w w:val="80"/>
        </w:rPr>
        <w:t> </w:t>
      </w:r>
      <w:r>
        <w:rPr>
          <w:spacing w:val="2"/>
          <w:w w:val="85"/>
        </w:rPr>
        <w:t>2016,</w:t>
      </w:r>
    </w:p>
    <w:p>
      <w:pPr>
        <w:pStyle w:val="BodyText"/>
        <w:spacing w:line="249" w:lineRule="auto"/>
        <w:ind w:left="187" w:right="275"/>
      </w:pPr>
      <w:r>
        <w:rPr/>
        <w:t>462 staff members made donations through payroll – more than any other year since the Staff Giving program was established in 2009. An additional 32 donated directly to support research, scholarships and prizes at the University, bringing the total number of staff donors to 494.</w:t>
      </w:r>
    </w:p>
    <w:p>
      <w:pPr>
        <w:pStyle w:val="BodyText"/>
        <w:rPr>
          <w:sz w:val="14"/>
        </w:rPr>
      </w:pPr>
    </w:p>
    <w:p>
      <w:pPr>
        <w:pStyle w:val="BodyText"/>
        <w:spacing w:line="249" w:lineRule="auto"/>
        <w:ind w:left="187" w:right="346"/>
      </w:pPr>
      <w:r>
        <w:rPr/>
        <w:pict>
          <v:group style="position:absolute;margin-left:34.015999pt;margin-top:69.66391pt;width:527.25pt;height:172.95pt;mso-position-horizontal-relative:page;mso-position-vertical-relative:paragraph;z-index:-335824" coordorigin="680,1393" coordsize="10545,3459">
            <v:rect style="position:absolute;left:680;top:1393;width:10545;height:3458" filled="true" fillcolor="#e9e9e9" stroked="false">
              <v:fill type="solid"/>
            </v:rect>
            <v:shape style="position:absolute;left:907;top:1624;width:2451;height:240" type="#_x0000_t202" filled="false" stroked="false">
              <v:textbox inset="0,0,0,0">
                <w:txbxContent>
                  <w:p>
                    <w:pPr>
                      <w:spacing w:line="240" w:lineRule="exact" w:before="0"/>
                      <w:ind w:left="0" w:right="0" w:firstLine="0"/>
                      <w:jc w:val="left"/>
                      <w:rPr>
                        <w:rFonts w:ascii="Gotham Narrow Bold"/>
                        <w:b/>
                        <w:sz w:val="24"/>
                      </w:rPr>
                    </w:pPr>
                    <w:r>
                      <w:rPr>
                        <w:rFonts w:ascii="Gotham Narrow Bold"/>
                        <w:b/>
                        <w:spacing w:val="-5"/>
                        <w:w w:val="95"/>
                        <w:sz w:val="24"/>
                      </w:rPr>
                      <w:t>DONATIONS </w:t>
                    </w:r>
                    <w:r>
                      <w:rPr>
                        <w:rFonts w:ascii="Gotham Narrow Bold"/>
                        <w:b/>
                        <w:spacing w:val="-3"/>
                        <w:w w:val="95"/>
                        <w:sz w:val="24"/>
                      </w:rPr>
                      <w:t>SUMMARY</w:t>
                    </w:r>
                  </w:p>
                </w:txbxContent>
              </v:textbox>
              <w10:wrap type="none"/>
            </v:shape>
            <w10:wrap type="none"/>
          </v:group>
        </w:pict>
      </w:r>
      <w:r>
        <w:rPr/>
        <w:t>Through the payroll, staff members donated </w:t>
      </w:r>
      <w:r>
        <w:rPr>
          <w:w w:val="97"/>
        </w:rPr>
        <w:t>more </w:t>
      </w:r>
      <w:r>
        <w:rPr>
          <w:w w:val="97"/>
        </w:rPr>
        <w:t>than </w:t>
      </w:r>
      <w:r>
        <w:rPr>
          <w:w w:val="95"/>
        </w:rPr>
        <w:t>$146,000 </w:t>
      </w:r>
      <w:r>
        <w:rPr>
          <w:w w:val="98"/>
        </w:rPr>
        <w:t>for </w:t>
      </w:r>
      <w:r>
        <w:rPr>
          <w:w w:val="94"/>
        </w:rPr>
        <w:t>scholarships, </w:t>
      </w:r>
      <w:r>
        <w:rPr>
          <w:w w:val="95"/>
        </w:rPr>
        <w:t>$10,000 </w:t>
      </w:r>
      <w:r>
        <w:rPr/>
        <w:t>to the Whitlam Institute and $33,000 to our charity partners, providing considerable and much-needed support for our students and</w:t>
      </w:r>
    </w:p>
    <w:p>
      <w:pPr>
        <w:spacing w:after="0" w:line="249" w:lineRule="auto"/>
        <w:sectPr>
          <w:type w:val="continuous"/>
          <w:pgSz w:w="11910" w:h="16840"/>
          <w:pgMar w:top="1580" w:bottom="280" w:left="580" w:right="580"/>
          <w:cols w:num="3" w:equalWidth="0">
            <w:col w:w="3540" w:space="40"/>
            <w:col w:w="3399" w:space="40"/>
            <w:col w:w="3731"/>
          </w:cols>
        </w:sectPr>
      </w:pPr>
    </w:p>
    <w:p>
      <w:pPr>
        <w:pStyle w:val="BodyText"/>
        <w:rPr>
          <w:sz w:val="20"/>
        </w:rPr>
      </w:pPr>
    </w:p>
    <w:p>
      <w:pPr>
        <w:pStyle w:val="BodyText"/>
        <w:rPr>
          <w:sz w:val="20"/>
        </w:rPr>
      </w:pPr>
    </w:p>
    <w:p>
      <w:pPr>
        <w:pStyle w:val="BodyText"/>
        <w:rPr>
          <w:sz w:val="20"/>
        </w:rPr>
      </w:pPr>
    </w:p>
    <w:p>
      <w:pPr>
        <w:pStyle w:val="BodyText"/>
        <w:spacing w:before="6"/>
        <w:rPr>
          <w:sz w:val="18"/>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360"/>
        <w:gridCol w:w="3360"/>
        <w:gridCol w:w="3360"/>
      </w:tblGrid>
      <w:tr>
        <w:trPr>
          <w:trHeight w:val="241" w:hRule="exact"/>
        </w:trPr>
        <w:tc>
          <w:tcPr>
            <w:tcW w:w="3360" w:type="dxa"/>
            <w:tcBorders>
              <w:top w:val="nil"/>
              <w:left w:val="nil"/>
              <w:bottom w:val="nil"/>
              <w:right w:val="single" w:sz="4" w:space="0" w:color="FFFFFF"/>
            </w:tcBorders>
            <w:shd w:val="clear" w:color="auto" w:fill="949290"/>
          </w:tcPr>
          <w:p>
            <w:pPr/>
          </w:p>
        </w:tc>
        <w:tc>
          <w:tcPr>
            <w:tcW w:w="3360" w:type="dxa"/>
            <w:tcBorders>
              <w:top w:val="nil"/>
              <w:left w:val="single" w:sz="4" w:space="0" w:color="FFFFFF"/>
              <w:bottom w:val="nil"/>
              <w:right w:val="single" w:sz="4" w:space="0" w:color="FFFFFF"/>
            </w:tcBorders>
            <w:shd w:val="clear" w:color="auto" w:fill="949290"/>
          </w:tcPr>
          <w:p>
            <w:pPr>
              <w:pStyle w:val="TableParagraph"/>
              <w:spacing w:before="31"/>
              <w:ind w:left="777" w:right="777"/>
              <w:jc w:val="center"/>
              <w:rPr>
                <w:rFonts w:ascii="Gotham Narrow Bold"/>
                <w:b/>
                <w:sz w:val="16"/>
              </w:rPr>
            </w:pPr>
            <w:r>
              <w:rPr>
                <w:rFonts w:ascii="Gotham Narrow Bold"/>
                <w:b/>
                <w:color w:val="FFFFFF"/>
                <w:sz w:val="16"/>
              </w:rPr>
              <w:t>2016</w:t>
            </w:r>
          </w:p>
        </w:tc>
        <w:tc>
          <w:tcPr>
            <w:tcW w:w="3360" w:type="dxa"/>
            <w:tcBorders>
              <w:top w:val="nil"/>
              <w:left w:val="single" w:sz="4" w:space="0" w:color="FFFFFF"/>
              <w:bottom w:val="nil"/>
              <w:right w:val="nil"/>
            </w:tcBorders>
            <w:shd w:val="clear" w:color="auto" w:fill="949290"/>
          </w:tcPr>
          <w:p>
            <w:pPr>
              <w:pStyle w:val="TableParagraph"/>
              <w:spacing w:before="31"/>
              <w:ind w:left="411" w:right="413"/>
              <w:jc w:val="center"/>
              <w:rPr>
                <w:rFonts w:ascii="Gotham Narrow Bold"/>
                <w:b/>
                <w:sz w:val="16"/>
              </w:rPr>
            </w:pPr>
            <w:r>
              <w:rPr>
                <w:rFonts w:ascii="Gotham Narrow Bold"/>
                <w:b/>
                <w:color w:val="FFFFFF"/>
                <w:sz w:val="16"/>
              </w:rPr>
              <w:t>2015</w:t>
            </w:r>
          </w:p>
        </w:tc>
      </w:tr>
      <w:tr>
        <w:trPr>
          <w:trHeight w:val="241" w:hRule="exact"/>
        </w:trPr>
        <w:tc>
          <w:tcPr>
            <w:tcW w:w="3360" w:type="dxa"/>
            <w:tcBorders>
              <w:top w:val="nil"/>
            </w:tcBorders>
            <w:shd w:val="clear" w:color="auto" w:fill="E9E9E9"/>
          </w:tcPr>
          <w:p>
            <w:pPr>
              <w:pStyle w:val="TableParagraph"/>
              <w:spacing w:before="24"/>
              <w:ind w:left="51"/>
              <w:jc w:val="left"/>
              <w:rPr>
                <w:sz w:val="16"/>
              </w:rPr>
            </w:pPr>
            <w:r>
              <w:rPr>
                <w:sz w:val="16"/>
              </w:rPr>
              <w:t>Donations and sponsorship income</w:t>
            </w:r>
          </w:p>
        </w:tc>
        <w:tc>
          <w:tcPr>
            <w:tcW w:w="3360" w:type="dxa"/>
            <w:tcBorders>
              <w:top w:val="nil"/>
            </w:tcBorders>
            <w:shd w:val="clear" w:color="auto" w:fill="D3D3D2"/>
          </w:tcPr>
          <w:p>
            <w:pPr>
              <w:pStyle w:val="TableParagraph"/>
              <w:spacing w:before="24"/>
              <w:ind w:left="777" w:right="774"/>
              <w:jc w:val="center"/>
              <w:rPr>
                <w:sz w:val="16"/>
              </w:rPr>
            </w:pPr>
            <w:r>
              <w:rPr>
                <w:sz w:val="16"/>
              </w:rPr>
              <w:t>$5,993,266</w:t>
            </w:r>
          </w:p>
        </w:tc>
        <w:tc>
          <w:tcPr>
            <w:tcW w:w="3360" w:type="dxa"/>
            <w:tcBorders>
              <w:top w:val="nil"/>
            </w:tcBorders>
            <w:shd w:val="clear" w:color="auto" w:fill="E9E9E9"/>
          </w:tcPr>
          <w:p>
            <w:pPr>
              <w:pStyle w:val="TableParagraph"/>
              <w:spacing w:before="24"/>
              <w:ind w:left="1297"/>
              <w:jc w:val="left"/>
              <w:rPr>
                <w:sz w:val="16"/>
              </w:rPr>
            </w:pPr>
            <w:r>
              <w:rPr>
                <w:sz w:val="16"/>
              </w:rPr>
              <w:t>$4,656,134</w:t>
            </w:r>
          </w:p>
        </w:tc>
      </w:tr>
      <w:tr>
        <w:trPr>
          <w:trHeight w:val="241" w:hRule="exact"/>
        </w:trPr>
        <w:tc>
          <w:tcPr>
            <w:tcW w:w="3360" w:type="dxa"/>
            <w:shd w:val="clear" w:color="auto" w:fill="E9E9E9"/>
          </w:tcPr>
          <w:p>
            <w:pPr>
              <w:pStyle w:val="TableParagraph"/>
              <w:spacing w:before="19"/>
              <w:ind w:left="51"/>
              <w:jc w:val="left"/>
              <w:rPr>
                <w:sz w:val="16"/>
              </w:rPr>
            </w:pPr>
            <w:r>
              <w:rPr>
                <w:sz w:val="16"/>
              </w:rPr>
              <w:t>Number of contributors</w:t>
            </w:r>
          </w:p>
        </w:tc>
        <w:tc>
          <w:tcPr>
            <w:tcW w:w="3360" w:type="dxa"/>
            <w:shd w:val="clear" w:color="auto" w:fill="D3D3D2"/>
          </w:tcPr>
          <w:p>
            <w:pPr>
              <w:pStyle w:val="TableParagraph"/>
              <w:spacing w:before="19"/>
              <w:ind w:left="777" w:right="777"/>
              <w:jc w:val="center"/>
              <w:rPr>
                <w:sz w:val="16"/>
              </w:rPr>
            </w:pPr>
            <w:r>
              <w:rPr>
                <w:sz w:val="16"/>
              </w:rPr>
              <w:t>773</w:t>
            </w:r>
          </w:p>
        </w:tc>
        <w:tc>
          <w:tcPr>
            <w:tcW w:w="3360" w:type="dxa"/>
            <w:shd w:val="clear" w:color="auto" w:fill="E9E9E9"/>
          </w:tcPr>
          <w:p>
            <w:pPr>
              <w:pStyle w:val="TableParagraph"/>
              <w:spacing w:before="19"/>
              <w:ind w:left="777" w:right="777"/>
              <w:jc w:val="center"/>
              <w:rPr>
                <w:sz w:val="16"/>
              </w:rPr>
            </w:pPr>
            <w:r>
              <w:rPr>
                <w:sz w:val="16"/>
              </w:rPr>
              <w:t>764</w:t>
            </w:r>
          </w:p>
        </w:tc>
      </w:tr>
      <w:tr>
        <w:trPr>
          <w:trHeight w:val="241" w:hRule="exact"/>
        </w:trPr>
        <w:tc>
          <w:tcPr>
            <w:tcW w:w="3360" w:type="dxa"/>
            <w:shd w:val="clear" w:color="auto" w:fill="E9E9E9"/>
          </w:tcPr>
          <w:p>
            <w:pPr>
              <w:pStyle w:val="TableParagraph"/>
              <w:spacing w:before="19"/>
              <w:ind w:left="51"/>
              <w:jc w:val="left"/>
              <w:rPr>
                <w:sz w:val="16"/>
              </w:rPr>
            </w:pPr>
            <w:r>
              <w:rPr>
                <w:sz w:val="16"/>
              </w:rPr>
              <w:t>Donations from new donors</w:t>
            </w:r>
          </w:p>
        </w:tc>
        <w:tc>
          <w:tcPr>
            <w:tcW w:w="3360" w:type="dxa"/>
            <w:shd w:val="clear" w:color="auto" w:fill="D3D3D2"/>
          </w:tcPr>
          <w:p>
            <w:pPr>
              <w:pStyle w:val="TableParagraph"/>
              <w:spacing w:before="19"/>
              <w:ind w:left="777" w:right="777"/>
              <w:jc w:val="center"/>
              <w:rPr>
                <w:sz w:val="16"/>
              </w:rPr>
            </w:pPr>
            <w:r>
              <w:rPr>
                <w:sz w:val="16"/>
              </w:rPr>
              <w:t>$729,179</w:t>
            </w:r>
          </w:p>
        </w:tc>
        <w:tc>
          <w:tcPr>
            <w:tcW w:w="3360" w:type="dxa"/>
            <w:shd w:val="clear" w:color="auto" w:fill="E9E9E9"/>
          </w:tcPr>
          <w:p>
            <w:pPr>
              <w:pStyle w:val="TableParagraph"/>
              <w:spacing w:before="19"/>
              <w:ind w:left="1337"/>
              <w:jc w:val="left"/>
              <w:rPr>
                <w:sz w:val="16"/>
              </w:rPr>
            </w:pPr>
            <w:r>
              <w:rPr>
                <w:w w:val="90"/>
                <w:sz w:val="16"/>
              </w:rPr>
              <w:t>$1,641,471</w:t>
            </w:r>
          </w:p>
        </w:tc>
      </w:tr>
      <w:tr>
        <w:trPr>
          <w:trHeight w:val="241" w:hRule="exact"/>
        </w:trPr>
        <w:tc>
          <w:tcPr>
            <w:tcW w:w="3360" w:type="dxa"/>
            <w:shd w:val="clear" w:color="auto" w:fill="E9E9E9"/>
          </w:tcPr>
          <w:p>
            <w:pPr>
              <w:pStyle w:val="TableParagraph"/>
              <w:spacing w:before="20"/>
              <w:ind w:left="51"/>
              <w:jc w:val="left"/>
              <w:rPr>
                <w:sz w:val="16"/>
              </w:rPr>
            </w:pPr>
            <w:r>
              <w:rPr>
                <w:sz w:val="16"/>
              </w:rPr>
              <w:t>Number of new donors</w:t>
            </w:r>
          </w:p>
        </w:tc>
        <w:tc>
          <w:tcPr>
            <w:tcW w:w="3360" w:type="dxa"/>
            <w:shd w:val="clear" w:color="auto" w:fill="D3D3D2"/>
          </w:tcPr>
          <w:p>
            <w:pPr>
              <w:pStyle w:val="TableParagraph"/>
              <w:spacing w:before="20"/>
              <w:ind w:left="777" w:right="777"/>
              <w:jc w:val="center"/>
              <w:rPr>
                <w:sz w:val="16"/>
              </w:rPr>
            </w:pPr>
            <w:r>
              <w:rPr>
                <w:sz w:val="16"/>
              </w:rPr>
              <w:t>248</w:t>
            </w:r>
          </w:p>
        </w:tc>
        <w:tc>
          <w:tcPr>
            <w:tcW w:w="3360" w:type="dxa"/>
            <w:shd w:val="clear" w:color="auto" w:fill="E9E9E9"/>
          </w:tcPr>
          <w:p>
            <w:pPr>
              <w:pStyle w:val="TableParagraph"/>
              <w:spacing w:before="20"/>
              <w:ind w:left="777" w:right="777"/>
              <w:jc w:val="center"/>
              <w:rPr>
                <w:sz w:val="16"/>
              </w:rPr>
            </w:pPr>
            <w:r>
              <w:rPr>
                <w:w w:val="95"/>
                <w:sz w:val="16"/>
              </w:rPr>
              <w:t>413</w:t>
            </w:r>
          </w:p>
        </w:tc>
      </w:tr>
      <w:tr>
        <w:trPr>
          <w:trHeight w:val="241" w:hRule="exact"/>
        </w:trPr>
        <w:tc>
          <w:tcPr>
            <w:tcW w:w="3360" w:type="dxa"/>
            <w:shd w:val="clear" w:color="auto" w:fill="E9E9E9"/>
          </w:tcPr>
          <w:p>
            <w:pPr>
              <w:pStyle w:val="TableParagraph"/>
              <w:spacing w:before="20"/>
              <w:ind w:left="51"/>
              <w:jc w:val="left"/>
              <w:rPr>
                <w:sz w:val="16"/>
              </w:rPr>
            </w:pPr>
            <w:r>
              <w:rPr>
                <w:sz w:val="16"/>
              </w:rPr>
              <w:t>Donor-supported scholarships awarded</w:t>
            </w:r>
          </w:p>
        </w:tc>
        <w:tc>
          <w:tcPr>
            <w:tcW w:w="3360" w:type="dxa"/>
            <w:shd w:val="clear" w:color="auto" w:fill="D3D3D2"/>
          </w:tcPr>
          <w:p>
            <w:pPr>
              <w:pStyle w:val="TableParagraph"/>
              <w:spacing w:before="20"/>
              <w:ind w:left="777" w:right="774"/>
              <w:jc w:val="center"/>
              <w:rPr>
                <w:sz w:val="16"/>
              </w:rPr>
            </w:pPr>
            <w:r>
              <w:rPr>
                <w:sz w:val="16"/>
              </w:rPr>
              <w:t>228</w:t>
            </w:r>
          </w:p>
        </w:tc>
        <w:tc>
          <w:tcPr>
            <w:tcW w:w="3360" w:type="dxa"/>
            <w:shd w:val="clear" w:color="auto" w:fill="E9E9E9"/>
          </w:tcPr>
          <w:p>
            <w:pPr>
              <w:pStyle w:val="TableParagraph"/>
              <w:spacing w:before="20"/>
              <w:ind w:left="777" w:right="777"/>
              <w:jc w:val="center"/>
              <w:rPr>
                <w:sz w:val="16"/>
              </w:rPr>
            </w:pPr>
            <w:r>
              <w:rPr>
                <w:spacing w:val="3"/>
                <w:w w:val="54"/>
                <w:sz w:val="16"/>
              </w:rPr>
              <w:t>1</w:t>
            </w:r>
            <w:r>
              <w:rPr>
                <w:spacing w:val="4"/>
                <w:w w:val="54"/>
                <w:sz w:val="16"/>
              </w:rPr>
              <w:t>1</w:t>
            </w:r>
            <w:r>
              <w:rPr>
                <w:w w:val="111"/>
                <w:sz w:val="16"/>
              </w:rPr>
              <w:t>0</w:t>
            </w:r>
          </w:p>
        </w:tc>
      </w:tr>
      <w:tr>
        <w:trPr>
          <w:trHeight w:val="241" w:hRule="exact"/>
        </w:trPr>
        <w:tc>
          <w:tcPr>
            <w:tcW w:w="3360" w:type="dxa"/>
            <w:shd w:val="clear" w:color="auto" w:fill="E9E9E9"/>
          </w:tcPr>
          <w:p>
            <w:pPr>
              <w:pStyle w:val="TableParagraph"/>
              <w:spacing w:before="20"/>
              <w:ind w:left="51"/>
              <w:jc w:val="left"/>
              <w:rPr>
                <w:sz w:val="16"/>
              </w:rPr>
            </w:pPr>
            <w:r>
              <w:rPr>
                <w:sz w:val="16"/>
              </w:rPr>
              <w:t>Donor-supported prizes awarded</w:t>
            </w:r>
          </w:p>
        </w:tc>
        <w:tc>
          <w:tcPr>
            <w:tcW w:w="3360" w:type="dxa"/>
            <w:shd w:val="clear" w:color="auto" w:fill="D3D3D2"/>
          </w:tcPr>
          <w:p>
            <w:pPr>
              <w:pStyle w:val="TableParagraph"/>
              <w:spacing w:before="20"/>
              <w:ind w:left="777" w:right="777"/>
              <w:jc w:val="center"/>
              <w:rPr>
                <w:sz w:val="16"/>
              </w:rPr>
            </w:pPr>
            <w:r>
              <w:rPr>
                <w:w w:val="95"/>
                <w:sz w:val="16"/>
              </w:rPr>
              <w:t>188</w:t>
            </w:r>
          </w:p>
        </w:tc>
        <w:tc>
          <w:tcPr>
            <w:tcW w:w="3360" w:type="dxa"/>
            <w:shd w:val="clear" w:color="auto" w:fill="E9E9E9"/>
          </w:tcPr>
          <w:p>
            <w:pPr>
              <w:pStyle w:val="TableParagraph"/>
              <w:spacing w:before="20"/>
              <w:ind w:left="777" w:right="777"/>
              <w:jc w:val="center"/>
              <w:rPr>
                <w:sz w:val="16"/>
              </w:rPr>
            </w:pPr>
            <w:r>
              <w:rPr>
                <w:w w:val="95"/>
                <w:sz w:val="16"/>
              </w:rPr>
              <w:t>170</w:t>
            </w:r>
          </w:p>
        </w:tc>
      </w:tr>
      <w:tr>
        <w:trPr>
          <w:trHeight w:val="241" w:hRule="exact"/>
        </w:trPr>
        <w:tc>
          <w:tcPr>
            <w:tcW w:w="3360" w:type="dxa"/>
            <w:shd w:val="clear" w:color="auto" w:fill="E9E9E9"/>
          </w:tcPr>
          <w:p>
            <w:pPr>
              <w:pStyle w:val="TableParagraph"/>
              <w:spacing w:before="20"/>
              <w:ind w:left="51"/>
              <w:jc w:val="left"/>
              <w:rPr>
                <w:sz w:val="16"/>
              </w:rPr>
            </w:pPr>
            <w:r>
              <w:rPr>
                <w:sz w:val="16"/>
              </w:rPr>
              <w:t>Number of staff givers</w:t>
            </w:r>
          </w:p>
        </w:tc>
        <w:tc>
          <w:tcPr>
            <w:tcW w:w="3360" w:type="dxa"/>
            <w:shd w:val="clear" w:color="auto" w:fill="D3D3D2"/>
          </w:tcPr>
          <w:p>
            <w:pPr>
              <w:pStyle w:val="TableParagraph"/>
              <w:spacing w:before="20"/>
              <w:ind w:left="777" w:right="777"/>
              <w:jc w:val="center"/>
              <w:rPr>
                <w:sz w:val="16"/>
              </w:rPr>
            </w:pPr>
            <w:r>
              <w:rPr>
                <w:w w:val="105"/>
                <w:sz w:val="16"/>
              </w:rPr>
              <w:t>494</w:t>
            </w:r>
          </w:p>
        </w:tc>
        <w:tc>
          <w:tcPr>
            <w:tcW w:w="3360" w:type="dxa"/>
            <w:shd w:val="clear" w:color="auto" w:fill="E9E9E9"/>
          </w:tcPr>
          <w:p>
            <w:pPr>
              <w:pStyle w:val="TableParagraph"/>
              <w:spacing w:before="20"/>
              <w:ind w:left="777" w:right="777"/>
              <w:jc w:val="center"/>
              <w:rPr>
                <w:sz w:val="16"/>
              </w:rPr>
            </w:pPr>
            <w:r>
              <w:rPr>
                <w:sz w:val="16"/>
              </w:rPr>
              <w:t>410</w:t>
            </w:r>
          </w:p>
        </w:tc>
      </w:tr>
      <w:tr>
        <w:trPr>
          <w:trHeight w:val="241" w:hRule="exact"/>
        </w:trPr>
        <w:tc>
          <w:tcPr>
            <w:tcW w:w="3360" w:type="dxa"/>
            <w:shd w:val="clear" w:color="auto" w:fill="E9E9E9"/>
          </w:tcPr>
          <w:p>
            <w:pPr>
              <w:pStyle w:val="TableParagraph"/>
              <w:spacing w:before="20"/>
              <w:ind w:left="51"/>
              <w:jc w:val="left"/>
              <w:rPr>
                <w:sz w:val="16"/>
              </w:rPr>
            </w:pPr>
            <w:r>
              <w:rPr>
                <w:sz w:val="16"/>
              </w:rPr>
              <w:t>Contribution by staff givers</w:t>
            </w:r>
          </w:p>
        </w:tc>
        <w:tc>
          <w:tcPr>
            <w:tcW w:w="3360" w:type="dxa"/>
            <w:shd w:val="clear" w:color="auto" w:fill="D3D3D2"/>
          </w:tcPr>
          <w:p>
            <w:pPr>
              <w:pStyle w:val="TableParagraph"/>
              <w:spacing w:before="20"/>
              <w:ind w:left="777" w:right="774"/>
              <w:jc w:val="center"/>
              <w:rPr>
                <w:sz w:val="16"/>
              </w:rPr>
            </w:pPr>
            <w:r>
              <w:rPr>
                <w:sz w:val="16"/>
              </w:rPr>
              <w:t>$330,663</w:t>
            </w:r>
          </w:p>
        </w:tc>
        <w:tc>
          <w:tcPr>
            <w:tcW w:w="3360" w:type="dxa"/>
            <w:shd w:val="clear" w:color="auto" w:fill="E9E9E9"/>
          </w:tcPr>
          <w:p>
            <w:pPr>
              <w:pStyle w:val="TableParagraph"/>
              <w:spacing w:before="20"/>
              <w:ind w:left="1351"/>
              <w:jc w:val="left"/>
              <w:rPr>
                <w:sz w:val="16"/>
              </w:rPr>
            </w:pPr>
            <w:r>
              <w:rPr>
                <w:sz w:val="16"/>
              </w:rPr>
              <w:t>$243,565</w:t>
            </w:r>
          </w:p>
        </w:tc>
      </w:tr>
      <w:tr>
        <w:trPr>
          <w:trHeight w:val="241" w:hRule="exact"/>
        </w:trPr>
        <w:tc>
          <w:tcPr>
            <w:tcW w:w="3360" w:type="dxa"/>
            <w:shd w:val="clear" w:color="auto" w:fill="E9E9E9"/>
          </w:tcPr>
          <w:p>
            <w:pPr>
              <w:pStyle w:val="TableParagraph"/>
              <w:spacing w:before="20"/>
              <w:ind w:left="51"/>
              <w:jc w:val="left"/>
              <w:rPr>
                <w:sz w:val="16"/>
              </w:rPr>
            </w:pPr>
            <w:r>
              <w:rPr>
                <w:sz w:val="16"/>
              </w:rPr>
              <w:t>Number of alumni</w:t>
            </w:r>
          </w:p>
        </w:tc>
        <w:tc>
          <w:tcPr>
            <w:tcW w:w="3360" w:type="dxa"/>
            <w:shd w:val="clear" w:color="auto" w:fill="D3D3D2"/>
          </w:tcPr>
          <w:p>
            <w:pPr>
              <w:pStyle w:val="TableParagraph"/>
              <w:spacing w:before="20"/>
              <w:ind w:left="777" w:right="777"/>
              <w:jc w:val="center"/>
              <w:rPr>
                <w:sz w:val="16"/>
              </w:rPr>
            </w:pPr>
            <w:r>
              <w:rPr>
                <w:w w:val="95"/>
                <w:sz w:val="16"/>
              </w:rPr>
              <w:t>172,748</w:t>
            </w:r>
          </w:p>
        </w:tc>
        <w:tc>
          <w:tcPr>
            <w:tcW w:w="3360" w:type="dxa"/>
            <w:shd w:val="clear" w:color="auto" w:fill="E9E9E9"/>
          </w:tcPr>
          <w:p>
            <w:pPr>
              <w:pStyle w:val="TableParagraph"/>
              <w:spacing w:before="20"/>
              <w:ind w:left="777" w:right="777"/>
              <w:jc w:val="center"/>
              <w:rPr>
                <w:sz w:val="16"/>
              </w:rPr>
            </w:pPr>
            <w:r>
              <w:rPr>
                <w:w w:val="90"/>
                <w:sz w:val="16"/>
              </w:rPr>
              <w:t>162,817</w:t>
            </w:r>
          </w:p>
        </w:tc>
      </w:tr>
      <w:tr>
        <w:trPr>
          <w:trHeight w:val="241" w:hRule="exact"/>
        </w:trPr>
        <w:tc>
          <w:tcPr>
            <w:tcW w:w="3360" w:type="dxa"/>
            <w:shd w:val="clear" w:color="auto" w:fill="E9E9E9"/>
          </w:tcPr>
          <w:p>
            <w:pPr>
              <w:pStyle w:val="TableParagraph"/>
              <w:spacing w:before="20"/>
              <w:ind w:left="51"/>
              <w:jc w:val="left"/>
              <w:rPr>
                <w:sz w:val="16"/>
              </w:rPr>
            </w:pPr>
            <w:r>
              <w:rPr>
                <w:sz w:val="16"/>
              </w:rPr>
              <w:t>Number of new graduates</w:t>
            </w:r>
          </w:p>
        </w:tc>
        <w:tc>
          <w:tcPr>
            <w:tcW w:w="3360" w:type="dxa"/>
            <w:shd w:val="clear" w:color="auto" w:fill="D3D3D2"/>
          </w:tcPr>
          <w:p>
            <w:pPr>
              <w:pStyle w:val="TableParagraph"/>
              <w:spacing w:before="20"/>
              <w:ind w:left="777" w:right="777"/>
              <w:jc w:val="center"/>
              <w:rPr>
                <w:sz w:val="16"/>
              </w:rPr>
            </w:pPr>
            <w:r>
              <w:rPr>
                <w:sz w:val="16"/>
              </w:rPr>
              <w:t>8,046</w:t>
            </w:r>
          </w:p>
        </w:tc>
        <w:tc>
          <w:tcPr>
            <w:tcW w:w="3360" w:type="dxa"/>
            <w:shd w:val="clear" w:color="auto" w:fill="E9E9E9"/>
          </w:tcPr>
          <w:p>
            <w:pPr>
              <w:pStyle w:val="TableParagraph"/>
              <w:spacing w:before="20"/>
              <w:ind w:left="777" w:right="777"/>
              <w:jc w:val="center"/>
              <w:rPr>
                <w:sz w:val="16"/>
              </w:rPr>
            </w:pPr>
            <w:r>
              <w:rPr>
                <w:w w:val="90"/>
                <w:sz w:val="16"/>
              </w:rPr>
              <w:t>8,177</w:t>
            </w:r>
          </w:p>
        </w:tc>
      </w:tr>
    </w:tbl>
    <w:p>
      <w:pPr>
        <w:spacing w:after="0"/>
        <w:jc w:val="center"/>
        <w:rPr>
          <w:sz w:val="16"/>
        </w:rPr>
        <w:sectPr>
          <w:type w:val="continuous"/>
          <w:pgSz w:w="11910" w:h="16840"/>
          <w:pgMar w:top="1580" w:bottom="280" w:left="580" w:right="580"/>
        </w:sectPr>
      </w:pPr>
    </w:p>
    <w:p>
      <w:pPr>
        <w:pStyle w:val="BodyText"/>
        <w:spacing w:before="9"/>
        <w:rPr>
          <w:sz w:val="28"/>
        </w:rPr>
      </w:pPr>
    </w:p>
    <w:p>
      <w:pPr>
        <w:pStyle w:val="Heading2"/>
        <w:ind w:right="794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rPr>
      </w:pPr>
    </w:p>
    <w:p>
      <w:pPr>
        <w:spacing w:after="0"/>
        <w:rPr>
          <w:rFonts w:ascii="Chronicle Text G1"/>
        </w:rPr>
        <w:sectPr>
          <w:pgSz w:w="11910" w:h="16840"/>
          <w:pgMar w:header="496" w:footer="472" w:top="680" w:bottom="660" w:left="800" w:right="800"/>
        </w:sectPr>
      </w:pPr>
    </w:p>
    <w:p>
      <w:pPr>
        <w:pStyle w:val="BodyText"/>
        <w:spacing w:line="249" w:lineRule="auto" w:before="71"/>
        <w:ind w:left="107" w:right="-2"/>
      </w:pPr>
      <w:r>
        <w:rPr/>
        <w:t>our community. The University matched the donations</w:t>
      </w:r>
      <w:r>
        <w:rPr>
          <w:spacing w:val="-15"/>
        </w:rPr>
        <w:t> </w:t>
      </w:r>
      <w:r>
        <w:rPr/>
        <w:t>for</w:t>
      </w:r>
      <w:r>
        <w:rPr>
          <w:spacing w:val="-15"/>
        </w:rPr>
        <w:t> </w:t>
      </w:r>
      <w:r>
        <w:rPr/>
        <w:t>scholarships</w:t>
      </w:r>
      <w:r>
        <w:rPr>
          <w:spacing w:val="-15"/>
        </w:rPr>
        <w:t> </w:t>
      </w:r>
      <w:r>
        <w:rPr/>
        <w:t>and</w:t>
      </w:r>
      <w:r>
        <w:rPr>
          <w:spacing w:val="-15"/>
        </w:rPr>
        <w:t> </w:t>
      </w:r>
      <w:r>
        <w:rPr/>
        <w:t>to</w:t>
      </w:r>
      <w:r>
        <w:rPr>
          <w:spacing w:val="-15"/>
        </w:rPr>
        <w:t> </w:t>
      </w:r>
      <w:r>
        <w:rPr/>
        <w:t>the</w:t>
      </w:r>
      <w:r>
        <w:rPr>
          <w:spacing w:val="-15"/>
        </w:rPr>
        <w:t> </w:t>
      </w:r>
      <w:r>
        <w:rPr/>
        <w:t>Whitlam Institute dollar for dollar, increasing total support</w:t>
      </w:r>
      <w:r>
        <w:rPr>
          <w:spacing w:val="-14"/>
        </w:rPr>
        <w:t> </w:t>
      </w:r>
      <w:r>
        <w:rPr/>
        <w:t>for</w:t>
      </w:r>
      <w:r>
        <w:rPr>
          <w:spacing w:val="-14"/>
        </w:rPr>
        <w:t> </w:t>
      </w:r>
      <w:r>
        <w:rPr/>
        <w:t>these</w:t>
      </w:r>
      <w:r>
        <w:rPr>
          <w:spacing w:val="-14"/>
        </w:rPr>
        <w:t> </w:t>
      </w:r>
      <w:r>
        <w:rPr/>
        <w:t>areas</w:t>
      </w:r>
      <w:r>
        <w:rPr>
          <w:spacing w:val="-14"/>
        </w:rPr>
        <w:t> </w:t>
      </w:r>
      <w:r>
        <w:rPr/>
        <w:t>to</w:t>
      </w:r>
      <w:r>
        <w:rPr>
          <w:spacing w:val="-14"/>
        </w:rPr>
        <w:t> </w:t>
      </w:r>
      <w:r>
        <w:rPr/>
        <w:t>over</w:t>
      </w:r>
      <w:r>
        <w:rPr>
          <w:spacing w:val="-14"/>
        </w:rPr>
        <w:t> </w:t>
      </w:r>
      <w:r>
        <w:rPr>
          <w:spacing w:val="2"/>
        </w:rPr>
        <w:t>$292,000</w:t>
      </w:r>
      <w:r>
        <w:rPr>
          <w:spacing w:val="-14"/>
        </w:rPr>
        <w:t> </w:t>
      </w:r>
      <w:r>
        <w:rPr/>
        <w:t>and</w:t>
      </w:r>
    </w:p>
    <w:p>
      <w:pPr>
        <w:pStyle w:val="BodyText"/>
        <w:spacing w:line="192" w:lineRule="exact"/>
        <w:ind w:left="107" w:right="-2"/>
      </w:pPr>
      <w:r>
        <w:rPr/>
        <w:t>$20,000 respectively.</w:t>
      </w:r>
    </w:p>
    <w:p>
      <w:pPr>
        <w:pStyle w:val="BodyText"/>
        <w:spacing w:before="2"/>
        <w:rPr>
          <w:sz w:val="15"/>
        </w:rPr>
      </w:pPr>
    </w:p>
    <w:p>
      <w:pPr>
        <w:pStyle w:val="Heading7"/>
      </w:pPr>
      <w:r>
        <w:rPr>
          <w:color w:val="615C58"/>
          <w:w w:val="95"/>
        </w:rPr>
        <w:t>Student Awards and Prizes</w:t>
      </w:r>
    </w:p>
    <w:p>
      <w:pPr>
        <w:pStyle w:val="BodyText"/>
        <w:spacing w:line="249" w:lineRule="auto" w:before="86"/>
        <w:ind w:left="107" w:right="110"/>
      </w:pPr>
      <w:r>
        <w:rPr>
          <w:w w:val="80"/>
        </w:rPr>
        <w:t>In </w:t>
      </w:r>
      <w:r>
        <w:rPr>
          <w:w w:val="85"/>
        </w:rPr>
        <w:t>2016, </w:t>
      </w:r>
      <w:r>
        <w:rPr>
          <w:w w:val="83"/>
        </w:rPr>
        <w:t>188 </w:t>
      </w:r>
      <w:r>
        <w:rPr>
          <w:w w:val="98"/>
        </w:rPr>
        <w:t>donor-funded </w:t>
      </w:r>
      <w:r>
        <w:rPr>
          <w:w w:val="98"/>
        </w:rPr>
        <w:t>prizes </w:t>
      </w:r>
      <w:r>
        <w:rPr>
          <w:w w:val="97"/>
        </w:rPr>
        <w:t>were </w:t>
      </w:r>
      <w:r>
        <w:rPr/>
        <w:t>awarded to students in recognition of </w:t>
      </w:r>
      <w:r>
        <w:rPr>
          <w:w w:val="98"/>
        </w:rPr>
        <w:t>academic </w:t>
      </w:r>
      <w:r>
        <w:rPr>
          <w:w w:val="94"/>
        </w:rPr>
        <w:t>excellence, </w:t>
      </w:r>
      <w:r>
        <w:rPr>
          <w:w w:val="98"/>
        </w:rPr>
        <w:t>up </w:t>
      </w:r>
      <w:r>
        <w:rPr>
          <w:w w:val="98"/>
        </w:rPr>
        <w:t>from </w:t>
      </w:r>
      <w:r>
        <w:rPr>
          <w:w w:val="85"/>
        </w:rPr>
        <w:t>170 </w:t>
      </w:r>
      <w:r>
        <w:rPr>
          <w:w w:val="98"/>
        </w:rPr>
        <w:t>prizes </w:t>
      </w:r>
      <w:r>
        <w:rPr>
          <w:w w:val="95"/>
        </w:rPr>
        <w:t>in </w:t>
      </w:r>
      <w:r>
        <w:rPr>
          <w:w w:val="84"/>
        </w:rPr>
        <w:t>2015, </w:t>
      </w:r>
      <w:r>
        <w:rPr>
          <w:w w:val="98"/>
        </w:rPr>
        <w:t>with </w:t>
      </w:r>
      <w:r>
        <w:rPr>
          <w:w w:val="94"/>
        </w:rPr>
        <w:t>a </w:t>
      </w:r>
      <w:r>
        <w:rPr>
          <w:w w:val="99"/>
        </w:rPr>
        <w:t>total </w:t>
      </w:r>
      <w:r>
        <w:rPr>
          <w:w w:val="96"/>
        </w:rPr>
        <w:t>value </w:t>
      </w:r>
      <w:r>
        <w:rPr>
          <w:w w:val="95"/>
        </w:rPr>
        <w:t>in </w:t>
      </w:r>
      <w:r>
        <w:rPr>
          <w:w w:val="97"/>
        </w:rPr>
        <w:t>excess </w:t>
      </w:r>
      <w:r>
        <w:rPr>
          <w:w w:val="99"/>
        </w:rPr>
        <w:t>of </w:t>
      </w:r>
      <w:r>
        <w:rPr>
          <w:w w:val="85"/>
        </w:rPr>
        <w:t>$121,000.</w:t>
      </w:r>
    </w:p>
    <w:p>
      <w:pPr>
        <w:pStyle w:val="BodyText"/>
        <w:rPr>
          <w:sz w:val="14"/>
        </w:rPr>
      </w:pPr>
    </w:p>
    <w:p>
      <w:pPr>
        <w:pStyle w:val="BodyText"/>
        <w:spacing w:line="249" w:lineRule="auto"/>
        <w:ind w:left="107" w:right="69"/>
      </w:pPr>
      <w:r>
        <w:rPr/>
        <w:t>Prizes for academic excellence provide the University with the opportunity to recognise the achievements of its most talented students. These prizes have been funded by more than 200 donors, including individual supporters, community groups, businesses and University staff members.</w:t>
      </w:r>
    </w:p>
    <w:p>
      <w:pPr>
        <w:pStyle w:val="BodyText"/>
        <w:rPr>
          <w:sz w:val="14"/>
        </w:rPr>
      </w:pPr>
    </w:p>
    <w:p>
      <w:pPr>
        <w:pStyle w:val="BodyText"/>
        <w:spacing w:line="249" w:lineRule="auto"/>
        <w:ind w:left="107" w:right="59"/>
      </w:pPr>
      <w:r>
        <w:rPr>
          <w:w w:val="80"/>
        </w:rPr>
        <w:t>In </w:t>
      </w:r>
      <w:r>
        <w:rPr>
          <w:w w:val="85"/>
        </w:rPr>
        <w:t>2016, </w:t>
      </w:r>
      <w:r>
        <w:rPr>
          <w:w w:val="94"/>
        </w:rPr>
        <w:t>a </w:t>
      </w:r>
      <w:r>
        <w:rPr>
          <w:w w:val="97"/>
        </w:rPr>
        <w:t>number </w:t>
      </w:r>
      <w:r>
        <w:rPr>
          <w:w w:val="99"/>
        </w:rPr>
        <w:t>of </w:t>
      </w:r>
      <w:r>
        <w:rPr>
          <w:w w:val="98"/>
        </w:rPr>
        <w:t>prize </w:t>
      </w:r>
      <w:r>
        <w:rPr>
          <w:w w:val="98"/>
        </w:rPr>
        <w:t>donors </w:t>
      </w:r>
      <w:r>
        <w:rPr>
          <w:w w:val="97"/>
        </w:rPr>
        <w:t>increased </w:t>
      </w:r>
      <w:r>
        <w:rPr/>
        <w:t>their support for the University by extending their giving to other areas. Most notably,</w:t>
      </w:r>
    </w:p>
    <w:p>
      <w:pPr>
        <w:pStyle w:val="BodyText"/>
        <w:spacing w:line="249" w:lineRule="auto"/>
        <w:ind w:left="107" w:right="78"/>
      </w:pPr>
      <w:r>
        <w:rPr/>
        <w:t>the Society of Presentation Sisters, having supported prizes at the University for more </w:t>
      </w:r>
      <w:r>
        <w:rPr>
          <w:w w:val="97"/>
        </w:rPr>
        <w:t>than </w:t>
      </w:r>
      <w:r>
        <w:rPr>
          <w:w w:val="82"/>
        </w:rPr>
        <w:t>10 </w:t>
      </w:r>
      <w:r>
        <w:rPr>
          <w:w w:val="91"/>
        </w:rPr>
        <w:t>years, </w:t>
      </w:r>
      <w:r>
        <w:rPr>
          <w:w w:val="97"/>
        </w:rPr>
        <w:t>agreed </w:t>
      </w:r>
      <w:r>
        <w:rPr>
          <w:w w:val="101"/>
        </w:rPr>
        <w:t>to </w:t>
      </w:r>
      <w:r>
        <w:rPr>
          <w:w w:val="97"/>
        </w:rPr>
        <w:t>significantly </w:t>
      </w:r>
      <w:r>
        <w:rPr>
          <w:w w:val="96"/>
        </w:rPr>
        <w:t>increase </w:t>
      </w:r>
      <w:r>
        <w:rPr/>
        <w:t>its support to include a lectureship in the School of Social Sciences and Psychology.</w:t>
      </w:r>
    </w:p>
    <w:p>
      <w:pPr>
        <w:pStyle w:val="BodyText"/>
        <w:spacing w:before="6"/>
        <w:rPr>
          <w:sz w:val="14"/>
        </w:rPr>
      </w:pPr>
    </w:p>
    <w:p>
      <w:pPr>
        <w:pStyle w:val="Heading7"/>
      </w:pPr>
      <w:r>
        <w:rPr>
          <w:color w:val="615C58"/>
          <w:w w:val="95"/>
        </w:rPr>
        <w:t>Alumni Giving</w:t>
      </w:r>
    </w:p>
    <w:p>
      <w:pPr>
        <w:pStyle w:val="BodyText"/>
        <w:spacing w:line="249" w:lineRule="auto" w:before="86"/>
        <w:ind w:left="107" w:right="-2"/>
      </w:pPr>
      <w:r>
        <w:rPr>
          <w:spacing w:val="1"/>
          <w:w w:val="97"/>
        </w:rPr>
        <w:t>Donations</w:t>
      </w:r>
      <w:r>
        <w:rPr>
          <w:w w:val="97"/>
        </w:rPr>
        <w:t> </w:t>
      </w:r>
      <w:r>
        <w:rPr>
          <w:spacing w:val="1"/>
          <w:w w:val="98"/>
        </w:rPr>
        <w:t>from</w:t>
      </w:r>
      <w:r>
        <w:rPr>
          <w:w w:val="98"/>
        </w:rPr>
        <w:t> </w:t>
      </w:r>
      <w:r>
        <w:rPr>
          <w:spacing w:val="1"/>
          <w:w w:val="95"/>
        </w:rPr>
        <w:t>alumni</w:t>
      </w:r>
      <w:r>
        <w:rPr>
          <w:w w:val="95"/>
        </w:rPr>
        <w:t> </w:t>
      </w:r>
      <w:r>
        <w:rPr>
          <w:w w:val="95"/>
        </w:rPr>
        <w:t>in </w:t>
      </w:r>
      <w:r>
        <w:rPr>
          <w:spacing w:val="1"/>
          <w:w w:val="90"/>
        </w:rPr>
        <w:t>2016</w:t>
      </w:r>
      <w:r>
        <w:rPr>
          <w:w w:val="90"/>
        </w:rPr>
        <w:t> </w:t>
      </w:r>
      <w:r>
        <w:rPr>
          <w:w w:val="98"/>
        </w:rPr>
        <w:t>totalled </w:t>
      </w:r>
      <w:r>
        <w:rPr>
          <w:w w:val="97"/>
        </w:rPr>
        <w:t>more </w:t>
      </w:r>
      <w:r>
        <w:rPr/>
        <w:t>than</w:t>
      </w:r>
      <w:r>
        <w:rPr>
          <w:spacing w:val="-14"/>
        </w:rPr>
        <w:t> </w:t>
      </w:r>
      <w:r>
        <w:rPr/>
        <w:t>$52,000,</w:t>
      </w:r>
      <w:r>
        <w:rPr>
          <w:spacing w:val="-14"/>
        </w:rPr>
        <w:t> </w:t>
      </w:r>
      <w:r>
        <w:rPr/>
        <w:t>the</w:t>
      </w:r>
      <w:r>
        <w:rPr>
          <w:spacing w:val="-14"/>
        </w:rPr>
        <w:t> </w:t>
      </w:r>
      <w:r>
        <w:rPr/>
        <w:t>majority</w:t>
      </w:r>
      <w:r>
        <w:rPr>
          <w:spacing w:val="-14"/>
        </w:rPr>
        <w:t> </w:t>
      </w:r>
      <w:r>
        <w:rPr/>
        <w:t>made</w:t>
      </w:r>
      <w:r>
        <w:rPr>
          <w:spacing w:val="-14"/>
        </w:rPr>
        <w:t> </w:t>
      </w:r>
      <w:r>
        <w:rPr/>
        <w:t>in</w:t>
      </w:r>
      <w:r>
        <w:rPr>
          <w:spacing w:val="-14"/>
        </w:rPr>
        <w:t> </w:t>
      </w:r>
      <w:r>
        <w:rPr/>
        <w:t>support</w:t>
      </w:r>
      <w:r>
        <w:rPr>
          <w:spacing w:val="-14"/>
        </w:rPr>
        <w:t> </w:t>
      </w:r>
      <w:r>
        <w:rPr/>
        <w:t>of students</w:t>
      </w:r>
      <w:r>
        <w:rPr>
          <w:spacing w:val="-19"/>
        </w:rPr>
        <w:t> </w:t>
      </w:r>
      <w:r>
        <w:rPr/>
        <w:t>through</w:t>
      </w:r>
      <w:r>
        <w:rPr>
          <w:spacing w:val="-19"/>
        </w:rPr>
        <w:t> </w:t>
      </w:r>
      <w:r>
        <w:rPr/>
        <w:t>scholarships</w:t>
      </w:r>
      <w:r>
        <w:rPr>
          <w:spacing w:val="-19"/>
        </w:rPr>
        <w:t> </w:t>
      </w:r>
      <w:r>
        <w:rPr/>
        <w:t>and</w:t>
      </w:r>
      <w:r>
        <w:rPr>
          <w:spacing w:val="-19"/>
        </w:rPr>
        <w:t> </w:t>
      </w:r>
      <w:r>
        <w:rPr/>
        <w:t>prizes.</w:t>
      </w:r>
      <w:r>
        <w:rPr>
          <w:spacing w:val="-19"/>
        </w:rPr>
        <w:t> </w:t>
      </w:r>
      <w:r>
        <w:rPr/>
        <w:t>This amount</w:t>
      </w:r>
      <w:r>
        <w:rPr>
          <w:spacing w:val="-14"/>
        </w:rPr>
        <w:t> </w:t>
      </w:r>
      <w:r>
        <w:rPr/>
        <w:t>does</w:t>
      </w:r>
      <w:r>
        <w:rPr>
          <w:spacing w:val="-14"/>
        </w:rPr>
        <w:t> </w:t>
      </w:r>
      <w:r>
        <w:rPr/>
        <w:t>not</w:t>
      </w:r>
      <w:r>
        <w:rPr>
          <w:spacing w:val="-14"/>
        </w:rPr>
        <w:t> </w:t>
      </w:r>
      <w:r>
        <w:rPr/>
        <w:t>include</w:t>
      </w:r>
      <w:r>
        <w:rPr>
          <w:spacing w:val="-14"/>
        </w:rPr>
        <w:t> </w:t>
      </w:r>
      <w:r>
        <w:rPr/>
        <w:t>donations</w:t>
      </w:r>
      <w:r>
        <w:rPr>
          <w:spacing w:val="-14"/>
        </w:rPr>
        <w:t> </w:t>
      </w:r>
      <w:r>
        <w:rPr/>
        <w:t>from</w:t>
      </w:r>
      <w:r>
        <w:rPr>
          <w:spacing w:val="-14"/>
        </w:rPr>
        <w:t> </w:t>
      </w:r>
      <w:r>
        <w:rPr/>
        <w:t>staff donors</w:t>
      </w:r>
      <w:r>
        <w:rPr>
          <w:spacing w:val="-19"/>
        </w:rPr>
        <w:t> </w:t>
      </w:r>
      <w:r>
        <w:rPr/>
        <w:t>who</w:t>
      </w:r>
      <w:r>
        <w:rPr>
          <w:spacing w:val="-19"/>
        </w:rPr>
        <w:t> </w:t>
      </w:r>
      <w:r>
        <w:rPr/>
        <w:t>are</w:t>
      </w:r>
      <w:r>
        <w:rPr>
          <w:spacing w:val="-19"/>
        </w:rPr>
        <w:t> </w:t>
      </w:r>
      <w:r>
        <w:rPr/>
        <w:t>also</w:t>
      </w:r>
      <w:r>
        <w:rPr>
          <w:spacing w:val="-19"/>
        </w:rPr>
        <w:t> </w:t>
      </w:r>
      <w:r>
        <w:rPr/>
        <w:t>alumni</w:t>
      </w:r>
      <w:r>
        <w:rPr>
          <w:spacing w:val="-19"/>
        </w:rPr>
        <w:t> </w:t>
      </w:r>
      <w:r>
        <w:rPr/>
        <w:t>of</w:t>
      </w:r>
      <w:r>
        <w:rPr>
          <w:spacing w:val="-19"/>
        </w:rPr>
        <w:t> </w:t>
      </w:r>
      <w:r>
        <w:rPr/>
        <w:t>the</w:t>
      </w:r>
      <w:r>
        <w:rPr>
          <w:spacing w:val="-19"/>
        </w:rPr>
        <w:t> </w:t>
      </w:r>
      <w:r>
        <w:rPr/>
        <w:t>University.</w:t>
      </w:r>
    </w:p>
    <w:p>
      <w:pPr>
        <w:pStyle w:val="BodyText"/>
        <w:rPr>
          <w:sz w:val="14"/>
        </w:rPr>
      </w:pPr>
    </w:p>
    <w:p>
      <w:pPr>
        <w:pStyle w:val="BodyText"/>
        <w:spacing w:line="249" w:lineRule="auto"/>
        <w:ind w:left="107" w:right="48"/>
      </w:pPr>
      <w:r>
        <w:rPr/>
        <w:t>Alumni are recognised as important partners in achieving the University’s mission. Their ongoing support is valuable not only in</w:t>
      </w:r>
    </w:p>
    <w:p>
      <w:pPr>
        <w:pStyle w:val="BodyText"/>
        <w:spacing w:line="249" w:lineRule="auto"/>
        <w:ind w:left="107" w:right="-3"/>
      </w:pPr>
      <w:r>
        <w:rPr/>
        <w:t>the form of donations, but in enriching the experience of current students through mentoring and networking programs, and through</w:t>
      </w:r>
      <w:r>
        <w:rPr>
          <w:spacing w:val="-19"/>
        </w:rPr>
        <w:t> </w:t>
      </w:r>
      <w:r>
        <w:rPr/>
        <w:t>opportunities</w:t>
      </w:r>
      <w:r>
        <w:rPr>
          <w:spacing w:val="-19"/>
        </w:rPr>
        <w:t> </w:t>
      </w:r>
      <w:r>
        <w:rPr/>
        <w:t>for</w:t>
      </w:r>
      <w:r>
        <w:rPr>
          <w:spacing w:val="-19"/>
        </w:rPr>
        <w:t> </w:t>
      </w:r>
      <w:r>
        <w:rPr/>
        <w:t>career</w:t>
      </w:r>
      <w:r>
        <w:rPr>
          <w:spacing w:val="-19"/>
        </w:rPr>
        <w:t> </w:t>
      </w:r>
      <w:r>
        <w:rPr/>
        <w:t>development.</w:t>
      </w:r>
    </w:p>
    <w:p>
      <w:pPr>
        <w:pStyle w:val="Heading7"/>
        <w:spacing w:before="77"/>
        <w:ind w:right="30"/>
      </w:pPr>
      <w:r>
        <w:rPr>
          <w:b w:val="0"/>
        </w:rPr>
        <w:br w:type="column"/>
      </w:r>
      <w:r>
        <w:rPr>
          <w:color w:val="615C58"/>
        </w:rPr>
        <w:t>Scholarships</w:t>
      </w:r>
    </w:p>
    <w:p>
      <w:pPr>
        <w:pStyle w:val="BodyText"/>
        <w:spacing w:line="249" w:lineRule="auto" w:before="86"/>
        <w:ind w:left="107" w:right="392"/>
      </w:pPr>
      <w:r>
        <w:rPr/>
        <w:t>The University’s mission is to serve the people of Western Sydney. With this in </w:t>
      </w:r>
      <w:r>
        <w:rPr>
          <w:spacing w:val="1"/>
          <w:w w:val="92"/>
        </w:rPr>
        <w:t>mind,</w:t>
      </w:r>
      <w:r>
        <w:rPr>
          <w:w w:val="92"/>
        </w:rPr>
        <w:t> </w:t>
      </w:r>
      <w:r>
        <w:rPr>
          <w:w w:val="95"/>
        </w:rPr>
        <w:t>in </w:t>
      </w:r>
      <w:r>
        <w:rPr>
          <w:spacing w:val="1"/>
          <w:w w:val="90"/>
        </w:rPr>
        <w:t>2016</w:t>
      </w:r>
      <w:r>
        <w:rPr>
          <w:w w:val="90"/>
        </w:rPr>
        <w:t> </w:t>
      </w:r>
      <w:r>
        <w:rPr>
          <w:w w:val="97"/>
        </w:rPr>
        <w:t>the </w:t>
      </w:r>
      <w:r>
        <w:rPr>
          <w:spacing w:val="1"/>
          <w:w w:val="98"/>
        </w:rPr>
        <w:t>Foundation</w:t>
      </w:r>
      <w:r>
        <w:rPr>
          <w:w w:val="98"/>
        </w:rPr>
        <w:t> </w:t>
      </w:r>
      <w:r>
        <w:rPr>
          <w:spacing w:val="1"/>
          <w:w w:val="98"/>
        </w:rPr>
        <w:t>Council</w:t>
      </w:r>
      <w:r>
        <w:rPr>
          <w:w w:val="98"/>
        </w:rPr>
        <w:t> </w:t>
      </w:r>
      <w:r>
        <w:rPr/>
        <w:t>and</w:t>
      </w:r>
      <w:r>
        <w:rPr>
          <w:spacing w:val="-15"/>
        </w:rPr>
        <w:t> </w:t>
      </w:r>
      <w:r>
        <w:rPr/>
        <w:t>University</w:t>
      </w:r>
      <w:r>
        <w:rPr>
          <w:spacing w:val="-15"/>
        </w:rPr>
        <w:t> </w:t>
      </w:r>
      <w:r>
        <w:rPr/>
        <w:t>Executive</w:t>
      </w:r>
      <w:r>
        <w:rPr>
          <w:spacing w:val="-15"/>
        </w:rPr>
        <w:t> </w:t>
      </w:r>
      <w:r>
        <w:rPr/>
        <w:t>continued</w:t>
      </w:r>
      <w:r>
        <w:rPr>
          <w:spacing w:val="-15"/>
        </w:rPr>
        <w:t> </w:t>
      </w:r>
      <w:r>
        <w:rPr/>
        <w:t>their commitment to increasing the number of donor-funded</w:t>
      </w:r>
      <w:r>
        <w:rPr>
          <w:spacing w:val="-40"/>
        </w:rPr>
        <w:t> </w:t>
      </w:r>
      <w:r>
        <w:rPr/>
        <w:t>scholarships.</w:t>
      </w:r>
    </w:p>
    <w:p>
      <w:pPr>
        <w:pStyle w:val="BodyText"/>
        <w:rPr>
          <w:sz w:val="14"/>
        </w:rPr>
      </w:pPr>
    </w:p>
    <w:p>
      <w:pPr>
        <w:pStyle w:val="BodyText"/>
        <w:spacing w:line="249" w:lineRule="auto"/>
        <w:ind w:left="107" w:right="-4"/>
      </w:pPr>
      <w:r>
        <w:rPr/>
        <w:t>There</w:t>
      </w:r>
      <w:r>
        <w:rPr>
          <w:spacing w:val="-20"/>
        </w:rPr>
        <w:t> </w:t>
      </w:r>
      <w:r>
        <w:rPr/>
        <w:t>were</w:t>
      </w:r>
      <w:r>
        <w:rPr>
          <w:spacing w:val="-20"/>
        </w:rPr>
        <w:t> </w:t>
      </w:r>
      <w:r>
        <w:rPr>
          <w:spacing w:val="2"/>
        </w:rPr>
        <w:t>228</w:t>
      </w:r>
      <w:r>
        <w:rPr>
          <w:spacing w:val="-20"/>
        </w:rPr>
        <w:t> </w:t>
      </w:r>
      <w:r>
        <w:rPr/>
        <w:t>donor-supported</w:t>
      </w:r>
      <w:r>
        <w:rPr>
          <w:spacing w:val="-20"/>
        </w:rPr>
        <w:t> </w:t>
      </w:r>
      <w:r>
        <w:rPr/>
        <w:t>scholarships </w:t>
      </w:r>
      <w:r>
        <w:rPr>
          <w:w w:val="98"/>
        </w:rPr>
        <w:t>awarded </w:t>
      </w:r>
      <w:r>
        <w:rPr>
          <w:w w:val="95"/>
        </w:rPr>
        <w:t>in </w:t>
      </w:r>
      <w:r>
        <w:rPr>
          <w:spacing w:val="2"/>
          <w:w w:val="85"/>
        </w:rPr>
        <w:t>2016,</w:t>
      </w:r>
      <w:r>
        <w:rPr>
          <w:w w:val="85"/>
        </w:rPr>
        <w:t> </w:t>
      </w:r>
      <w:r>
        <w:rPr>
          <w:w w:val="98"/>
        </w:rPr>
        <w:t>up </w:t>
      </w:r>
      <w:r>
        <w:rPr>
          <w:spacing w:val="1"/>
          <w:w w:val="98"/>
        </w:rPr>
        <w:t>from</w:t>
      </w:r>
      <w:r>
        <w:rPr>
          <w:w w:val="98"/>
        </w:rPr>
        <w:t> </w:t>
      </w:r>
      <w:r>
        <w:rPr>
          <w:spacing w:val="2"/>
          <w:w w:val="73"/>
        </w:rPr>
        <w:t>110</w:t>
      </w:r>
      <w:r>
        <w:rPr>
          <w:w w:val="73"/>
        </w:rPr>
        <w:t> </w:t>
      </w:r>
      <w:r>
        <w:rPr>
          <w:w w:val="95"/>
        </w:rPr>
        <w:t>in</w:t>
      </w:r>
      <w:r>
        <w:rPr>
          <w:spacing w:val="-28"/>
          <w:w w:val="95"/>
        </w:rPr>
        <w:t> </w:t>
      </w:r>
      <w:r>
        <w:rPr>
          <w:spacing w:val="1"/>
          <w:w w:val="84"/>
        </w:rPr>
        <w:t>2015.</w:t>
      </w:r>
    </w:p>
    <w:p>
      <w:pPr>
        <w:pStyle w:val="BodyText"/>
        <w:spacing w:before="6"/>
        <w:rPr>
          <w:sz w:val="14"/>
        </w:rPr>
      </w:pPr>
    </w:p>
    <w:p>
      <w:pPr>
        <w:pStyle w:val="Heading7"/>
        <w:ind w:right="30"/>
      </w:pPr>
      <w:r>
        <w:rPr>
          <w:color w:val="615C58"/>
          <w:w w:val="95"/>
        </w:rPr>
        <w:t>Refugee Scholarships</w:t>
      </w:r>
    </w:p>
    <w:p>
      <w:pPr>
        <w:pStyle w:val="BodyText"/>
        <w:spacing w:line="249" w:lineRule="auto" w:before="86"/>
        <w:ind w:left="107" w:right="299"/>
      </w:pPr>
      <w:r>
        <w:rPr>
          <w:spacing w:val="1"/>
          <w:w w:val="80"/>
        </w:rPr>
        <w:t>In</w:t>
      </w:r>
      <w:r>
        <w:rPr>
          <w:w w:val="80"/>
        </w:rPr>
        <w:t> </w:t>
      </w:r>
      <w:r>
        <w:rPr>
          <w:spacing w:val="-1"/>
          <w:w w:val="97"/>
        </w:rPr>
        <w:t>late</w:t>
      </w:r>
      <w:r>
        <w:rPr>
          <w:w w:val="97"/>
        </w:rPr>
        <w:t> </w:t>
      </w:r>
      <w:r>
        <w:rPr>
          <w:spacing w:val="1"/>
          <w:w w:val="84"/>
        </w:rPr>
        <w:t>2015,</w:t>
      </w:r>
      <w:r>
        <w:rPr>
          <w:w w:val="84"/>
        </w:rPr>
        <w:t> </w:t>
      </w:r>
      <w:r>
        <w:rPr>
          <w:spacing w:val="1"/>
          <w:w w:val="94"/>
        </w:rPr>
        <w:t>as</w:t>
      </w:r>
      <w:r>
        <w:rPr>
          <w:w w:val="94"/>
        </w:rPr>
        <w:t> </w:t>
      </w:r>
      <w:r>
        <w:rPr>
          <w:w w:val="97"/>
        </w:rPr>
        <w:t>the </w:t>
      </w:r>
      <w:r>
        <w:rPr>
          <w:w w:val="99"/>
        </w:rPr>
        <w:t>world </w:t>
      </w:r>
      <w:r>
        <w:rPr>
          <w:w w:val="96"/>
        </w:rPr>
        <w:t>was </w:t>
      </w:r>
      <w:r>
        <w:rPr>
          <w:spacing w:val="1"/>
          <w:w w:val="99"/>
        </w:rPr>
        <w:t>becoming</w:t>
      </w:r>
      <w:r>
        <w:rPr>
          <w:w w:val="99"/>
        </w:rPr>
        <w:t> </w:t>
      </w:r>
      <w:r>
        <w:rPr/>
        <w:t>more aware of the scale of the Syrian refugee crisis, the Chancellor announced that the University was establishing a Refugee Scholarship program and would contribute</w:t>
      </w:r>
      <w:r>
        <w:rPr>
          <w:spacing w:val="-11"/>
        </w:rPr>
        <w:t> </w:t>
      </w:r>
      <w:r>
        <w:rPr/>
        <w:t>the</w:t>
      </w:r>
      <w:r>
        <w:rPr>
          <w:spacing w:val="-11"/>
        </w:rPr>
        <w:t> </w:t>
      </w:r>
      <w:r>
        <w:rPr/>
        <w:t>first</w:t>
      </w:r>
      <w:r>
        <w:rPr>
          <w:spacing w:val="-11"/>
        </w:rPr>
        <w:t> </w:t>
      </w:r>
      <w:r>
        <w:rPr>
          <w:spacing w:val="2"/>
        </w:rPr>
        <w:t>$500,000</w:t>
      </w:r>
      <w:r>
        <w:rPr>
          <w:spacing w:val="-11"/>
        </w:rPr>
        <w:t> </w:t>
      </w:r>
      <w:r>
        <w:rPr/>
        <w:t>to</w:t>
      </w:r>
      <w:r>
        <w:rPr>
          <w:spacing w:val="-11"/>
        </w:rPr>
        <w:t> </w:t>
      </w:r>
      <w:r>
        <w:rPr/>
        <w:t>the</w:t>
      </w:r>
      <w:r>
        <w:rPr>
          <w:spacing w:val="-11"/>
        </w:rPr>
        <w:t> </w:t>
      </w:r>
      <w:r>
        <w:rPr/>
        <w:t>fund. The program provides scholarships of approximately</w:t>
      </w:r>
      <w:r>
        <w:rPr>
          <w:spacing w:val="-18"/>
        </w:rPr>
        <w:t> </w:t>
      </w:r>
      <w:r>
        <w:rPr/>
        <w:t>$7,500</w:t>
      </w:r>
      <w:r>
        <w:rPr>
          <w:spacing w:val="-18"/>
        </w:rPr>
        <w:t> </w:t>
      </w:r>
      <w:r>
        <w:rPr/>
        <w:t>per</w:t>
      </w:r>
      <w:r>
        <w:rPr>
          <w:spacing w:val="-18"/>
        </w:rPr>
        <w:t> </w:t>
      </w:r>
      <w:r>
        <w:rPr/>
        <w:t>annum,</w:t>
      </w:r>
      <w:r>
        <w:rPr>
          <w:spacing w:val="-18"/>
        </w:rPr>
        <w:t> </w:t>
      </w:r>
      <w:r>
        <w:rPr/>
        <w:t>for</w:t>
      </w:r>
      <w:r>
        <w:rPr>
          <w:spacing w:val="-18"/>
        </w:rPr>
        <w:t> </w:t>
      </w:r>
      <w:r>
        <w:rPr/>
        <w:t>the duration</w:t>
      </w:r>
      <w:r>
        <w:rPr>
          <w:spacing w:val="-20"/>
        </w:rPr>
        <w:t> </w:t>
      </w:r>
      <w:r>
        <w:rPr/>
        <w:t>of</w:t>
      </w:r>
      <w:r>
        <w:rPr>
          <w:spacing w:val="-20"/>
        </w:rPr>
        <w:t> </w:t>
      </w:r>
      <w:r>
        <w:rPr/>
        <w:t>a</w:t>
      </w:r>
      <w:r>
        <w:rPr>
          <w:spacing w:val="-20"/>
        </w:rPr>
        <w:t> </w:t>
      </w:r>
      <w:r>
        <w:rPr/>
        <w:t>degree,</w:t>
      </w:r>
      <w:r>
        <w:rPr>
          <w:spacing w:val="-20"/>
        </w:rPr>
        <w:t> </w:t>
      </w:r>
      <w:r>
        <w:rPr/>
        <w:t>to</w:t>
      </w:r>
      <w:r>
        <w:rPr>
          <w:spacing w:val="-20"/>
        </w:rPr>
        <w:t> </w:t>
      </w:r>
      <w:r>
        <w:rPr/>
        <w:t>humanitarian</w:t>
      </w:r>
      <w:r>
        <w:rPr>
          <w:spacing w:val="-20"/>
        </w:rPr>
        <w:t> </w:t>
      </w:r>
      <w:r>
        <w:rPr/>
        <w:t>visa holders; and fee waivers, bursaries and textbook</w:t>
      </w:r>
      <w:r>
        <w:rPr>
          <w:spacing w:val="-20"/>
        </w:rPr>
        <w:t> </w:t>
      </w:r>
      <w:r>
        <w:rPr/>
        <w:t>vouchers</w:t>
      </w:r>
      <w:r>
        <w:rPr>
          <w:spacing w:val="-20"/>
        </w:rPr>
        <w:t> </w:t>
      </w:r>
      <w:r>
        <w:rPr/>
        <w:t>to</w:t>
      </w:r>
      <w:r>
        <w:rPr>
          <w:spacing w:val="-20"/>
        </w:rPr>
        <w:t> </w:t>
      </w:r>
      <w:r>
        <w:rPr/>
        <w:t>asylum</w:t>
      </w:r>
      <w:r>
        <w:rPr>
          <w:spacing w:val="-20"/>
        </w:rPr>
        <w:t> </w:t>
      </w:r>
      <w:r>
        <w:rPr/>
        <w:t>seekers.</w:t>
      </w:r>
    </w:p>
    <w:p>
      <w:pPr>
        <w:pStyle w:val="BodyText"/>
        <w:rPr>
          <w:sz w:val="14"/>
        </w:rPr>
      </w:pPr>
    </w:p>
    <w:p>
      <w:pPr>
        <w:pStyle w:val="BodyText"/>
        <w:spacing w:line="249" w:lineRule="auto"/>
        <w:ind w:left="107" w:right="5"/>
      </w:pPr>
      <w:r>
        <w:rPr/>
        <w:t>There was a concentrated effort to raise philanthropic support for the program during </w:t>
      </w:r>
      <w:r>
        <w:rPr>
          <w:w w:val="90"/>
        </w:rPr>
        <w:t>2016 </w:t>
      </w:r>
      <w:r>
        <w:rPr>
          <w:w w:val="90"/>
        </w:rPr>
        <w:t>and, </w:t>
      </w:r>
      <w:r>
        <w:rPr>
          <w:w w:val="102"/>
        </w:rPr>
        <w:t>by </w:t>
      </w:r>
      <w:r>
        <w:rPr>
          <w:w w:val="97"/>
        </w:rPr>
        <w:t>the </w:t>
      </w:r>
      <w:r>
        <w:rPr>
          <w:w w:val="97"/>
        </w:rPr>
        <w:t>end </w:t>
      </w:r>
      <w:r>
        <w:rPr>
          <w:w w:val="99"/>
        </w:rPr>
        <w:t>of </w:t>
      </w:r>
      <w:r>
        <w:rPr>
          <w:w w:val="97"/>
        </w:rPr>
        <w:t>the </w:t>
      </w:r>
      <w:r>
        <w:rPr>
          <w:w w:val="91"/>
        </w:rPr>
        <w:t>year, </w:t>
      </w:r>
      <w:r>
        <w:rPr>
          <w:w w:val="97"/>
        </w:rPr>
        <w:t>almost</w:t>
      </w:r>
    </w:p>
    <w:p>
      <w:pPr>
        <w:pStyle w:val="BodyText"/>
        <w:spacing w:line="249" w:lineRule="auto"/>
        <w:ind w:left="107" w:right="208"/>
      </w:pPr>
      <w:r>
        <w:rPr/>
        <w:t>$2 million had been raised. This enabled the University to award more than 20 scholarships,</w:t>
      </w:r>
      <w:r>
        <w:rPr>
          <w:spacing w:val="-18"/>
        </w:rPr>
        <w:t> </w:t>
      </w:r>
      <w:r>
        <w:rPr/>
        <w:t>with</w:t>
      </w:r>
      <w:r>
        <w:rPr>
          <w:spacing w:val="-18"/>
        </w:rPr>
        <w:t> </w:t>
      </w:r>
      <w:r>
        <w:rPr/>
        <w:t>many</w:t>
      </w:r>
      <w:r>
        <w:rPr>
          <w:spacing w:val="-18"/>
        </w:rPr>
        <w:t> </w:t>
      </w:r>
      <w:r>
        <w:rPr/>
        <w:t>more</w:t>
      </w:r>
      <w:r>
        <w:rPr>
          <w:spacing w:val="-18"/>
        </w:rPr>
        <w:t> </w:t>
      </w:r>
      <w:r>
        <w:rPr/>
        <w:t>to</w:t>
      </w:r>
      <w:r>
        <w:rPr>
          <w:spacing w:val="-18"/>
        </w:rPr>
        <w:t> </w:t>
      </w:r>
      <w:r>
        <w:rPr/>
        <w:t>be</w:t>
      </w:r>
      <w:r>
        <w:rPr>
          <w:spacing w:val="-18"/>
        </w:rPr>
        <w:t> </w:t>
      </w:r>
      <w:r>
        <w:rPr/>
        <w:t>offered </w:t>
      </w:r>
      <w:r>
        <w:rPr>
          <w:w w:val="95"/>
        </w:rPr>
        <w:t>in</w:t>
      </w:r>
      <w:r>
        <w:rPr>
          <w:spacing w:val="-6"/>
          <w:w w:val="95"/>
        </w:rPr>
        <w:t> </w:t>
      </w:r>
      <w:r>
        <w:rPr>
          <w:spacing w:val="-4"/>
          <w:w w:val="85"/>
        </w:rPr>
        <w:t>2017.</w:t>
      </w:r>
    </w:p>
    <w:p>
      <w:pPr>
        <w:pStyle w:val="BodyText"/>
        <w:spacing w:before="6"/>
        <w:rPr>
          <w:sz w:val="14"/>
        </w:rPr>
      </w:pPr>
    </w:p>
    <w:p>
      <w:pPr>
        <w:pStyle w:val="Heading7"/>
        <w:ind w:right="30"/>
      </w:pPr>
      <w:r>
        <w:rPr>
          <w:color w:val="615C58"/>
          <w:w w:val="95"/>
        </w:rPr>
        <w:t>Donor-Supported Research</w:t>
      </w:r>
    </w:p>
    <w:p>
      <w:pPr>
        <w:pStyle w:val="BodyText"/>
        <w:spacing w:line="249" w:lineRule="auto" w:before="86"/>
        <w:ind w:left="107" w:right="36"/>
      </w:pPr>
      <w:r>
        <w:rPr/>
        <w:t>University research received significant philanthropic support this year – especially health</w:t>
      </w:r>
      <w:r>
        <w:rPr>
          <w:spacing w:val="-14"/>
        </w:rPr>
        <w:t> </w:t>
      </w:r>
      <w:r>
        <w:rPr/>
        <w:t>and</w:t>
      </w:r>
      <w:r>
        <w:rPr>
          <w:spacing w:val="-14"/>
        </w:rPr>
        <w:t> </w:t>
      </w:r>
      <w:r>
        <w:rPr/>
        <w:t>medical</w:t>
      </w:r>
      <w:r>
        <w:rPr>
          <w:spacing w:val="-14"/>
        </w:rPr>
        <w:t> </w:t>
      </w:r>
      <w:r>
        <w:rPr/>
        <w:t>research</w:t>
      </w:r>
      <w:r>
        <w:rPr>
          <w:spacing w:val="-14"/>
        </w:rPr>
        <w:t> </w:t>
      </w:r>
      <w:r>
        <w:rPr/>
        <w:t>being</w:t>
      </w:r>
      <w:r>
        <w:rPr>
          <w:spacing w:val="-14"/>
        </w:rPr>
        <w:t> </w:t>
      </w:r>
      <w:r>
        <w:rPr/>
        <w:t>conducted by the National Institute of Complementary Medicine</w:t>
      </w:r>
      <w:r>
        <w:rPr>
          <w:spacing w:val="-19"/>
        </w:rPr>
        <w:t> </w:t>
      </w:r>
      <w:r>
        <w:rPr>
          <w:spacing w:val="2"/>
        </w:rPr>
        <w:t>(NICM)</w:t>
      </w:r>
      <w:r>
        <w:rPr>
          <w:spacing w:val="-19"/>
        </w:rPr>
        <w:t> </w:t>
      </w:r>
      <w:r>
        <w:rPr/>
        <w:t>and</w:t>
      </w:r>
      <w:r>
        <w:rPr>
          <w:spacing w:val="-19"/>
        </w:rPr>
        <w:t> </w:t>
      </w:r>
      <w:r>
        <w:rPr/>
        <w:t>the</w:t>
      </w:r>
      <w:r>
        <w:rPr>
          <w:spacing w:val="-19"/>
        </w:rPr>
        <w:t> </w:t>
      </w:r>
      <w:r>
        <w:rPr/>
        <w:t>School</w:t>
      </w:r>
      <w:r>
        <w:rPr>
          <w:spacing w:val="-19"/>
        </w:rPr>
        <w:t> </w:t>
      </w:r>
      <w:r>
        <w:rPr/>
        <w:t>of</w:t>
      </w:r>
      <w:r>
        <w:rPr>
          <w:spacing w:val="-19"/>
        </w:rPr>
        <w:t> </w:t>
      </w:r>
      <w:r>
        <w:rPr/>
        <w:t>Medicine.</w:t>
      </w:r>
    </w:p>
    <w:p>
      <w:pPr>
        <w:pStyle w:val="BodyText"/>
        <w:rPr>
          <w:sz w:val="14"/>
        </w:rPr>
      </w:pPr>
    </w:p>
    <w:p>
      <w:pPr>
        <w:pStyle w:val="BodyText"/>
        <w:spacing w:line="249" w:lineRule="auto"/>
        <w:ind w:left="107" w:right="55"/>
      </w:pPr>
      <w:r>
        <w:rPr/>
        <w:t>New philanthropic commitments to research </w:t>
      </w:r>
      <w:r>
        <w:rPr>
          <w:w w:val="98"/>
        </w:rPr>
        <w:t>exceeded </w:t>
      </w:r>
      <w:r>
        <w:rPr>
          <w:w w:val="85"/>
        </w:rPr>
        <w:t>$10.2 </w:t>
      </w:r>
      <w:r>
        <w:rPr>
          <w:w w:val="96"/>
        </w:rPr>
        <w:t>million </w:t>
      </w:r>
      <w:r>
        <w:rPr>
          <w:w w:val="95"/>
        </w:rPr>
        <w:t>in </w:t>
      </w:r>
      <w:r>
        <w:rPr>
          <w:w w:val="85"/>
        </w:rPr>
        <w:t>2016, </w:t>
      </w:r>
      <w:r>
        <w:rPr>
          <w:w w:val="98"/>
        </w:rPr>
        <w:t>with </w:t>
      </w:r>
      <w:r>
        <w:rPr>
          <w:w w:val="97"/>
        </w:rPr>
        <w:t>the </w:t>
      </w:r>
      <w:r>
        <w:rPr/>
        <w:t>University receiving its largest gifts to date during the year.</w:t>
      </w:r>
    </w:p>
    <w:p>
      <w:pPr>
        <w:pStyle w:val="BodyText"/>
        <w:spacing w:before="3"/>
        <w:rPr>
          <w:sz w:val="19"/>
        </w:rPr>
      </w:pPr>
    </w:p>
    <w:p>
      <w:pPr>
        <w:pStyle w:val="Heading7"/>
        <w:ind w:right="30"/>
      </w:pPr>
      <w:r>
        <w:rPr>
          <w:w w:val="95"/>
        </w:rPr>
        <w:t>ALUMNI RELATIONS</w:t>
      </w:r>
    </w:p>
    <w:p>
      <w:pPr>
        <w:spacing w:before="64"/>
        <w:ind w:left="107" w:right="30" w:firstLine="0"/>
        <w:jc w:val="left"/>
        <w:rPr>
          <w:rFonts w:ascii="Gotham Narrow Bold" w:hAnsi="Gotham Narrow Bold"/>
          <w:b/>
          <w:sz w:val="16"/>
        </w:rPr>
      </w:pPr>
      <w:r>
        <w:rPr>
          <w:rFonts w:ascii="Gotham Narrow Bold" w:hAnsi="Gotham Narrow Bold"/>
          <w:b/>
          <w:color w:val="615C58"/>
          <w:w w:val="95"/>
          <w:sz w:val="16"/>
        </w:rPr>
        <w:t>Alumni–Student Engagement</w:t>
      </w:r>
    </w:p>
    <w:p>
      <w:pPr>
        <w:pStyle w:val="BodyText"/>
        <w:spacing w:line="249" w:lineRule="auto" w:before="86"/>
        <w:ind w:left="107" w:right="30"/>
      </w:pPr>
      <w:r>
        <w:rPr/>
        <w:t>A commitment to strengthening the student experience has seen the Alumni Relations program increase its initiatives to support student recruitment and student activities.</w:t>
      </w:r>
    </w:p>
    <w:p>
      <w:pPr>
        <w:pStyle w:val="BodyText"/>
        <w:spacing w:line="249" w:lineRule="auto" w:before="71"/>
        <w:ind w:left="107" w:right="115"/>
      </w:pPr>
      <w:r>
        <w:rPr/>
        <w:br w:type="column"/>
      </w:r>
      <w:r>
        <w:rPr>
          <w:spacing w:val="1"/>
          <w:w w:val="80"/>
        </w:rPr>
        <w:t>In</w:t>
      </w:r>
      <w:r>
        <w:rPr>
          <w:w w:val="80"/>
        </w:rPr>
        <w:t> </w:t>
      </w:r>
      <w:r>
        <w:rPr>
          <w:spacing w:val="2"/>
          <w:w w:val="85"/>
        </w:rPr>
        <w:t>2016,</w:t>
      </w:r>
      <w:r>
        <w:rPr>
          <w:w w:val="85"/>
        </w:rPr>
        <w:t> </w:t>
      </w:r>
      <w:r>
        <w:rPr>
          <w:w w:val="97"/>
        </w:rPr>
        <w:t>the </w:t>
      </w:r>
      <w:r>
        <w:rPr>
          <w:spacing w:val="1"/>
          <w:w w:val="98"/>
        </w:rPr>
        <w:t>Office</w:t>
      </w:r>
      <w:r>
        <w:rPr>
          <w:w w:val="98"/>
        </w:rPr>
        <w:t> </w:t>
      </w:r>
      <w:r>
        <w:rPr>
          <w:w w:val="99"/>
        </w:rPr>
        <w:t>piloted </w:t>
      </w:r>
      <w:r>
        <w:rPr>
          <w:spacing w:val="1"/>
          <w:w w:val="95"/>
        </w:rPr>
        <w:t>an</w:t>
      </w:r>
      <w:r>
        <w:rPr>
          <w:w w:val="95"/>
        </w:rPr>
        <w:t> </w:t>
      </w:r>
      <w:r>
        <w:rPr>
          <w:spacing w:val="1"/>
          <w:w w:val="98"/>
        </w:rPr>
        <w:t>e-mentoring</w:t>
      </w:r>
      <w:r>
        <w:rPr>
          <w:w w:val="98"/>
        </w:rPr>
        <w:t> </w:t>
      </w:r>
      <w:r>
        <w:rPr/>
        <w:t>program, which matched students from The Academy,</w:t>
      </w:r>
      <w:r>
        <w:rPr>
          <w:spacing w:val="-21"/>
        </w:rPr>
        <w:t> </w:t>
      </w:r>
      <w:r>
        <w:rPr/>
        <w:t>the</w:t>
      </w:r>
      <w:r>
        <w:rPr>
          <w:spacing w:val="-21"/>
        </w:rPr>
        <w:t> </w:t>
      </w:r>
      <w:r>
        <w:rPr/>
        <w:t>Mentoring</w:t>
      </w:r>
      <w:r>
        <w:rPr>
          <w:spacing w:val="-21"/>
        </w:rPr>
        <w:t> </w:t>
      </w:r>
      <w:r>
        <w:rPr/>
        <w:t>and</w:t>
      </w:r>
      <w:r>
        <w:rPr>
          <w:spacing w:val="-21"/>
        </w:rPr>
        <w:t> </w:t>
      </w:r>
      <w:r>
        <w:rPr/>
        <w:t>Transition</w:t>
      </w:r>
      <w:r>
        <w:rPr>
          <w:spacing w:val="-21"/>
        </w:rPr>
        <w:t> </w:t>
      </w:r>
      <w:r>
        <w:rPr/>
        <w:t>Equals Success (MATES) program, the Graduate Research School and the School of Business with</w:t>
      </w:r>
      <w:r>
        <w:rPr>
          <w:spacing w:val="-29"/>
        </w:rPr>
        <w:t> </w:t>
      </w:r>
      <w:r>
        <w:rPr/>
        <w:t>alumni</w:t>
      </w:r>
      <w:r>
        <w:rPr>
          <w:spacing w:val="-29"/>
        </w:rPr>
        <w:t> </w:t>
      </w:r>
      <w:r>
        <w:rPr/>
        <w:t>mentors.</w:t>
      </w:r>
    </w:p>
    <w:p>
      <w:pPr>
        <w:pStyle w:val="BodyText"/>
        <w:rPr>
          <w:sz w:val="14"/>
        </w:rPr>
      </w:pPr>
    </w:p>
    <w:p>
      <w:pPr>
        <w:pStyle w:val="BodyText"/>
        <w:spacing w:line="249" w:lineRule="auto"/>
        <w:ind w:left="107" w:right="124"/>
      </w:pPr>
      <w:r>
        <w:rPr/>
        <w:t>The</w:t>
      </w:r>
      <w:r>
        <w:rPr>
          <w:spacing w:val="-17"/>
        </w:rPr>
        <w:t> </w:t>
      </w:r>
      <w:r>
        <w:rPr/>
        <w:t>Office</w:t>
      </w:r>
      <w:r>
        <w:rPr>
          <w:spacing w:val="-17"/>
        </w:rPr>
        <w:t> </w:t>
      </w:r>
      <w:r>
        <w:rPr/>
        <w:t>has</w:t>
      </w:r>
      <w:r>
        <w:rPr>
          <w:spacing w:val="-17"/>
        </w:rPr>
        <w:t> </w:t>
      </w:r>
      <w:r>
        <w:rPr/>
        <w:t>more</w:t>
      </w:r>
      <w:r>
        <w:rPr>
          <w:spacing w:val="-17"/>
        </w:rPr>
        <w:t> </w:t>
      </w:r>
      <w:r>
        <w:rPr/>
        <w:t>than</w:t>
      </w:r>
      <w:r>
        <w:rPr>
          <w:spacing w:val="-17"/>
        </w:rPr>
        <w:t> </w:t>
      </w:r>
      <w:r>
        <w:rPr>
          <w:spacing w:val="2"/>
        </w:rPr>
        <w:t>400</w:t>
      </w:r>
      <w:r>
        <w:rPr>
          <w:spacing w:val="-17"/>
        </w:rPr>
        <w:t> </w:t>
      </w:r>
      <w:r>
        <w:rPr/>
        <w:t>student–alumni ambassadors</w:t>
      </w:r>
      <w:r>
        <w:rPr>
          <w:spacing w:val="-16"/>
        </w:rPr>
        <w:t> </w:t>
      </w:r>
      <w:r>
        <w:rPr/>
        <w:t>–</w:t>
      </w:r>
      <w:r>
        <w:rPr>
          <w:spacing w:val="-16"/>
        </w:rPr>
        <w:t> </w:t>
      </w:r>
      <w:r>
        <w:rPr/>
        <w:t>alumni</w:t>
      </w:r>
      <w:r>
        <w:rPr>
          <w:spacing w:val="-16"/>
        </w:rPr>
        <w:t> </w:t>
      </w:r>
      <w:r>
        <w:rPr/>
        <w:t>who</w:t>
      </w:r>
      <w:r>
        <w:rPr>
          <w:spacing w:val="-16"/>
        </w:rPr>
        <w:t> </w:t>
      </w:r>
      <w:r>
        <w:rPr/>
        <w:t>have</w:t>
      </w:r>
      <w:r>
        <w:rPr>
          <w:spacing w:val="-16"/>
        </w:rPr>
        <w:t> </w:t>
      </w:r>
      <w:r>
        <w:rPr/>
        <w:t>participated </w:t>
      </w:r>
      <w:r>
        <w:rPr>
          <w:w w:val="95"/>
        </w:rPr>
        <w:t>in </w:t>
      </w:r>
      <w:r>
        <w:rPr>
          <w:spacing w:val="1"/>
          <w:w w:val="95"/>
        </w:rPr>
        <w:t>alumni</w:t>
      </w:r>
      <w:r>
        <w:rPr>
          <w:w w:val="95"/>
        </w:rPr>
        <w:t> </w:t>
      </w:r>
      <w:r>
        <w:rPr>
          <w:w w:val="97"/>
        </w:rPr>
        <w:t>events </w:t>
      </w:r>
      <w:r>
        <w:rPr>
          <w:spacing w:val="1"/>
          <w:w w:val="97"/>
        </w:rPr>
        <w:t>and</w:t>
      </w:r>
      <w:r>
        <w:rPr>
          <w:w w:val="97"/>
        </w:rPr>
        <w:t> </w:t>
      </w:r>
      <w:r>
        <w:rPr>
          <w:spacing w:val="1"/>
          <w:w w:val="96"/>
        </w:rPr>
        <w:t>communications.</w:t>
      </w:r>
      <w:r>
        <w:rPr>
          <w:spacing w:val="-24"/>
          <w:w w:val="96"/>
        </w:rPr>
        <w:t> </w:t>
      </w:r>
      <w:r>
        <w:rPr>
          <w:spacing w:val="1"/>
          <w:w w:val="80"/>
        </w:rPr>
        <w:t>In</w:t>
      </w:r>
      <w:r>
        <w:rPr>
          <w:spacing w:val="14"/>
          <w:w w:val="80"/>
        </w:rPr>
        <w:t> </w:t>
      </w:r>
      <w:r>
        <w:rPr>
          <w:spacing w:val="2"/>
          <w:w w:val="85"/>
        </w:rPr>
        <w:t>2016,</w:t>
      </w:r>
      <w:r>
        <w:rPr>
          <w:spacing w:val="-12"/>
        </w:rPr>
        <w:t> </w:t>
      </w:r>
      <w:r>
        <w:rPr/>
        <w:t>alumni volunteers supported student activities such as the Lead, Engage, Aspire, Develop</w:t>
      </w:r>
      <w:r>
        <w:rPr>
          <w:spacing w:val="-15"/>
        </w:rPr>
        <w:t> </w:t>
      </w:r>
      <w:r>
        <w:rPr/>
        <w:t>(LEAD)</w:t>
      </w:r>
      <w:r>
        <w:rPr>
          <w:spacing w:val="-15"/>
        </w:rPr>
        <w:t> </w:t>
      </w:r>
      <w:r>
        <w:rPr/>
        <w:t>Conference,</w:t>
      </w:r>
      <w:r>
        <w:rPr>
          <w:spacing w:val="-15"/>
        </w:rPr>
        <w:t> </w:t>
      </w:r>
      <w:r>
        <w:rPr/>
        <w:t>gave</w:t>
      </w:r>
      <w:r>
        <w:rPr>
          <w:spacing w:val="-15"/>
        </w:rPr>
        <w:t> </w:t>
      </w:r>
      <w:r>
        <w:rPr/>
        <w:t>graduation ceremony</w:t>
      </w:r>
      <w:r>
        <w:rPr>
          <w:spacing w:val="-18"/>
        </w:rPr>
        <w:t> </w:t>
      </w:r>
      <w:r>
        <w:rPr/>
        <w:t>addresses</w:t>
      </w:r>
      <w:r>
        <w:rPr>
          <w:spacing w:val="-18"/>
        </w:rPr>
        <w:t> </w:t>
      </w:r>
      <w:r>
        <w:rPr/>
        <w:t>and</w:t>
      </w:r>
      <w:r>
        <w:rPr>
          <w:spacing w:val="-18"/>
        </w:rPr>
        <w:t> </w:t>
      </w:r>
      <w:r>
        <w:rPr/>
        <w:t>were</w:t>
      </w:r>
      <w:r>
        <w:rPr>
          <w:spacing w:val="-18"/>
        </w:rPr>
        <w:t> </w:t>
      </w:r>
      <w:r>
        <w:rPr/>
        <w:t>guest</w:t>
      </w:r>
      <w:r>
        <w:rPr>
          <w:spacing w:val="-18"/>
        </w:rPr>
        <w:t> </w:t>
      </w:r>
      <w:r>
        <w:rPr/>
        <w:t>speakers at</w:t>
      </w:r>
      <w:r>
        <w:rPr>
          <w:spacing w:val="-26"/>
        </w:rPr>
        <w:t> </w:t>
      </w:r>
      <w:r>
        <w:rPr/>
        <w:t>Open</w:t>
      </w:r>
      <w:r>
        <w:rPr>
          <w:spacing w:val="-26"/>
        </w:rPr>
        <w:t> </w:t>
      </w:r>
      <w:r>
        <w:rPr/>
        <w:t>Day.</w:t>
      </w:r>
    </w:p>
    <w:p>
      <w:pPr>
        <w:pStyle w:val="BodyText"/>
        <w:rPr>
          <w:sz w:val="14"/>
        </w:rPr>
      </w:pPr>
    </w:p>
    <w:p>
      <w:pPr>
        <w:pStyle w:val="BodyText"/>
        <w:spacing w:line="249" w:lineRule="auto"/>
        <w:ind w:left="107" w:right="436"/>
      </w:pPr>
      <w:r>
        <w:rPr>
          <w:w w:val="94"/>
        </w:rPr>
        <w:t>Similarly, </w:t>
      </w:r>
      <w:r>
        <w:rPr>
          <w:w w:val="90"/>
        </w:rPr>
        <w:t>2016 </w:t>
      </w:r>
      <w:r>
        <w:rPr>
          <w:w w:val="96"/>
        </w:rPr>
        <w:t>saw </w:t>
      </w:r>
      <w:r>
        <w:rPr>
          <w:w w:val="98"/>
        </w:rPr>
        <w:t>strong </w:t>
      </w:r>
      <w:r>
        <w:rPr>
          <w:w w:val="98"/>
        </w:rPr>
        <w:t>student </w:t>
      </w:r>
      <w:r>
        <w:rPr/>
        <w:t>engagement in alumni activities such as GradLife events, the Hawkesbury Alumni Luncheon and the Law Chapter event.</w:t>
      </w:r>
    </w:p>
    <w:p>
      <w:pPr>
        <w:pStyle w:val="BodyText"/>
        <w:spacing w:before="6"/>
        <w:rPr>
          <w:sz w:val="14"/>
        </w:rPr>
      </w:pPr>
    </w:p>
    <w:p>
      <w:pPr>
        <w:pStyle w:val="Heading7"/>
        <w:ind w:right="0"/>
      </w:pPr>
      <w:r>
        <w:rPr>
          <w:color w:val="615C58"/>
          <w:w w:val="95"/>
        </w:rPr>
        <w:t>Alumni Communications and Events</w:t>
      </w:r>
    </w:p>
    <w:p>
      <w:pPr>
        <w:pStyle w:val="BodyText"/>
        <w:spacing w:line="249" w:lineRule="auto" w:before="86"/>
        <w:ind w:left="107" w:right="311"/>
      </w:pPr>
      <w:r>
        <w:rPr/>
        <w:t>The</w:t>
      </w:r>
      <w:r>
        <w:rPr>
          <w:spacing w:val="-26"/>
        </w:rPr>
        <w:t> </w:t>
      </w:r>
      <w:r>
        <w:rPr/>
        <w:t>global</w:t>
      </w:r>
      <w:r>
        <w:rPr>
          <w:spacing w:val="-26"/>
        </w:rPr>
        <w:t> </w:t>
      </w:r>
      <w:r>
        <w:rPr/>
        <w:t>Alumni</w:t>
      </w:r>
      <w:r>
        <w:rPr>
          <w:spacing w:val="-26"/>
        </w:rPr>
        <w:t> </w:t>
      </w:r>
      <w:r>
        <w:rPr/>
        <w:t>network</w:t>
      </w:r>
      <w:r>
        <w:rPr>
          <w:spacing w:val="-26"/>
        </w:rPr>
        <w:t> </w:t>
      </w:r>
      <w:r>
        <w:rPr/>
        <w:t>reached</w:t>
      </w:r>
      <w:r>
        <w:rPr>
          <w:spacing w:val="-26"/>
        </w:rPr>
        <w:t> </w:t>
      </w:r>
      <w:r>
        <w:rPr/>
        <w:t>172,748 </w:t>
      </w:r>
      <w:r>
        <w:rPr>
          <w:spacing w:val="1"/>
          <w:w w:val="97"/>
        </w:rPr>
        <w:t>members</w:t>
      </w:r>
      <w:r>
        <w:rPr>
          <w:w w:val="97"/>
        </w:rPr>
        <w:t> </w:t>
      </w:r>
      <w:r>
        <w:rPr>
          <w:w w:val="95"/>
        </w:rPr>
        <w:t>in </w:t>
      </w:r>
      <w:r>
        <w:rPr>
          <w:spacing w:val="2"/>
          <w:w w:val="85"/>
        </w:rPr>
        <w:t>2016,</w:t>
      </w:r>
      <w:r>
        <w:rPr>
          <w:w w:val="85"/>
        </w:rPr>
        <w:t> </w:t>
      </w:r>
      <w:r>
        <w:rPr>
          <w:spacing w:val="1"/>
          <w:w w:val="97"/>
        </w:rPr>
        <w:t>including</w:t>
      </w:r>
      <w:r>
        <w:rPr>
          <w:w w:val="97"/>
        </w:rPr>
        <w:t> </w:t>
      </w:r>
      <w:r>
        <w:rPr>
          <w:spacing w:val="2"/>
          <w:w w:val="96"/>
        </w:rPr>
        <w:t>8,046</w:t>
      </w:r>
      <w:r>
        <w:rPr>
          <w:w w:val="96"/>
        </w:rPr>
        <w:t> </w:t>
      </w:r>
      <w:r>
        <w:rPr>
          <w:w w:val="97"/>
        </w:rPr>
        <w:t>new </w:t>
      </w:r>
      <w:r>
        <w:rPr/>
        <w:t>graduates. Approximately 85 per cent of graduating students provided their email address</w:t>
      </w:r>
      <w:r>
        <w:rPr>
          <w:spacing w:val="-18"/>
        </w:rPr>
        <w:t> </w:t>
      </w:r>
      <w:r>
        <w:rPr/>
        <w:t>for</w:t>
      </w:r>
      <w:r>
        <w:rPr>
          <w:spacing w:val="-18"/>
        </w:rPr>
        <w:t> </w:t>
      </w:r>
      <w:r>
        <w:rPr/>
        <w:t>future</w:t>
      </w:r>
      <w:r>
        <w:rPr>
          <w:spacing w:val="-18"/>
        </w:rPr>
        <w:t> </w:t>
      </w:r>
      <w:r>
        <w:rPr/>
        <w:t>contact.</w:t>
      </w:r>
    </w:p>
    <w:p>
      <w:pPr>
        <w:pStyle w:val="BodyText"/>
        <w:rPr>
          <w:sz w:val="14"/>
        </w:rPr>
      </w:pPr>
    </w:p>
    <w:p>
      <w:pPr>
        <w:pStyle w:val="BodyText"/>
        <w:spacing w:line="249" w:lineRule="auto"/>
        <w:ind w:left="107" w:right="212"/>
      </w:pPr>
      <w:r>
        <w:rPr/>
        <w:t>With</w:t>
      </w:r>
      <w:r>
        <w:rPr>
          <w:spacing w:val="-24"/>
        </w:rPr>
        <w:t> </w:t>
      </w:r>
      <w:r>
        <w:rPr/>
        <w:t>University</w:t>
      </w:r>
      <w:r>
        <w:rPr>
          <w:spacing w:val="-24"/>
        </w:rPr>
        <w:t> </w:t>
      </w:r>
      <w:r>
        <w:rPr/>
        <w:t>alumni</w:t>
      </w:r>
      <w:r>
        <w:rPr>
          <w:spacing w:val="-24"/>
        </w:rPr>
        <w:t> </w:t>
      </w:r>
      <w:r>
        <w:rPr/>
        <w:t>living</w:t>
      </w:r>
      <w:r>
        <w:rPr>
          <w:spacing w:val="-24"/>
        </w:rPr>
        <w:t> </w:t>
      </w:r>
      <w:r>
        <w:rPr/>
        <w:t>in</w:t>
      </w:r>
      <w:r>
        <w:rPr>
          <w:spacing w:val="-24"/>
        </w:rPr>
        <w:t> </w:t>
      </w:r>
      <w:r>
        <w:rPr/>
        <w:t>123</w:t>
      </w:r>
      <w:r>
        <w:rPr>
          <w:spacing w:val="-24"/>
        </w:rPr>
        <w:t> </w:t>
      </w:r>
      <w:r>
        <w:rPr/>
        <w:t>countries, the global alumni community keeps up to date</w:t>
      </w:r>
      <w:r>
        <w:rPr>
          <w:spacing w:val="-16"/>
        </w:rPr>
        <w:t> </w:t>
      </w:r>
      <w:r>
        <w:rPr/>
        <w:t>through</w:t>
      </w:r>
      <w:r>
        <w:rPr>
          <w:spacing w:val="-16"/>
        </w:rPr>
        <w:t> </w:t>
      </w:r>
      <w:r>
        <w:rPr/>
        <w:t>traditional</w:t>
      </w:r>
      <w:r>
        <w:rPr>
          <w:spacing w:val="-16"/>
        </w:rPr>
        <w:t> </w:t>
      </w:r>
      <w:r>
        <w:rPr/>
        <w:t>and</w:t>
      </w:r>
      <w:r>
        <w:rPr>
          <w:spacing w:val="-16"/>
        </w:rPr>
        <w:t> </w:t>
      </w:r>
      <w:r>
        <w:rPr/>
        <w:t>non-traditional</w:t>
      </w:r>
    </w:p>
    <w:p>
      <w:pPr>
        <w:pStyle w:val="BodyText"/>
        <w:spacing w:line="249" w:lineRule="auto"/>
        <w:ind w:left="107" w:right="41"/>
      </w:pPr>
      <w:r>
        <w:rPr/>
        <w:t>communication methods. The Office increased its publication of social and informative </w:t>
      </w:r>
      <w:r>
        <w:rPr>
          <w:w w:val="99"/>
        </w:rPr>
        <w:t>content </w:t>
      </w:r>
      <w:r>
        <w:rPr>
          <w:w w:val="95"/>
        </w:rPr>
        <w:t>in </w:t>
      </w:r>
      <w:r>
        <w:rPr>
          <w:w w:val="85"/>
        </w:rPr>
        <w:t>2016, </w:t>
      </w:r>
      <w:r>
        <w:rPr>
          <w:w w:val="97"/>
        </w:rPr>
        <w:t>and </w:t>
      </w:r>
      <w:r>
        <w:rPr>
          <w:w w:val="99"/>
        </w:rPr>
        <w:t>now </w:t>
      </w:r>
      <w:r>
        <w:rPr>
          <w:w w:val="95"/>
        </w:rPr>
        <w:t>has </w:t>
      </w:r>
      <w:r>
        <w:rPr>
          <w:w w:val="87"/>
        </w:rPr>
        <w:t>13,540 </w:t>
      </w:r>
      <w:r>
        <w:rPr>
          <w:w w:val="99"/>
        </w:rPr>
        <w:t>Facebook </w:t>
      </w:r>
      <w:r>
        <w:rPr/>
        <w:t>followers, 4,299 LinkedIn group connections </w:t>
      </w:r>
      <w:r>
        <w:rPr>
          <w:w w:val="95"/>
        </w:rPr>
        <w:t>and 1,946 Twitter followers.</w:t>
      </w:r>
    </w:p>
    <w:p>
      <w:pPr>
        <w:pStyle w:val="BodyText"/>
        <w:rPr>
          <w:sz w:val="14"/>
        </w:rPr>
      </w:pPr>
    </w:p>
    <w:p>
      <w:pPr>
        <w:pStyle w:val="BodyText"/>
        <w:spacing w:line="249" w:lineRule="auto"/>
        <w:ind w:left="107" w:right="98"/>
      </w:pPr>
      <w:r>
        <w:rPr/>
        <w:t>Traditional alumni communications included the GradLife magazine, which was distributed in April and November to 43,000 alumni by </w:t>
      </w:r>
      <w:r>
        <w:rPr>
          <w:w w:val="96"/>
        </w:rPr>
        <w:t>email </w:t>
      </w:r>
      <w:r>
        <w:rPr>
          <w:w w:val="97"/>
        </w:rPr>
        <w:t>and </w:t>
      </w:r>
      <w:r>
        <w:rPr>
          <w:w w:val="91"/>
        </w:rPr>
        <w:t>15,000 </w:t>
      </w:r>
      <w:r>
        <w:rPr>
          <w:w w:val="102"/>
        </w:rPr>
        <w:t>by </w:t>
      </w:r>
      <w:r>
        <w:rPr>
          <w:w w:val="90"/>
        </w:rPr>
        <w:t>mail, </w:t>
      </w:r>
      <w:r>
        <w:rPr>
          <w:w w:val="97"/>
        </w:rPr>
        <w:t>and </w:t>
      </w:r>
      <w:r>
        <w:rPr>
          <w:w w:val="97"/>
        </w:rPr>
        <w:t>the </w:t>
      </w:r>
      <w:r>
        <w:rPr>
          <w:w w:val="99"/>
        </w:rPr>
        <w:t>GradBytes </w:t>
      </w:r>
      <w:r>
        <w:rPr/>
        <w:t>e-newsletter, which was distributed quarterly to 43,000 alumni by email.</w:t>
      </w:r>
    </w:p>
    <w:p>
      <w:pPr>
        <w:pStyle w:val="BodyText"/>
        <w:rPr>
          <w:sz w:val="14"/>
        </w:rPr>
      </w:pPr>
    </w:p>
    <w:p>
      <w:pPr>
        <w:pStyle w:val="BodyText"/>
        <w:spacing w:line="249" w:lineRule="auto"/>
        <w:ind w:left="107" w:right="111"/>
      </w:pPr>
      <w:r>
        <w:rPr/>
        <w:t>The University conducted a comprehensive </w:t>
      </w:r>
      <w:r>
        <w:rPr>
          <w:spacing w:val="1"/>
          <w:w w:val="95"/>
        </w:rPr>
        <w:t>alumni</w:t>
      </w:r>
      <w:r>
        <w:rPr>
          <w:w w:val="95"/>
        </w:rPr>
        <w:t> </w:t>
      </w:r>
      <w:r>
        <w:rPr>
          <w:w w:val="97"/>
        </w:rPr>
        <w:t>survey </w:t>
      </w:r>
      <w:r>
        <w:rPr>
          <w:w w:val="95"/>
        </w:rPr>
        <w:t>in </w:t>
      </w:r>
      <w:r>
        <w:rPr>
          <w:spacing w:val="2"/>
          <w:w w:val="85"/>
        </w:rPr>
        <w:t>2016.</w:t>
      </w:r>
      <w:r>
        <w:rPr>
          <w:w w:val="85"/>
        </w:rPr>
        <w:t> </w:t>
      </w:r>
      <w:r>
        <w:rPr>
          <w:spacing w:val="1"/>
          <w:w w:val="97"/>
        </w:rPr>
        <w:t>Results</w:t>
      </w:r>
      <w:r>
        <w:rPr>
          <w:w w:val="97"/>
        </w:rPr>
        <w:t> </w:t>
      </w:r>
      <w:r>
        <w:rPr>
          <w:spacing w:val="1"/>
          <w:w w:val="98"/>
        </w:rPr>
        <w:t>indicated</w:t>
      </w:r>
      <w:r>
        <w:rPr>
          <w:w w:val="98"/>
        </w:rPr>
        <w:t> </w:t>
      </w:r>
      <w:r>
        <w:rPr>
          <w:w w:val="98"/>
        </w:rPr>
        <w:t>that </w:t>
      </w:r>
      <w:r>
        <w:rPr>
          <w:spacing w:val="2"/>
        </w:rPr>
        <w:t>86 </w:t>
      </w:r>
      <w:r>
        <w:rPr/>
        <w:t>per cent of alumni were satisfied or very satisfied</w:t>
      </w:r>
      <w:r>
        <w:rPr>
          <w:spacing w:val="-17"/>
        </w:rPr>
        <w:t> </w:t>
      </w:r>
      <w:r>
        <w:rPr/>
        <w:t>with</w:t>
      </w:r>
      <w:r>
        <w:rPr>
          <w:spacing w:val="-17"/>
        </w:rPr>
        <w:t> </w:t>
      </w:r>
      <w:r>
        <w:rPr/>
        <w:t>their</w:t>
      </w:r>
      <w:r>
        <w:rPr>
          <w:spacing w:val="-17"/>
        </w:rPr>
        <w:t> </w:t>
      </w:r>
      <w:r>
        <w:rPr/>
        <w:t>student</w:t>
      </w:r>
      <w:r>
        <w:rPr>
          <w:spacing w:val="-17"/>
        </w:rPr>
        <w:t> </w:t>
      </w:r>
      <w:r>
        <w:rPr/>
        <w:t>experience,</w:t>
      </w:r>
      <w:r>
        <w:rPr>
          <w:spacing w:val="-17"/>
        </w:rPr>
        <w:t> </w:t>
      </w:r>
      <w:r>
        <w:rPr/>
        <w:t>and</w:t>
      </w:r>
      <w:r>
        <w:rPr>
          <w:spacing w:val="-17"/>
        </w:rPr>
        <w:t> </w:t>
      </w:r>
      <w:r>
        <w:rPr/>
        <w:t>69 per</w:t>
      </w:r>
      <w:r>
        <w:rPr>
          <w:spacing w:val="-14"/>
        </w:rPr>
        <w:t> </w:t>
      </w:r>
      <w:r>
        <w:rPr/>
        <w:t>cent</w:t>
      </w:r>
      <w:r>
        <w:rPr>
          <w:spacing w:val="-14"/>
        </w:rPr>
        <w:t> </w:t>
      </w:r>
      <w:r>
        <w:rPr/>
        <w:t>had</w:t>
      </w:r>
      <w:r>
        <w:rPr>
          <w:spacing w:val="-14"/>
        </w:rPr>
        <w:t> </w:t>
      </w:r>
      <w:r>
        <w:rPr/>
        <w:t>positive</w:t>
      </w:r>
      <w:r>
        <w:rPr>
          <w:spacing w:val="-14"/>
        </w:rPr>
        <w:t> </w:t>
      </w:r>
      <w:r>
        <w:rPr/>
        <w:t>or</w:t>
      </w:r>
      <w:r>
        <w:rPr>
          <w:spacing w:val="-14"/>
        </w:rPr>
        <w:t> </w:t>
      </w:r>
      <w:r>
        <w:rPr/>
        <w:t>very</w:t>
      </w:r>
      <w:r>
        <w:rPr>
          <w:spacing w:val="-14"/>
        </w:rPr>
        <w:t> </w:t>
      </w:r>
      <w:r>
        <w:rPr/>
        <w:t>positive</w:t>
      </w:r>
      <w:r>
        <w:rPr>
          <w:spacing w:val="-14"/>
        </w:rPr>
        <w:t> </w:t>
      </w:r>
      <w:r>
        <w:rPr/>
        <w:t>feelings about</w:t>
      </w:r>
      <w:r>
        <w:rPr>
          <w:spacing w:val="-20"/>
        </w:rPr>
        <w:t> </w:t>
      </w:r>
      <w:r>
        <w:rPr/>
        <w:t>the</w:t>
      </w:r>
      <w:r>
        <w:rPr>
          <w:spacing w:val="-20"/>
        </w:rPr>
        <w:t> </w:t>
      </w:r>
      <w:r>
        <w:rPr/>
        <w:t>University</w:t>
      </w:r>
      <w:r>
        <w:rPr>
          <w:spacing w:val="-20"/>
        </w:rPr>
        <w:t> </w:t>
      </w:r>
      <w:r>
        <w:rPr/>
        <w:t>today.</w:t>
      </w:r>
    </w:p>
    <w:p>
      <w:pPr>
        <w:pStyle w:val="BodyText"/>
        <w:rPr>
          <w:sz w:val="14"/>
        </w:rPr>
      </w:pPr>
    </w:p>
    <w:p>
      <w:pPr>
        <w:pStyle w:val="BodyText"/>
        <w:spacing w:line="249" w:lineRule="auto"/>
        <w:ind w:left="107"/>
      </w:pPr>
      <w:r>
        <w:rPr/>
        <w:t>Alumni social events were well attended, and included the Hawkesbury Agricultural College (HAC) Luncheon, the School of Law Alumni Annual Occasional Address and Dinner, and</w:t>
      </w:r>
    </w:p>
    <w:p>
      <w:pPr>
        <w:spacing w:after="0" w:line="249" w:lineRule="auto"/>
        <w:sectPr>
          <w:type w:val="continuous"/>
          <w:pgSz w:w="11910" w:h="16840"/>
          <w:pgMar w:top="1580" w:bottom="280" w:left="800" w:right="800"/>
          <w:cols w:num="3" w:equalWidth="0">
            <w:col w:w="3320" w:space="119"/>
            <w:col w:w="3297" w:space="142"/>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152"/>
      </w:pPr>
      <w:r>
        <w:rPr/>
        <w:t>the</w:t>
      </w:r>
      <w:r>
        <w:rPr>
          <w:spacing w:val="-16"/>
        </w:rPr>
        <w:t> </w:t>
      </w:r>
      <w:r>
        <w:rPr>
          <w:spacing w:val="2"/>
        </w:rPr>
        <w:t>‘20</w:t>
      </w:r>
      <w:r>
        <w:rPr>
          <w:spacing w:val="-16"/>
        </w:rPr>
        <w:t> </w:t>
      </w:r>
      <w:r>
        <w:rPr/>
        <w:t>Years</w:t>
      </w:r>
      <w:r>
        <w:rPr>
          <w:spacing w:val="-16"/>
        </w:rPr>
        <w:t> </w:t>
      </w:r>
      <w:r>
        <w:rPr/>
        <w:t>of</w:t>
      </w:r>
      <w:r>
        <w:rPr>
          <w:spacing w:val="-16"/>
        </w:rPr>
        <w:t> </w:t>
      </w:r>
      <w:r>
        <w:rPr/>
        <w:t>Planning</w:t>
      </w:r>
      <w:r>
        <w:rPr>
          <w:spacing w:val="-16"/>
        </w:rPr>
        <w:t> </w:t>
      </w:r>
      <w:r>
        <w:rPr/>
        <w:t>at</w:t>
      </w:r>
      <w:r>
        <w:rPr>
          <w:spacing w:val="-16"/>
        </w:rPr>
        <w:t> </w:t>
      </w:r>
      <w:r>
        <w:rPr/>
        <w:t>Western</w:t>
      </w:r>
      <w:r>
        <w:rPr>
          <w:spacing w:val="-16"/>
        </w:rPr>
        <w:t> </w:t>
      </w:r>
      <w:r>
        <w:rPr/>
        <w:t>Sydney University’</w:t>
      </w:r>
      <w:r>
        <w:rPr>
          <w:spacing w:val="-25"/>
        </w:rPr>
        <w:t> </w:t>
      </w:r>
      <w:r>
        <w:rPr/>
        <w:t>celebration.</w:t>
      </w:r>
    </w:p>
    <w:p>
      <w:pPr>
        <w:pStyle w:val="BodyText"/>
        <w:rPr>
          <w:sz w:val="14"/>
        </w:rPr>
      </w:pPr>
    </w:p>
    <w:p>
      <w:pPr>
        <w:pStyle w:val="BodyText"/>
        <w:spacing w:line="249" w:lineRule="auto"/>
        <w:ind w:left="107" w:right="197"/>
      </w:pPr>
      <w:r>
        <w:rPr>
          <w:spacing w:val="1"/>
          <w:w w:val="100"/>
        </w:rPr>
        <w:t>Around</w:t>
      </w:r>
      <w:r>
        <w:rPr>
          <w:w w:val="100"/>
        </w:rPr>
        <w:t> </w:t>
      </w:r>
      <w:r>
        <w:rPr>
          <w:w w:val="97"/>
        </w:rPr>
        <w:t>the </w:t>
      </w:r>
      <w:r>
        <w:rPr>
          <w:spacing w:val="1"/>
          <w:w w:val="94"/>
        </w:rPr>
        <w:t>globe,</w:t>
      </w:r>
      <w:r>
        <w:rPr>
          <w:w w:val="94"/>
        </w:rPr>
        <w:t> </w:t>
      </w:r>
      <w:r>
        <w:rPr>
          <w:spacing w:val="2"/>
          <w:w w:val="82"/>
        </w:rPr>
        <w:t>10</w:t>
      </w:r>
      <w:r>
        <w:rPr>
          <w:w w:val="82"/>
        </w:rPr>
        <w:t> </w:t>
      </w:r>
      <w:r>
        <w:rPr>
          <w:w w:val="96"/>
        </w:rPr>
        <w:t>international </w:t>
      </w:r>
      <w:r>
        <w:rPr>
          <w:spacing w:val="1"/>
          <w:w w:val="95"/>
        </w:rPr>
        <w:t>alumni</w:t>
      </w:r>
      <w:r>
        <w:rPr>
          <w:w w:val="95"/>
        </w:rPr>
        <w:t> </w:t>
      </w:r>
      <w:r>
        <w:rPr>
          <w:w w:val="97"/>
        </w:rPr>
        <w:t>events </w:t>
      </w:r>
      <w:r>
        <w:rPr>
          <w:w w:val="100"/>
        </w:rPr>
        <w:t>took </w:t>
      </w:r>
      <w:r>
        <w:rPr>
          <w:spacing w:val="1"/>
          <w:w w:val="98"/>
        </w:rPr>
        <w:t>place</w:t>
      </w:r>
      <w:r>
        <w:rPr>
          <w:w w:val="98"/>
        </w:rPr>
        <w:t> </w:t>
      </w:r>
      <w:r>
        <w:rPr>
          <w:w w:val="95"/>
        </w:rPr>
        <w:t>in </w:t>
      </w:r>
      <w:r>
        <w:rPr>
          <w:spacing w:val="2"/>
          <w:w w:val="85"/>
        </w:rPr>
        <w:t>2016,</w:t>
      </w:r>
      <w:r>
        <w:rPr>
          <w:w w:val="85"/>
        </w:rPr>
        <w:t> </w:t>
      </w:r>
      <w:r>
        <w:rPr>
          <w:w w:val="95"/>
        </w:rPr>
        <w:t>in </w:t>
      </w:r>
      <w:r>
        <w:rPr>
          <w:w w:val="96"/>
        </w:rPr>
        <w:t>six </w:t>
      </w:r>
      <w:r>
        <w:rPr>
          <w:w w:val="94"/>
        </w:rPr>
        <w:t>countries: </w:t>
      </w:r>
      <w:r>
        <w:rPr/>
        <w:t>the</w:t>
      </w:r>
      <w:r>
        <w:rPr>
          <w:spacing w:val="-25"/>
        </w:rPr>
        <w:t> </w:t>
      </w:r>
      <w:r>
        <w:rPr>
          <w:spacing w:val="2"/>
        </w:rPr>
        <w:t>US,</w:t>
      </w:r>
      <w:r>
        <w:rPr>
          <w:spacing w:val="-25"/>
        </w:rPr>
        <w:t> </w:t>
      </w:r>
      <w:r>
        <w:rPr/>
        <w:t>Nepal,</w:t>
      </w:r>
      <w:r>
        <w:rPr>
          <w:spacing w:val="-25"/>
        </w:rPr>
        <w:t> </w:t>
      </w:r>
      <w:r>
        <w:rPr/>
        <w:t>China,</w:t>
      </w:r>
      <w:r>
        <w:rPr>
          <w:spacing w:val="-25"/>
        </w:rPr>
        <w:t> </w:t>
      </w:r>
      <w:r>
        <w:rPr/>
        <w:t>Bangladesh,</w:t>
      </w:r>
      <w:r>
        <w:rPr>
          <w:spacing w:val="-25"/>
        </w:rPr>
        <w:t> </w:t>
      </w:r>
      <w:r>
        <w:rPr/>
        <w:t>India</w:t>
      </w:r>
      <w:r>
        <w:rPr>
          <w:spacing w:val="-25"/>
        </w:rPr>
        <w:t> </w:t>
      </w:r>
      <w:r>
        <w:rPr/>
        <w:t>and Malaysia.</w:t>
      </w:r>
    </w:p>
    <w:p>
      <w:pPr>
        <w:pStyle w:val="BodyText"/>
        <w:spacing w:before="6"/>
        <w:rPr>
          <w:sz w:val="14"/>
        </w:rPr>
      </w:pPr>
    </w:p>
    <w:p>
      <w:pPr>
        <w:pStyle w:val="Heading7"/>
      </w:pPr>
      <w:r>
        <w:rPr>
          <w:color w:val="615C58"/>
          <w:w w:val="95"/>
        </w:rPr>
        <w:t>Alumni Excellence and Achievement</w:t>
      </w:r>
    </w:p>
    <w:p>
      <w:pPr>
        <w:pStyle w:val="BodyText"/>
        <w:spacing w:line="249" w:lineRule="auto" w:before="86"/>
        <w:ind w:left="107" w:right="392"/>
      </w:pPr>
      <w:r>
        <w:rPr>
          <w:w w:val="90"/>
        </w:rPr>
        <w:t>2016 </w:t>
      </w:r>
      <w:r>
        <w:rPr>
          <w:w w:val="96"/>
        </w:rPr>
        <w:t>saw </w:t>
      </w:r>
      <w:r>
        <w:rPr>
          <w:w w:val="97"/>
        </w:rPr>
        <w:t>the </w:t>
      </w:r>
      <w:r>
        <w:rPr>
          <w:w w:val="97"/>
        </w:rPr>
        <w:t>University </w:t>
      </w:r>
      <w:r>
        <w:rPr>
          <w:w w:val="97"/>
        </w:rPr>
        <w:t>recognise </w:t>
      </w:r>
      <w:r>
        <w:rPr>
          <w:w w:val="97"/>
        </w:rPr>
        <w:t>some </w:t>
      </w:r>
      <w:r>
        <w:rPr/>
        <w:t>of its most inspiring alumni with the inaugural Alumni Awards in April. There</w:t>
      </w:r>
    </w:p>
    <w:p>
      <w:pPr>
        <w:pStyle w:val="BodyText"/>
        <w:spacing w:line="249" w:lineRule="auto"/>
        <w:ind w:left="107" w:right="274"/>
      </w:pPr>
      <w:r>
        <w:rPr/>
        <w:t>were</w:t>
      </w:r>
      <w:r>
        <w:rPr>
          <w:spacing w:val="-21"/>
        </w:rPr>
        <w:t> </w:t>
      </w:r>
      <w:r>
        <w:rPr/>
        <w:t>87</w:t>
      </w:r>
      <w:r>
        <w:rPr>
          <w:spacing w:val="-21"/>
        </w:rPr>
        <w:t> </w:t>
      </w:r>
      <w:r>
        <w:rPr/>
        <w:t>nominations,</w:t>
      </w:r>
      <w:r>
        <w:rPr>
          <w:spacing w:val="-21"/>
        </w:rPr>
        <w:t> </w:t>
      </w:r>
      <w:r>
        <w:rPr/>
        <w:t>23</w:t>
      </w:r>
      <w:r>
        <w:rPr>
          <w:spacing w:val="-21"/>
        </w:rPr>
        <w:t> </w:t>
      </w:r>
      <w:r>
        <w:rPr/>
        <w:t>finalists</w:t>
      </w:r>
      <w:r>
        <w:rPr>
          <w:spacing w:val="-21"/>
        </w:rPr>
        <w:t> </w:t>
      </w:r>
      <w:r>
        <w:rPr/>
        <w:t>and</w:t>
      </w:r>
      <w:r>
        <w:rPr>
          <w:spacing w:val="-21"/>
        </w:rPr>
        <w:t> </w:t>
      </w:r>
      <w:r>
        <w:rPr/>
        <w:t>eight winners. Dr Genevieve Nelson received the</w:t>
      </w:r>
      <w:r>
        <w:rPr>
          <w:spacing w:val="-15"/>
        </w:rPr>
        <w:t> </w:t>
      </w:r>
      <w:r>
        <w:rPr/>
        <w:t>Chancellor’s</w:t>
      </w:r>
      <w:r>
        <w:rPr>
          <w:spacing w:val="-15"/>
        </w:rPr>
        <w:t> </w:t>
      </w:r>
      <w:r>
        <w:rPr/>
        <w:t>Alumni</w:t>
      </w:r>
      <w:r>
        <w:rPr>
          <w:spacing w:val="-15"/>
        </w:rPr>
        <w:t> </w:t>
      </w:r>
      <w:r>
        <w:rPr/>
        <w:t>Leadership</w:t>
      </w:r>
    </w:p>
    <w:p>
      <w:pPr>
        <w:pStyle w:val="BodyText"/>
        <w:spacing w:line="249" w:lineRule="auto"/>
        <w:ind w:left="107" w:right="366"/>
      </w:pPr>
      <w:r>
        <w:rPr/>
        <w:t>Award for her work as founder and CEO of the Kokoda Track Foundation.</w:t>
      </w:r>
    </w:p>
    <w:p>
      <w:pPr>
        <w:pStyle w:val="BodyText"/>
        <w:rPr>
          <w:sz w:val="14"/>
        </w:rPr>
      </w:pPr>
    </w:p>
    <w:p>
      <w:pPr>
        <w:pStyle w:val="BodyText"/>
        <w:spacing w:line="249" w:lineRule="auto"/>
        <w:ind w:left="107"/>
      </w:pPr>
      <w:r>
        <w:rPr/>
        <w:t>Western Sydney University was also </w:t>
      </w:r>
      <w:r>
        <w:rPr>
          <w:w w:val="97"/>
        </w:rPr>
        <w:t>represented </w:t>
      </w:r>
      <w:r>
        <w:rPr>
          <w:w w:val="98"/>
        </w:rPr>
        <w:t>at </w:t>
      </w:r>
      <w:r>
        <w:rPr>
          <w:w w:val="97"/>
        </w:rPr>
        <w:t>the </w:t>
      </w:r>
      <w:r>
        <w:rPr>
          <w:spacing w:val="1"/>
          <w:w w:val="90"/>
        </w:rPr>
        <w:t>2016</w:t>
      </w:r>
      <w:r>
        <w:rPr>
          <w:w w:val="90"/>
        </w:rPr>
        <w:t> </w:t>
      </w:r>
      <w:r>
        <w:rPr>
          <w:spacing w:val="1"/>
          <w:w w:val="98"/>
        </w:rPr>
        <w:t>Australia</w:t>
      </w:r>
      <w:r>
        <w:rPr>
          <w:w w:val="98"/>
        </w:rPr>
        <w:t> </w:t>
      </w:r>
      <w:r>
        <w:rPr>
          <w:spacing w:val="1"/>
          <w:w w:val="96"/>
        </w:rPr>
        <w:t>China</w:t>
      </w:r>
      <w:r>
        <w:rPr>
          <w:w w:val="96"/>
        </w:rPr>
        <w:t> </w:t>
      </w:r>
      <w:r>
        <w:rPr/>
        <w:t>Alumni Awards. Graduate Haijun (Curt) Shi was</w:t>
      </w:r>
      <w:r>
        <w:rPr>
          <w:spacing w:val="-16"/>
        </w:rPr>
        <w:t> </w:t>
      </w:r>
      <w:r>
        <w:rPr/>
        <w:t>presented</w:t>
      </w:r>
      <w:r>
        <w:rPr>
          <w:spacing w:val="-16"/>
        </w:rPr>
        <w:t> </w:t>
      </w:r>
      <w:r>
        <w:rPr/>
        <w:t>with</w:t>
      </w:r>
      <w:r>
        <w:rPr>
          <w:spacing w:val="-16"/>
        </w:rPr>
        <w:t> </w:t>
      </w:r>
      <w:r>
        <w:rPr/>
        <w:t>the</w:t>
      </w:r>
      <w:r>
        <w:rPr>
          <w:spacing w:val="-16"/>
        </w:rPr>
        <w:t> </w:t>
      </w:r>
      <w:r>
        <w:rPr/>
        <w:t>Australia</w:t>
      </w:r>
      <w:r>
        <w:rPr>
          <w:spacing w:val="-16"/>
        </w:rPr>
        <w:t> </w:t>
      </w:r>
      <w:r>
        <w:rPr/>
        <w:t>China</w:t>
      </w:r>
      <w:r>
        <w:rPr>
          <w:spacing w:val="-16"/>
        </w:rPr>
        <w:t> </w:t>
      </w:r>
      <w:r>
        <w:rPr/>
        <w:t>Alumni Award for Banking and Finance, while PhD student</w:t>
      </w:r>
      <w:r>
        <w:rPr>
          <w:spacing w:val="-16"/>
        </w:rPr>
        <w:t> </w:t>
      </w:r>
      <w:r>
        <w:rPr/>
        <w:t>Peter</w:t>
      </w:r>
      <w:r>
        <w:rPr>
          <w:spacing w:val="-16"/>
        </w:rPr>
        <w:t> </w:t>
      </w:r>
      <w:r>
        <w:rPr/>
        <w:t>Davison</w:t>
      </w:r>
      <w:r>
        <w:rPr>
          <w:spacing w:val="-16"/>
        </w:rPr>
        <w:t> </w:t>
      </w:r>
      <w:r>
        <w:rPr/>
        <w:t>won</w:t>
      </w:r>
      <w:r>
        <w:rPr>
          <w:spacing w:val="-16"/>
        </w:rPr>
        <w:t> </w:t>
      </w:r>
      <w:r>
        <w:rPr/>
        <w:t>the</w:t>
      </w:r>
      <w:r>
        <w:rPr>
          <w:spacing w:val="-16"/>
        </w:rPr>
        <w:t> </w:t>
      </w:r>
      <w:r>
        <w:rPr/>
        <w:t>Australia</w:t>
      </w:r>
      <w:r>
        <w:rPr>
          <w:spacing w:val="-16"/>
        </w:rPr>
        <w:t> </w:t>
      </w:r>
      <w:r>
        <w:rPr/>
        <w:t>China Alumni</w:t>
      </w:r>
      <w:r>
        <w:rPr>
          <w:spacing w:val="-19"/>
        </w:rPr>
        <w:t> </w:t>
      </w:r>
      <w:r>
        <w:rPr/>
        <w:t>Award</w:t>
      </w:r>
      <w:r>
        <w:rPr>
          <w:spacing w:val="-19"/>
        </w:rPr>
        <w:t> </w:t>
      </w:r>
      <w:r>
        <w:rPr/>
        <w:t>for</w:t>
      </w:r>
      <w:r>
        <w:rPr>
          <w:spacing w:val="-19"/>
        </w:rPr>
        <w:t> </w:t>
      </w:r>
      <w:r>
        <w:rPr/>
        <w:t>Entrepreneurship.</w:t>
      </w:r>
    </w:p>
    <w:p>
      <w:pPr>
        <w:pStyle w:val="BodyText"/>
        <w:rPr>
          <w:sz w:val="14"/>
        </w:rPr>
      </w:pPr>
    </w:p>
    <w:p>
      <w:pPr>
        <w:pStyle w:val="BodyText"/>
        <w:spacing w:line="249" w:lineRule="auto"/>
        <w:ind w:left="107" w:right="25"/>
      </w:pPr>
      <w:r>
        <w:rPr/>
        <w:t>Other finalists from the University included CCTV reporter Joseph Catanzaro and Dr Jing Qi, in the Research and Innovation category.</w:t>
      </w:r>
    </w:p>
    <w:p>
      <w:pPr>
        <w:pStyle w:val="BodyText"/>
        <w:rPr>
          <w:sz w:val="14"/>
        </w:rPr>
      </w:pPr>
    </w:p>
    <w:p>
      <w:pPr>
        <w:pStyle w:val="BodyText"/>
        <w:spacing w:line="249" w:lineRule="auto"/>
        <w:ind w:left="107" w:right="313"/>
      </w:pPr>
      <w:r>
        <w:rPr/>
        <w:t>Prominent</w:t>
      </w:r>
      <w:r>
        <w:rPr>
          <w:spacing w:val="-17"/>
        </w:rPr>
        <w:t> </w:t>
      </w:r>
      <w:r>
        <w:rPr/>
        <w:t>Western</w:t>
      </w:r>
      <w:r>
        <w:rPr>
          <w:spacing w:val="-17"/>
        </w:rPr>
        <w:t> </w:t>
      </w:r>
      <w:r>
        <w:rPr/>
        <w:t>Sydney</w:t>
      </w:r>
      <w:r>
        <w:rPr>
          <w:spacing w:val="-17"/>
        </w:rPr>
        <w:t> </w:t>
      </w:r>
      <w:r>
        <w:rPr/>
        <w:t>University</w:t>
      </w:r>
      <w:r>
        <w:rPr>
          <w:spacing w:val="-17"/>
        </w:rPr>
        <w:t> </w:t>
      </w:r>
      <w:r>
        <w:rPr/>
        <w:t>law graduate, defence lawyer and refugee, Deng Adut, was named NSW Australian </w:t>
      </w:r>
      <w:r>
        <w:rPr>
          <w:w w:val="99"/>
        </w:rPr>
        <w:t>of </w:t>
      </w:r>
      <w:r>
        <w:rPr>
          <w:w w:val="97"/>
        </w:rPr>
        <w:t>the </w:t>
      </w:r>
      <w:r>
        <w:rPr>
          <w:spacing w:val="-2"/>
          <w:w w:val="97"/>
        </w:rPr>
        <w:t>Year</w:t>
      </w:r>
      <w:r>
        <w:rPr>
          <w:w w:val="97"/>
        </w:rPr>
        <w:t> </w:t>
      </w:r>
      <w:r>
        <w:rPr>
          <w:w w:val="98"/>
        </w:rPr>
        <w:t>for</w:t>
      </w:r>
      <w:r>
        <w:rPr>
          <w:spacing w:val="-28"/>
          <w:w w:val="98"/>
        </w:rPr>
        <w:t> </w:t>
      </w:r>
      <w:r>
        <w:rPr>
          <w:spacing w:val="-2"/>
          <w:w w:val="83"/>
        </w:rPr>
        <w:t>2017.</w:t>
      </w:r>
    </w:p>
    <w:p>
      <w:pPr>
        <w:pStyle w:val="BodyText"/>
      </w:pPr>
    </w:p>
    <w:p>
      <w:pPr>
        <w:pStyle w:val="BodyText"/>
        <w:spacing w:before="1"/>
        <w:rPr>
          <w:sz w:val="13"/>
        </w:rPr>
      </w:pPr>
    </w:p>
    <w:p>
      <w:pPr>
        <w:pStyle w:val="Heading5"/>
        <w:spacing w:line="260" w:lineRule="exact"/>
        <w:ind w:right="-2"/>
      </w:pPr>
      <w:bookmarkStart w:name="_TOC_250029" w:id="25"/>
      <w:r>
        <w:rPr/>
        <w:t>MARKETING AND </w:t>
      </w:r>
      <w:bookmarkEnd w:id="25"/>
      <w:r>
        <w:rPr>
          <w:w w:val="95"/>
        </w:rPr>
        <w:t>COMMUNICATIONS</w:t>
      </w:r>
    </w:p>
    <w:p>
      <w:pPr>
        <w:pStyle w:val="BodyText"/>
        <w:spacing w:line="249" w:lineRule="auto" w:before="101"/>
        <w:ind w:left="107" w:right="79"/>
      </w:pPr>
      <w:r>
        <w:rPr/>
        <w:t>The Office of Marketing and Communication (OMC) has two primary objectives:</w:t>
      </w:r>
    </w:p>
    <w:p>
      <w:pPr>
        <w:pStyle w:val="BodyText"/>
        <w:spacing w:line="247" w:lineRule="auto" w:before="55"/>
        <w:ind w:left="305" w:right="714" w:hanging="199"/>
      </w:pPr>
      <w:r>
        <w:rPr>
          <w:rFonts w:ascii="Century Gothic" w:hAnsi="Century Gothic"/>
          <w:b/>
          <w:w w:val="115"/>
        </w:rPr>
        <w:t>≥ </w:t>
      </w:r>
      <w:r>
        <w:rPr/>
        <w:t>building and protecting the image, positioning and branding of the University; and</w:t>
      </w:r>
    </w:p>
    <w:p>
      <w:pPr>
        <w:pStyle w:val="BodyText"/>
        <w:spacing w:before="57"/>
        <w:ind w:left="107" w:right="-2"/>
      </w:pPr>
      <w:r>
        <w:rPr>
          <w:rFonts w:ascii="Century Gothic" w:hAnsi="Century Gothic"/>
          <w:b/>
          <w:w w:val="115"/>
        </w:rPr>
        <w:t>≥ </w:t>
      </w:r>
      <w:r>
        <w:rPr>
          <w:w w:val="105"/>
        </w:rPr>
        <w:t>driving all student recruitment activities.</w:t>
      </w:r>
    </w:p>
    <w:p>
      <w:pPr>
        <w:pStyle w:val="BodyText"/>
        <w:spacing w:before="5"/>
        <w:rPr>
          <w:sz w:val="14"/>
        </w:rPr>
      </w:pPr>
    </w:p>
    <w:p>
      <w:pPr>
        <w:pStyle w:val="BodyText"/>
        <w:spacing w:line="249" w:lineRule="auto"/>
        <w:ind w:left="107" w:right="85"/>
      </w:pPr>
      <w:r>
        <w:rPr/>
        <w:t>To ensure the delivery of these objectives, all communication, campaigns and branding</w:t>
      </w:r>
    </w:p>
    <w:p>
      <w:pPr>
        <w:pStyle w:val="BodyText"/>
        <w:spacing w:line="249" w:lineRule="auto"/>
        <w:ind w:left="107" w:right="-2"/>
      </w:pPr>
      <w:r>
        <w:rPr/>
        <w:t>activities</w:t>
      </w:r>
      <w:r>
        <w:rPr>
          <w:spacing w:val="-14"/>
        </w:rPr>
        <w:t> </w:t>
      </w:r>
      <w:r>
        <w:rPr/>
        <w:t>across</w:t>
      </w:r>
      <w:r>
        <w:rPr>
          <w:spacing w:val="-14"/>
        </w:rPr>
        <w:t> </w:t>
      </w:r>
      <w:r>
        <w:rPr/>
        <w:t>all</w:t>
      </w:r>
      <w:r>
        <w:rPr>
          <w:spacing w:val="-14"/>
        </w:rPr>
        <w:t> </w:t>
      </w:r>
      <w:r>
        <w:rPr/>
        <w:t>media</w:t>
      </w:r>
      <w:r>
        <w:rPr>
          <w:spacing w:val="-14"/>
        </w:rPr>
        <w:t> </w:t>
      </w:r>
      <w:r>
        <w:rPr/>
        <w:t>(paid</w:t>
      </w:r>
      <w:r>
        <w:rPr>
          <w:spacing w:val="-14"/>
        </w:rPr>
        <w:t> </w:t>
      </w:r>
      <w:r>
        <w:rPr/>
        <w:t>and</w:t>
      </w:r>
      <w:r>
        <w:rPr>
          <w:spacing w:val="-14"/>
        </w:rPr>
        <w:t> </w:t>
      </w:r>
      <w:r>
        <w:rPr/>
        <w:t>non-paid) were</w:t>
      </w:r>
      <w:r>
        <w:rPr>
          <w:spacing w:val="-22"/>
        </w:rPr>
        <w:t> </w:t>
      </w:r>
      <w:r>
        <w:rPr/>
        <w:t>consistently</w:t>
      </w:r>
      <w:r>
        <w:rPr>
          <w:spacing w:val="-22"/>
        </w:rPr>
        <w:t> </w:t>
      </w:r>
      <w:r>
        <w:rPr/>
        <w:t>leveraged</w:t>
      </w:r>
      <w:r>
        <w:rPr>
          <w:spacing w:val="-22"/>
        </w:rPr>
        <w:t> </w:t>
      </w:r>
      <w:r>
        <w:rPr/>
        <w:t>and</w:t>
      </w:r>
      <w:r>
        <w:rPr>
          <w:spacing w:val="-22"/>
        </w:rPr>
        <w:t> </w:t>
      </w:r>
      <w:r>
        <w:rPr/>
        <w:t>integrated.</w:t>
      </w:r>
    </w:p>
    <w:p>
      <w:pPr>
        <w:pStyle w:val="BodyText"/>
        <w:spacing w:before="1"/>
        <w:rPr>
          <w:sz w:val="20"/>
        </w:rPr>
      </w:pPr>
      <w:r>
        <w:rPr/>
        <w:br w:type="column"/>
      </w:r>
      <w:r>
        <w:rPr>
          <w:sz w:val="20"/>
        </w:rPr>
      </w:r>
    </w:p>
    <w:p>
      <w:pPr>
        <w:pStyle w:val="BodyText"/>
        <w:spacing w:line="249" w:lineRule="auto"/>
        <w:ind w:left="107" w:right="209"/>
      </w:pPr>
      <w:r>
        <w:rPr/>
        <w:t>The functions within OMC are Internal Communications, Web </w:t>
      </w:r>
      <w:r>
        <w:rPr>
          <w:spacing w:val="2"/>
        </w:rPr>
        <w:t>Services, </w:t>
      </w:r>
      <w:r>
        <w:rPr/>
        <w:t>iMedia (Design), Media and Public Relations, Social</w:t>
      </w:r>
      <w:r>
        <w:rPr>
          <w:spacing w:val="-21"/>
        </w:rPr>
        <w:t> </w:t>
      </w:r>
      <w:r>
        <w:rPr/>
        <w:t>Media,</w:t>
      </w:r>
      <w:r>
        <w:rPr>
          <w:spacing w:val="-21"/>
        </w:rPr>
        <w:t> </w:t>
      </w:r>
      <w:r>
        <w:rPr/>
        <w:t>Print</w:t>
      </w:r>
      <w:r>
        <w:rPr>
          <w:spacing w:val="-21"/>
        </w:rPr>
        <w:t> </w:t>
      </w:r>
      <w:r>
        <w:rPr>
          <w:spacing w:val="2"/>
        </w:rPr>
        <w:t>Services,</w:t>
      </w:r>
      <w:r>
        <w:rPr>
          <w:spacing w:val="-21"/>
        </w:rPr>
        <w:t> </w:t>
      </w:r>
      <w:r>
        <w:rPr/>
        <w:t>Events,</w:t>
      </w:r>
      <w:r>
        <w:rPr>
          <w:spacing w:val="-21"/>
        </w:rPr>
        <w:t> </w:t>
      </w:r>
      <w:r>
        <w:rPr/>
        <w:t>School Marketing,</w:t>
      </w:r>
      <w:r>
        <w:rPr>
          <w:spacing w:val="-18"/>
        </w:rPr>
        <w:t> </w:t>
      </w:r>
      <w:r>
        <w:rPr/>
        <w:t>College</w:t>
      </w:r>
      <w:r>
        <w:rPr>
          <w:spacing w:val="-18"/>
        </w:rPr>
        <w:t> </w:t>
      </w:r>
      <w:r>
        <w:rPr/>
        <w:t>Marketing,</w:t>
      </w:r>
      <w:r>
        <w:rPr>
          <w:spacing w:val="-18"/>
        </w:rPr>
        <w:t> </w:t>
      </w:r>
      <w:r>
        <w:rPr/>
        <w:t>High</w:t>
      </w:r>
      <w:r>
        <w:rPr>
          <w:spacing w:val="-18"/>
        </w:rPr>
        <w:t> </w:t>
      </w:r>
      <w:r>
        <w:rPr/>
        <w:t>School Outreach</w:t>
      </w:r>
      <w:r>
        <w:rPr>
          <w:spacing w:val="-25"/>
        </w:rPr>
        <w:t> </w:t>
      </w:r>
      <w:r>
        <w:rPr/>
        <w:t>and</w:t>
      </w:r>
      <w:r>
        <w:rPr>
          <w:spacing w:val="-25"/>
        </w:rPr>
        <w:t> </w:t>
      </w:r>
      <w:r>
        <w:rPr/>
        <w:t>Scholarships.</w:t>
      </w:r>
    </w:p>
    <w:p>
      <w:pPr>
        <w:pStyle w:val="BodyText"/>
        <w:spacing w:before="3"/>
        <w:rPr>
          <w:sz w:val="19"/>
        </w:rPr>
      </w:pPr>
    </w:p>
    <w:p>
      <w:pPr>
        <w:pStyle w:val="Heading7"/>
        <w:ind w:right="561"/>
      </w:pPr>
      <w:r>
        <w:rPr/>
        <w:t>CAMPAIGNS</w:t>
      </w:r>
    </w:p>
    <w:p>
      <w:pPr>
        <w:pStyle w:val="BodyText"/>
        <w:spacing w:line="249" w:lineRule="auto" w:before="58"/>
        <w:ind w:left="107" w:right="55"/>
      </w:pPr>
      <w:r>
        <w:rPr>
          <w:spacing w:val="1"/>
          <w:w w:val="94"/>
        </w:rPr>
        <w:t>The</w:t>
      </w:r>
      <w:r>
        <w:rPr>
          <w:w w:val="94"/>
        </w:rPr>
        <w:t> </w:t>
      </w:r>
      <w:r>
        <w:rPr>
          <w:spacing w:val="1"/>
          <w:w w:val="90"/>
        </w:rPr>
        <w:t>2016</w:t>
      </w:r>
      <w:r>
        <w:rPr>
          <w:w w:val="90"/>
        </w:rPr>
        <w:t> </w:t>
      </w:r>
      <w:r>
        <w:rPr>
          <w:spacing w:val="1"/>
          <w:w w:val="97"/>
        </w:rPr>
        <w:t>campaigns</w:t>
      </w:r>
      <w:r>
        <w:rPr>
          <w:w w:val="97"/>
        </w:rPr>
        <w:t> </w:t>
      </w:r>
      <w:r>
        <w:rPr>
          <w:w w:val="98"/>
        </w:rPr>
        <w:t>strategy </w:t>
      </w:r>
      <w:r>
        <w:rPr>
          <w:spacing w:val="1"/>
          <w:w w:val="98"/>
        </w:rPr>
        <w:t>operated</w:t>
      </w:r>
      <w:r>
        <w:rPr>
          <w:w w:val="98"/>
        </w:rPr>
        <w:t> </w:t>
      </w:r>
      <w:r>
        <w:rPr>
          <w:spacing w:val="1"/>
          <w:w w:val="98"/>
        </w:rPr>
        <w:t>on</w:t>
      </w:r>
      <w:r>
        <w:rPr>
          <w:w w:val="98"/>
        </w:rPr>
        <w:t> </w:t>
      </w:r>
      <w:r>
        <w:rPr/>
        <w:t>three</w:t>
      </w:r>
      <w:r>
        <w:rPr>
          <w:spacing w:val="-20"/>
        </w:rPr>
        <w:t> </w:t>
      </w:r>
      <w:r>
        <w:rPr/>
        <w:t>levels</w:t>
      </w:r>
      <w:r>
        <w:rPr>
          <w:spacing w:val="-20"/>
        </w:rPr>
        <w:t> </w:t>
      </w:r>
      <w:r>
        <w:rPr/>
        <w:t>–</w:t>
      </w:r>
      <w:r>
        <w:rPr>
          <w:spacing w:val="-20"/>
        </w:rPr>
        <w:t> </w:t>
      </w:r>
      <w:r>
        <w:rPr/>
        <w:t>brand,</w:t>
      </w:r>
      <w:r>
        <w:rPr>
          <w:spacing w:val="-20"/>
        </w:rPr>
        <w:t> </w:t>
      </w:r>
      <w:r>
        <w:rPr/>
        <w:t>course</w:t>
      </w:r>
      <w:r>
        <w:rPr>
          <w:spacing w:val="-20"/>
        </w:rPr>
        <w:t> </w:t>
      </w:r>
      <w:r>
        <w:rPr/>
        <w:t>marketing</w:t>
      </w:r>
      <w:r>
        <w:rPr>
          <w:spacing w:val="-20"/>
        </w:rPr>
        <w:t> </w:t>
      </w:r>
      <w:r>
        <w:rPr/>
        <w:t>and student</w:t>
      </w:r>
      <w:r>
        <w:rPr>
          <w:spacing w:val="-17"/>
        </w:rPr>
        <w:t> </w:t>
      </w:r>
      <w:r>
        <w:rPr/>
        <w:t>recruitment</w:t>
      </w:r>
      <w:r>
        <w:rPr>
          <w:spacing w:val="-17"/>
        </w:rPr>
        <w:t> </w:t>
      </w:r>
      <w:r>
        <w:rPr/>
        <w:t>and</w:t>
      </w:r>
      <w:r>
        <w:rPr>
          <w:spacing w:val="-17"/>
        </w:rPr>
        <w:t> </w:t>
      </w:r>
      <w:r>
        <w:rPr/>
        <w:t>was</w:t>
      </w:r>
      <w:r>
        <w:rPr>
          <w:spacing w:val="-17"/>
        </w:rPr>
        <w:t> </w:t>
      </w:r>
      <w:r>
        <w:rPr/>
        <w:t>implemented across a calendar aligned to the key recruitment</w:t>
      </w:r>
      <w:r>
        <w:rPr>
          <w:spacing w:val="-25"/>
        </w:rPr>
        <w:t> </w:t>
      </w:r>
      <w:r>
        <w:rPr/>
        <w:t>dates</w:t>
      </w:r>
      <w:r>
        <w:rPr>
          <w:spacing w:val="-25"/>
        </w:rPr>
        <w:t> </w:t>
      </w:r>
      <w:r>
        <w:rPr/>
        <w:t>for</w:t>
      </w:r>
      <w:r>
        <w:rPr>
          <w:spacing w:val="-25"/>
        </w:rPr>
        <w:t> </w:t>
      </w:r>
      <w:r>
        <w:rPr/>
        <w:t>recruitment.</w:t>
      </w:r>
    </w:p>
    <w:p>
      <w:pPr>
        <w:pStyle w:val="BodyText"/>
        <w:rPr>
          <w:sz w:val="14"/>
        </w:rPr>
      </w:pPr>
    </w:p>
    <w:p>
      <w:pPr>
        <w:pStyle w:val="BodyText"/>
        <w:spacing w:line="249" w:lineRule="auto"/>
        <w:ind w:left="107" w:right="37"/>
        <w:jc w:val="both"/>
      </w:pPr>
      <w:r>
        <w:rPr/>
        <w:t>The</w:t>
      </w:r>
      <w:r>
        <w:rPr>
          <w:spacing w:val="-16"/>
        </w:rPr>
        <w:t> </w:t>
      </w:r>
      <w:r>
        <w:rPr/>
        <w:t>Brand</w:t>
      </w:r>
      <w:r>
        <w:rPr>
          <w:spacing w:val="-16"/>
        </w:rPr>
        <w:t> </w:t>
      </w:r>
      <w:r>
        <w:rPr/>
        <w:t>strategy</w:t>
      </w:r>
      <w:r>
        <w:rPr>
          <w:spacing w:val="-16"/>
        </w:rPr>
        <w:t> </w:t>
      </w:r>
      <w:r>
        <w:rPr/>
        <w:t>utilised</w:t>
      </w:r>
      <w:r>
        <w:rPr>
          <w:spacing w:val="-16"/>
        </w:rPr>
        <w:t> </w:t>
      </w:r>
      <w:r>
        <w:rPr/>
        <w:t>the</w:t>
      </w:r>
      <w:r>
        <w:rPr>
          <w:spacing w:val="-16"/>
        </w:rPr>
        <w:t> </w:t>
      </w:r>
      <w:r>
        <w:rPr/>
        <w:t>award-wining content</w:t>
      </w:r>
      <w:r>
        <w:rPr>
          <w:spacing w:val="-14"/>
        </w:rPr>
        <w:t> </w:t>
      </w:r>
      <w:r>
        <w:rPr/>
        <w:t>(Alumni</w:t>
      </w:r>
      <w:r>
        <w:rPr>
          <w:spacing w:val="-14"/>
        </w:rPr>
        <w:t> </w:t>
      </w:r>
      <w:r>
        <w:rPr/>
        <w:t>Story</w:t>
      </w:r>
      <w:r>
        <w:rPr>
          <w:spacing w:val="-14"/>
        </w:rPr>
        <w:t> </w:t>
      </w:r>
      <w:r>
        <w:rPr/>
        <w:t>Advertisements)</w:t>
      </w:r>
      <w:r>
        <w:rPr>
          <w:spacing w:val="-14"/>
        </w:rPr>
        <w:t> </w:t>
      </w:r>
      <w:r>
        <w:rPr/>
        <w:t>of</w:t>
      </w:r>
      <w:r>
        <w:rPr>
          <w:spacing w:val="-14"/>
        </w:rPr>
        <w:t> </w:t>
      </w:r>
      <w:r>
        <w:rPr/>
        <w:t>the Rebranding</w:t>
      </w:r>
      <w:r>
        <w:rPr>
          <w:spacing w:val="-18"/>
        </w:rPr>
        <w:t> </w:t>
      </w:r>
      <w:r>
        <w:rPr/>
        <w:t>in</w:t>
      </w:r>
      <w:r>
        <w:rPr>
          <w:spacing w:val="-18"/>
        </w:rPr>
        <w:t> </w:t>
      </w:r>
      <w:r>
        <w:rPr/>
        <w:t>key</w:t>
      </w:r>
      <w:r>
        <w:rPr>
          <w:spacing w:val="-18"/>
        </w:rPr>
        <w:t> </w:t>
      </w:r>
      <w:r>
        <w:rPr/>
        <w:t>periods</w:t>
      </w:r>
      <w:r>
        <w:rPr>
          <w:spacing w:val="-18"/>
        </w:rPr>
        <w:t> </w:t>
      </w:r>
      <w:r>
        <w:rPr/>
        <w:t>of</w:t>
      </w:r>
      <w:r>
        <w:rPr>
          <w:spacing w:val="-18"/>
        </w:rPr>
        <w:t> </w:t>
      </w:r>
      <w:r>
        <w:rPr/>
        <w:t>recruitment.</w:t>
      </w:r>
    </w:p>
    <w:p>
      <w:pPr>
        <w:pStyle w:val="BodyText"/>
        <w:rPr>
          <w:sz w:val="14"/>
        </w:rPr>
      </w:pPr>
    </w:p>
    <w:p>
      <w:pPr>
        <w:pStyle w:val="BodyText"/>
        <w:spacing w:line="249" w:lineRule="auto"/>
        <w:ind w:left="107" w:right="-7"/>
      </w:pPr>
      <w:r>
        <w:rPr/>
        <w:t>The School strategy was based on comprehensive marketing plans written for each School in consultation with the </w:t>
      </w:r>
      <w:r>
        <w:rPr>
          <w:spacing w:val="2"/>
        </w:rPr>
        <w:t>Deans. </w:t>
      </w:r>
      <w:r>
        <w:rPr/>
        <w:t>The</w:t>
      </w:r>
      <w:r>
        <w:rPr>
          <w:spacing w:val="-17"/>
        </w:rPr>
        <w:t> </w:t>
      </w:r>
      <w:r>
        <w:rPr/>
        <w:t>plans</w:t>
      </w:r>
      <w:r>
        <w:rPr>
          <w:spacing w:val="-17"/>
        </w:rPr>
        <w:t> </w:t>
      </w:r>
      <w:r>
        <w:rPr/>
        <w:t>outlined</w:t>
      </w:r>
      <w:r>
        <w:rPr>
          <w:spacing w:val="-17"/>
        </w:rPr>
        <w:t> </w:t>
      </w:r>
      <w:r>
        <w:rPr/>
        <w:t>the</w:t>
      </w:r>
      <w:r>
        <w:rPr>
          <w:spacing w:val="-17"/>
        </w:rPr>
        <w:t> </w:t>
      </w:r>
      <w:r>
        <w:rPr/>
        <w:t>vision</w:t>
      </w:r>
      <w:r>
        <w:rPr>
          <w:spacing w:val="-17"/>
        </w:rPr>
        <w:t> </w:t>
      </w:r>
      <w:r>
        <w:rPr/>
        <w:t>for</w:t>
      </w:r>
      <w:r>
        <w:rPr>
          <w:spacing w:val="-17"/>
        </w:rPr>
        <w:t> </w:t>
      </w:r>
      <w:r>
        <w:rPr/>
        <w:t>the</w:t>
      </w:r>
      <w:r>
        <w:rPr>
          <w:spacing w:val="-17"/>
        </w:rPr>
        <w:t> </w:t>
      </w:r>
      <w:r>
        <w:rPr/>
        <w:t>School,</w:t>
      </w:r>
      <w:r>
        <w:rPr>
          <w:spacing w:val="-17"/>
        </w:rPr>
        <w:t> </w:t>
      </w:r>
      <w:r>
        <w:rPr/>
        <w:t>a perspective</w:t>
      </w:r>
      <w:r>
        <w:rPr>
          <w:spacing w:val="-15"/>
        </w:rPr>
        <w:t> </w:t>
      </w:r>
      <w:r>
        <w:rPr/>
        <w:t>of</w:t>
      </w:r>
      <w:r>
        <w:rPr>
          <w:spacing w:val="-15"/>
        </w:rPr>
        <w:t> </w:t>
      </w:r>
      <w:r>
        <w:rPr/>
        <w:t>the</w:t>
      </w:r>
      <w:r>
        <w:rPr>
          <w:spacing w:val="-15"/>
        </w:rPr>
        <w:t> </w:t>
      </w:r>
      <w:r>
        <w:rPr/>
        <w:t>competitive</w:t>
      </w:r>
      <w:r>
        <w:rPr>
          <w:spacing w:val="-15"/>
        </w:rPr>
        <w:t> </w:t>
      </w:r>
      <w:r>
        <w:rPr/>
        <w:t>market</w:t>
      </w:r>
      <w:r>
        <w:rPr>
          <w:spacing w:val="-15"/>
        </w:rPr>
        <w:t> </w:t>
      </w:r>
      <w:r>
        <w:rPr/>
        <w:t>and</w:t>
      </w:r>
      <w:r>
        <w:rPr>
          <w:spacing w:val="-15"/>
        </w:rPr>
        <w:t> </w:t>
      </w:r>
      <w:r>
        <w:rPr/>
        <w:t>the key</w:t>
      </w:r>
      <w:r>
        <w:rPr>
          <w:spacing w:val="-21"/>
        </w:rPr>
        <w:t> </w:t>
      </w:r>
      <w:r>
        <w:rPr/>
        <w:t>differentiators</w:t>
      </w:r>
      <w:r>
        <w:rPr>
          <w:spacing w:val="-21"/>
        </w:rPr>
        <w:t> </w:t>
      </w:r>
      <w:r>
        <w:rPr/>
        <w:t>for</w:t>
      </w:r>
      <w:r>
        <w:rPr>
          <w:spacing w:val="-21"/>
        </w:rPr>
        <w:t> </w:t>
      </w:r>
      <w:r>
        <w:rPr/>
        <w:t>the</w:t>
      </w:r>
      <w:r>
        <w:rPr>
          <w:spacing w:val="-21"/>
        </w:rPr>
        <w:t> </w:t>
      </w:r>
      <w:r>
        <w:rPr/>
        <w:t>courses</w:t>
      </w:r>
      <w:r>
        <w:rPr>
          <w:spacing w:val="-21"/>
        </w:rPr>
        <w:t> </w:t>
      </w:r>
      <w:r>
        <w:rPr/>
        <w:t>offered.</w:t>
      </w:r>
    </w:p>
    <w:p>
      <w:pPr>
        <w:pStyle w:val="BodyText"/>
        <w:rPr>
          <w:sz w:val="14"/>
        </w:rPr>
      </w:pPr>
    </w:p>
    <w:p>
      <w:pPr>
        <w:pStyle w:val="BodyText"/>
        <w:spacing w:line="249" w:lineRule="auto"/>
        <w:ind w:left="107" w:right="-7"/>
      </w:pPr>
      <w:r>
        <w:rPr/>
        <w:t>A</w:t>
      </w:r>
      <w:r>
        <w:rPr>
          <w:spacing w:val="-14"/>
        </w:rPr>
        <w:t> </w:t>
      </w:r>
      <w:r>
        <w:rPr/>
        <w:t>media</w:t>
      </w:r>
      <w:r>
        <w:rPr>
          <w:spacing w:val="-14"/>
        </w:rPr>
        <w:t> </w:t>
      </w:r>
      <w:r>
        <w:rPr/>
        <w:t>plan</w:t>
      </w:r>
      <w:r>
        <w:rPr>
          <w:spacing w:val="-14"/>
        </w:rPr>
        <w:t> </w:t>
      </w:r>
      <w:r>
        <w:rPr/>
        <w:t>was</w:t>
      </w:r>
      <w:r>
        <w:rPr>
          <w:spacing w:val="-14"/>
        </w:rPr>
        <w:t> </w:t>
      </w:r>
      <w:r>
        <w:rPr/>
        <w:t>built</w:t>
      </w:r>
      <w:r>
        <w:rPr>
          <w:spacing w:val="-14"/>
        </w:rPr>
        <w:t> </w:t>
      </w:r>
      <w:r>
        <w:rPr/>
        <w:t>for</w:t>
      </w:r>
      <w:r>
        <w:rPr>
          <w:spacing w:val="-14"/>
        </w:rPr>
        <w:t> </w:t>
      </w:r>
      <w:r>
        <w:rPr/>
        <w:t>each</w:t>
      </w:r>
      <w:r>
        <w:rPr>
          <w:spacing w:val="-14"/>
        </w:rPr>
        <w:t> </w:t>
      </w:r>
      <w:r>
        <w:rPr/>
        <w:t>School,</w:t>
      </w:r>
      <w:r>
        <w:rPr>
          <w:spacing w:val="-14"/>
        </w:rPr>
        <w:t> </w:t>
      </w:r>
      <w:r>
        <w:rPr/>
        <w:t>which enabled an ‘always-on’ strategy for digital media.</w:t>
      </w:r>
      <w:r>
        <w:rPr>
          <w:spacing w:val="-14"/>
        </w:rPr>
        <w:t> </w:t>
      </w:r>
      <w:r>
        <w:rPr/>
        <w:t>Key</w:t>
      </w:r>
      <w:r>
        <w:rPr>
          <w:spacing w:val="-14"/>
        </w:rPr>
        <w:t> </w:t>
      </w:r>
      <w:r>
        <w:rPr/>
        <w:t>digital</w:t>
      </w:r>
      <w:r>
        <w:rPr>
          <w:spacing w:val="-14"/>
        </w:rPr>
        <w:t> </w:t>
      </w:r>
      <w:r>
        <w:rPr/>
        <w:t>marketing</w:t>
      </w:r>
      <w:r>
        <w:rPr>
          <w:spacing w:val="-14"/>
        </w:rPr>
        <w:t> </w:t>
      </w:r>
      <w:r>
        <w:rPr/>
        <w:t>activity</w:t>
      </w:r>
      <w:r>
        <w:rPr>
          <w:spacing w:val="-14"/>
        </w:rPr>
        <w:t> </w:t>
      </w:r>
      <w:r>
        <w:rPr/>
        <w:t>occurred in May (prior to the mid-year intake), July (prior to the August Open Day recruitment activity) and over the December-January break</w:t>
      </w:r>
      <w:r>
        <w:rPr>
          <w:spacing w:val="-19"/>
        </w:rPr>
        <w:t> </w:t>
      </w:r>
      <w:r>
        <w:rPr/>
        <w:t>to</w:t>
      </w:r>
      <w:r>
        <w:rPr>
          <w:spacing w:val="-19"/>
        </w:rPr>
        <w:t> </w:t>
      </w:r>
      <w:r>
        <w:rPr/>
        <w:t>support</w:t>
      </w:r>
      <w:r>
        <w:rPr>
          <w:spacing w:val="-19"/>
        </w:rPr>
        <w:t> </w:t>
      </w:r>
      <w:r>
        <w:rPr/>
        <w:t>enrolment</w:t>
      </w:r>
      <w:r>
        <w:rPr>
          <w:spacing w:val="-19"/>
        </w:rPr>
        <w:t> </w:t>
      </w:r>
      <w:r>
        <w:rPr/>
        <w:t>conversion.</w:t>
      </w:r>
    </w:p>
    <w:p>
      <w:pPr>
        <w:pStyle w:val="BodyText"/>
        <w:rPr>
          <w:sz w:val="14"/>
        </w:rPr>
      </w:pPr>
    </w:p>
    <w:p>
      <w:pPr>
        <w:pStyle w:val="BodyText"/>
        <w:spacing w:line="249" w:lineRule="auto"/>
        <w:ind w:left="107" w:right="55"/>
      </w:pPr>
      <w:r>
        <w:rPr/>
        <w:t>On the same day as the launch of the new Digital Marketing Platform an advertising campaign </w:t>
      </w:r>
      <w:r>
        <w:rPr>
          <w:spacing w:val="2"/>
        </w:rPr>
        <w:t>began, </w:t>
      </w:r>
      <w:r>
        <w:rPr/>
        <w:t>utilizing radio, outdoor (buses)</w:t>
      </w:r>
      <w:r>
        <w:rPr>
          <w:spacing w:val="-23"/>
        </w:rPr>
        <w:t> </w:t>
      </w:r>
      <w:r>
        <w:rPr/>
        <w:t>and</w:t>
      </w:r>
      <w:r>
        <w:rPr>
          <w:spacing w:val="-23"/>
        </w:rPr>
        <w:t> </w:t>
      </w:r>
      <w:r>
        <w:rPr/>
        <w:t>digital</w:t>
      </w:r>
      <w:r>
        <w:rPr>
          <w:spacing w:val="-23"/>
        </w:rPr>
        <w:t> </w:t>
      </w:r>
      <w:r>
        <w:rPr/>
        <w:t>(search</w:t>
      </w:r>
      <w:r>
        <w:rPr>
          <w:spacing w:val="-23"/>
        </w:rPr>
        <w:t> </w:t>
      </w:r>
      <w:r>
        <w:rPr/>
        <w:t>and</w:t>
      </w:r>
      <w:r>
        <w:rPr>
          <w:spacing w:val="-23"/>
        </w:rPr>
        <w:t> </w:t>
      </w:r>
      <w:r>
        <w:rPr/>
        <w:t>social</w:t>
      </w:r>
      <w:r>
        <w:rPr>
          <w:spacing w:val="-23"/>
        </w:rPr>
        <w:t> </w:t>
      </w:r>
      <w:r>
        <w:rPr/>
        <w:t>media).</w:t>
      </w:r>
    </w:p>
    <w:p>
      <w:pPr>
        <w:pStyle w:val="BodyText"/>
        <w:spacing w:line="249" w:lineRule="auto"/>
        <w:ind w:left="107" w:right="140"/>
      </w:pPr>
      <w:r>
        <w:rPr/>
        <w:t>All previous enquirers to the University were emailed and notified of the upcoming event and were encouraged to register.</w:t>
      </w:r>
    </w:p>
    <w:p>
      <w:pPr>
        <w:pStyle w:val="BodyText"/>
        <w:spacing w:line="249" w:lineRule="auto"/>
        <w:ind w:left="107" w:right="280"/>
      </w:pPr>
      <w:r>
        <w:rPr/>
        <w:t>A</w:t>
      </w:r>
      <w:r>
        <w:rPr>
          <w:spacing w:val="-13"/>
        </w:rPr>
        <w:t> </w:t>
      </w:r>
      <w:r>
        <w:rPr/>
        <w:t>direct</w:t>
      </w:r>
      <w:r>
        <w:rPr>
          <w:spacing w:val="-13"/>
        </w:rPr>
        <w:t> </w:t>
      </w:r>
      <w:r>
        <w:rPr/>
        <w:t>mail</w:t>
      </w:r>
      <w:r>
        <w:rPr>
          <w:spacing w:val="-13"/>
        </w:rPr>
        <w:t> </w:t>
      </w:r>
      <w:r>
        <w:rPr/>
        <w:t>invitation</w:t>
      </w:r>
      <w:r>
        <w:rPr>
          <w:spacing w:val="-13"/>
        </w:rPr>
        <w:t> </w:t>
      </w:r>
      <w:r>
        <w:rPr/>
        <w:t>was</w:t>
      </w:r>
      <w:r>
        <w:rPr>
          <w:spacing w:val="-13"/>
        </w:rPr>
        <w:t> </w:t>
      </w:r>
      <w:r>
        <w:rPr/>
        <w:t>sent</w:t>
      </w:r>
      <w:r>
        <w:rPr>
          <w:spacing w:val="-13"/>
        </w:rPr>
        <w:t> </w:t>
      </w:r>
      <w:r>
        <w:rPr/>
        <w:t>to</w:t>
      </w:r>
      <w:r>
        <w:rPr>
          <w:spacing w:val="-13"/>
        </w:rPr>
        <w:t> </w:t>
      </w:r>
      <w:r>
        <w:rPr/>
        <w:t>every school</w:t>
      </w:r>
      <w:r>
        <w:rPr>
          <w:spacing w:val="-20"/>
        </w:rPr>
        <w:t> </w:t>
      </w:r>
      <w:r>
        <w:rPr/>
        <w:t>leaver</w:t>
      </w:r>
      <w:r>
        <w:rPr>
          <w:spacing w:val="-20"/>
        </w:rPr>
        <w:t> </w:t>
      </w:r>
      <w:r>
        <w:rPr/>
        <w:t>in</w:t>
      </w:r>
      <w:r>
        <w:rPr>
          <w:spacing w:val="-20"/>
        </w:rPr>
        <w:t> </w:t>
      </w:r>
      <w:r>
        <w:rPr/>
        <w:t>Greater</w:t>
      </w:r>
      <w:r>
        <w:rPr>
          <w:spacing w:val="-20"/>
        </w:rPr>
        <w:t> </w:t>
      </w:r>
      <w:r>
        <w:rPr/>
        <w:t>Western</w:t>
      </w:r>
      <w:r>
        <w:rPr>
          <w:spacing w:val="-20"/>
        </w:rPr>
        <w:t> </w:t>
      </w:r>
      <w:r>
        <w:rPr/>
        <w:t>Sydney. Once</w:t>
      </w:r>
      <w:r>
        <w:rPr>
          <w:spacing w:val="-18"/>
        </w:rPr>
        <w:t> </w:t>
      </w:r>
      <w:r>
        <w:rPr/>
        <w:t>people</w:t>
      </w:r>
      <w:r>
        <w:rPr>
          <w:spacing w:val="-18"/>
        </w:rPr>
        <w:t> </w:t>
      </w:r>
      <w:r>
        <w:rPr/>
        <w:t>had</w:t>
      </w:r>
      <w:r>
        <w:rPr>
          <w:spacing w:val="-18"/>
        </w:rPr>
        <w:t> </w:t>
      </w:r>
      <w:r>
        <w:rPr/>
        <w:t>registered,</w:t>
      </w:r>
      <w:r>
        <w:rPr>
          <w:spacing w:val="-18"/>
        </w:rPr>
        <w:t> </w:t>
      </w:r>
      <w:r>
        <w:rPr/>
        <w:t>there</w:t>
      </w:r>
      <w:r>
        <w:rPr>
          <w:spacing w:val="-18"/>
        </w:rPr>
        <w:t> </w:t>
      </w:r>
      <w:r>
        <w:rPr/>
        <w:t>was</w:t>
      </w:r>
      <w:r>
        <w:rPr>
          <w:spacing w:val="-18"/>
        </w:rPr>
        <w:t> </w:t>
      </w:r>
      <w:r>
        <w:rPr/>
        <w:t>an active CRM campaign via email and SMS to</w:t>
      </w:r>
      <w:r>
        <w:rPr>
          <w:spacing w:val="-19"/>
        </w:rPr>
        <w:t> </w:t>
      </w:r>
      <w:r>
        <w:rPr/>
        <w:t>remind</w:t>
      </w:r>
      <w:r>
        <w:rPr>
          <w:spacing w:val="-19"/>
        </w:rPr>
        <w:t> </w:t>
      </w:r>
      <w:r>
        <w:rPr/>
        <w:t>them</w:t>
      </w:r>
      <w:r>
        <w:rPr>
          <w:spacing w:val="-19"/>
        </w:rPr>
        <w:t> </w:t>
      </w:r>
      <w:r>
        <w:rPr/>
        <w:t>of</w:t>
      </w:r>
      <w:r>
        <w:rPr>
          <w:spacing w:val="-19"/>
        </w:rPr>
        <w:t> </w:t>
      </w:r>
      <w:r>
        <w:rPr/>
        <w:t>their</w:t>
      </w:r>
      <w:r>
        <w:rPr>
          <w:spacing w:val="-19"/>
        </w:rPr>
        <w:t> </w:t>
      </w:r>
      <w:r>
        <w:rPr/>
        <w:t>registration.</w:t>
      </w:r>
    </w:p>
    <w:p>
      <w:pPr>
        <w:pStyle w:val="BodyText"/>
        <w:rPr>
          <w:sz w:val="14"/>
        </w:rPr>
      </w:pPr>
    </w:p>
    <w:p>
      <w:pPr>
        <w:pStyle w:val="BodyText"/>
        <w:spacing w:line="249" w:lineRule="auto"/>
        <w:ind w:left="107" w:right="66"/>
      </w:pPr>
      <w:r>
        <w:rPr>
          <w:w w:val="94"/>
        </w:rPr>
        <w:t>The </w:t>
      </w:r>
      <w:r>
        <w:rPr>
          <w:w w:val="96"/>
        </w:rPr>
        <w:t>final </w:t>
      </w:r>
      <w:r>
        <w:rPr>
          <w:w w:val="98"/>
        </w:rPr>
        <w:t>Recruitment </w:t>
      </w:r>
      <w:r>
        <w:rPr>
          <w:w w:val="98"/>
        </w:rPr>
        <w:t>campaign </w:t>
      </w:r>
      <w:r>
        <w:rPr>
          <w:w w:val="98"/>
        </w:rPr>
        <w:t>for </w:t>
      </w:r>
      <w:r>
        <w:rPr>
          <w:w w:val="90"/>
        </w:rPr>
        <w:t>2016 </w:t>
      </w:r>
      <w:r>
        <w:rPr>
          <w:w w:val="96"/>
        </w:rPr>
        <w:t>was </w:t>
      </w:r>
      <w:r>
        <w:rPr/>
        <w:t>the Guaranteed Entry campaign, targeted</w:t>
      </w:r>
    </w:p>
    <w:p>
      <w:pPr>
        <w:pStyle w:val="BodyText"/>
        <w:spacing w:line="249" w:lineRule="auto"/>
        <w:ind w:left="107" w:right="-11"/>
      </w:pPr>
      <w:r>
        <w:rPr/>
        <w:t>at school leavers. The University partnered with UAC to develop a bespoke Guaranteed Entry registration and offer system, which enabled Western Sydney University to be the first university to make offers to prospective students on the day ATARs were released.</w:t>
      </w:r>
    </w:p>
    <w:p>
      <w:pPr>
        <w:pStyle w:val="BodyText"/>
        <w:spacing w:before="7"/>
        <w:rPr>
          <w:sz w:val="20"/>
        </w:rPr>
      </w:pPr>
      <w:r>
        <w:rPr/>
        <w:br w:type="column"/>
      </w:r>
      <w:r>
        <w:rPr>
          <w:sz w:val="20"/>
        </w:rPr>
      </w:r>
    </w:p>
    <w:p>
      <w:pPr>
        <w:pStyle w:val="Heading7"/>
        <w:ind w:right="460"/>
      </w:pPr>
      <w:r>
        <w:rPr/>
        <w:t>EVENTS</w:t>
      </w:r>
    </w:p>
    <w:p>
      <w:pPr>
        <w:pStyle w:val="BodyText"/>
        <w:spacing w:line="249" w:lineRule="auto" w:before="58"/>
        <w:ind w:left="107" w:right="122"/>
      </w:pPr>
      <w:r>
        <w:rPr>
          <w:spacing w:val="1"/>
          <w:w w:val="80"/>
        </w:rPr>
        <w:t>In</w:t>
      </w:r>
      <w:r>
        <w:rPr>
          <w:w w:val="80"/>
        </w:rPr>
        <w:t> </w:t>
      </w:r>
      <w:r>
        <w:rPr>
          <w:spacing w:val="2"/>
          <w:w w:val="85"/>
        </w:rPr>
        <w:t>2016,</w:t>
      </w:r>
      <w:r>
        <w:rPr>
          <w:w w:val="85"/>
        </w:rPr>
        <w:t> </w:t>
      </w:r>
      <w:r>
        <w:rPr>
          <w:w w:val="97"/>
        </w:rPr>
        <w:t>the </w:t>
      </w:r>
      <w:r>
        <w:rPr>
          <w:w w:val="98"/>
        </w:rPr>
        <w:t>Events </w:t>
      </w:r>
      <w:r>
        <w:rPr>
          <w:w w:val="97"/>
        </w:rPr>
        <w:t>team </w:t>
      </w:r>
      <w:r>
        <w:rPr>
          <w:w w:val="98"/>
        </w:rPr>
        <w:t>coordinated </w:t>
      </w:r>
      <w:r>
        <w:rPr>
          <w:w w:val="94"/>
        </w:rPr>
        <w:t>a </w:t>
      </w:r>
      <w:r>
        <w:rPr/>
        <w:t>number</w:t>
      </w:r>
      <w:r>
        <w:rPr>
          <w:spacing w:val="-14"/>
        </w:rPr>
        <w:t> </w:t>
      </w:r>
      <w:r>
        <w:rPr/>
        <w:t>of</w:t>
      </w:r>
      <w:r>
        <w:rPr>
          <w:spacing w:val="-14"/>
        </w:rPr>
        <w:t> </w:t>
      </w:r>
      <w:r>
        <w:rPr/>
        <w:t>activities</w:t>
      </w:r>
      <w:r>
        <w:rPr>
          <w:spacing w:val="-14"/>
        </w:rPr>
        <w:t> </w:t>
      </w:r>
      <w:r>
        <w:rPr/>
        <w:t>targeting</w:t>
      </w:r>
      <w:r>
        <w:rPr>
          <w:spacing w:val="-14"/>
        </w:rPr>
        <w:t> </w:t>
      </w:r>
      <w:r>
        <w:rPr/>
        <w:t>high</w:t>
      </w:r>
      <w:r>
        <w:rPr>
          <w:spacing w:val="-14"/>
        </w:rPr>
        <w:t> </w:t>
      </w:r>
      <w:r>
        <w:rPr/>
        <w:t>school</w:t>
      </w:r>
      <w:r>
        <w:rPr>
          <w:spacing w:val="-14"/>
        </w:rPr>
        <w:t> </w:t>
      </w:r>
      <w:r>
        <w:rPr/>
        <w:t>and mature age students. These events engaged more than </w:t>
      </w:r>
      <w:r>
        <w:rPr>
          <w:spacing w:val="2"/>
        </w:rPr>
        <w:t>8,000 </w:t>
      </w:r>
      <w:r>
        <w:rPr/>
        <w:t>prospective students, showcasing</w:t>
      </w:r>
      <w:r>
        <w:rPr>
          <w:spacing w:val="-17"/>
        </w:rPr>
        <w:t> </w:t>
      </w:r>
      <w:r>
        <w:rPr/>
        <w:t>undergraduate</w:t>
      </w:r>
      <w:r>
        <w:rPr>
          <w:spacing w:val="-17"/>
        </w:rPr>
        <w:t> </w:t>
      </w:r>
      <w:r>
        <w:rPr/>
        <w:t>and</w:t>
      </w:r>
      <w:r>
        <w:rPr>
          <w:spacing w:val="-17"/>
        </w:rPr>
        <w:t> </w:t>
      </w:r>
      <w:r>
        <w:rPr/>
        <w:t>postgraduate courses,</w:t>
      </w:r>
      <w:r>
        <w:rPr>
          <w:spacing w:val="-24"/>
        </w:rPr>
        <w:t> </w:t>
      </w:r>
      <w:r>
        <w:rPr/>
        <w:t>services</w:t>
      </w:r>
      <w:r>
        <w:rPr>
          <w:spacing w:val="-24"/>
        </w:rPr>
        <w:t> </w:t>
      </w:r>
      <w:r>
        <w:rPr/>
        <w:t>and</w:t>
      </w:r>
      <w:r>
        <w:rPr>
          <w:spacing w:val="-24"/>
        </w:rPr>
        <w:t> </w:t>
      </w:r>
      <w:r>
        <w:rPr/>
        <w:t>facilities.</w:t>
      </w:r>
    </w:p>
    <w:p>
      <w:pPr>
        <w:pStyle w:val="BodyText"/>
        <w:rPr>
          <w:sz w:val="14"/>
        </w:rPr>
      </w:pPr>
    </w:p>
    <w:p>
      <w:pPr>
        <w:pStyle w:val="BodyText"/>
        <w:spacing w:line="249" w:lineRule="auto"/>
        <w:ind w:left="107" w:right="-1"/>
      </w:pPr>
      <w:r>
        <w:rPr/>
        <w:t>More than 300 prospective students attended the Mid-Year Entry Information Day in May,</w:t>
      </w:r>
    </w:p>
    <w:p>
      <w:pPr>
        <w:pStyle w:val="BodyText"/>
        <w:spacing w:line="249" w:lineRule="auto"/>
        <w:ind w:left="107" w:right="197"/>
      </w:pPr>
      <w:r>
        <w:rPr>
          <w:w w:val="94"/>
        </w:rPr>
        <w:t>a </w:t>
      </w:r>
      <w:r>
        <w:rPr>
          <w:w w:val="97"/>
        </w:rPr>
        <w:t>62 </w:t>
      </w:r>
      <w:r>
        <w:rPr>
          <w:w w:val="97"/>
        </w:rPr>
        <w:t>per </w:t>
      </w:r>
      <w:r>
        <w:rPr>
          <w:w w:val="99"/>
        </w:rPr>
        <w:t>cent </w:t>
      </w:r>
      <w:r>
        <w:rPr>
          <w:w w:val="96"/>
        </w:rPr>
        <w:t>increase </w:t>
      </w:r>
      <w:r>
        <w:rPr>
          <w:w w:val="98"/>
        </w:rPr>
        <w:t>on </w:t>
      </w:r>
      <w:r>
        <w:rPr>
          <w:w w:val="84"/>
        </w:rPr>
        <w:t>2015. </w:t>
      </w:r>
      <w:r>
        <w:rPr>
          <w:w w:val="94"/>
        </w:rPr>
        <w:t>The </w:t>
      </w:r>
      <w:r>
        <w:rPr>
          <w:w w:val="98"/>
        </w:rPr>
        <w:t>event </w:t>
      </w:r>
      <w:r>
        <w:rPr/>
        <w:t>targeted mature age students seeking information about undergraduate courses available for mid-year admission.</w:t>
      </w:r>
    </w:p>
    <w:p>
      <w:pPr>
        <w:pStyle w:val="BodyText"/>
        <w:rPr>
          <w:sz w:val="14"/>
        </w:rPr>
      </w:pPr>
    </w:p>
    <w:p>
      <w:pPr>
        <w:pStyle w:val="BodyText"/>
        <w:spacing w:line="249" w:lineRule="auto"/>
        <w:ind w:left="107" w:right="85"/>
      </w:pPr>
      <w:r>
        <w:rPr/>
        <w:t>The highlight was Open Day in August. There were more than 8,000 registrations for the </w:t>
      </w:r>
      <w:r>
        <w:rPr>
          <w:w w:val="93"/>
        </w:rPr>
        <w:t>event, </w:t>
      </w:r>
      <w:r>
        <w:rPr>
          <w:w w:val="94"/>
        </w:rPr>
        <w:t>a </w:t>
      </w:r>
      <w:r>
        <w:rPr>
          <w:w w:val="107"/>
        </w:rPr>
        <w:t>40 </w:t>
      </w:r>
      <w:r>
        <w:rPr>
          <w:w w:val="97"/>
        </w:rPr>
        <w:t>per </w:t>
      </w:r>
      <w:r>
        <w:rPr>
          <w:w w:val="99"/>
        </w:rPr>
        <w:t>cent </w:t>
      </w:r>
      <w:r>
        <w:rPr>
          <w:w w:val="96"/>
        </w:rPr>
        <w:t>increase </w:t>
      </w:r>
      <w:r>
        <w:rPr>
          <w:w w:val="98"/>
        </w:rPr>
        <w:t>on </w:t>
      </w:r>
      <w:r>
        <w:rPr>
          <w:w w:val="84"/>
        </w:rPr>
        <w:t>2015. </w:t>
      </w:r>
      <w:r>
        <w:rPr>
          <w:w w:val="97"/>
        </w:rPr>
        <w:t>More </w:t>
      </w:r>
      <w:r>
        <w:rPr/>
        <w:t>than 5,300 prospective students and guests explored the vibrant Parramatta campus, which offered presentations, one-on-one course advice sessions, interactive activities from all areas of study and a range of </w:t>
      </w:r>
      <w:r>
        <w:rPr>
          <w:w w:val="95"/>
        </w:rPr>
        <w:t>entertainment. </w:t>
      </w:r>
      <w:r>
        <w:rPr>
          <w:w w:val="94"/>
        </w:rPr>
        <w:t>The </w:t>
      </w:r>
      <w:r>
        <w:rPr>
          <w:w w:val="98"/>
        </w:rPr>
        <w:t>event </w:t>
      </w:r>
      <w:r>
        <w:rPr>
          <w:w w:val="98"/>
        </w:rPr>
        <w:t>showcased </w:t>
      </w:r>
      <w:r>
        <w:rPr>
          <w:w w:val="97"/>
        </w:rPr>
        <w:t>the </w:t>
      </w:r>
      <w:r>
        <w:rPr>
          <w:w w:val="87"/>
        </w:rPr>
        <w:t>2017 </w:t>
      </w:r>
      <w:r>
        <w:rPr/>
        <w:t>undergraduate course offerings and helped prospective students to make decisions about their study options before applications closed in September. On average, students spent more than two hours at the event.</w:t>
      </w:r>
    </w:p>
    <w:p>
      <w:pPr>
        <w:pStyle w:val="BodyText"/>
        <w:rPr>
          <w:sz w:val="14"/>
        </w:rPr>
      </w:pPr>
    </w:p>
    <w:p>
      <w:pPr>
        <w:pStyle w:val="BodyText"/>
        <w:spacing w:line="249" w:lineRule="auto"/>
        <w:ind w:left="107" w:right="-1"/>
      </w:pPr>
      <w:r>
        <w:rPr/>
        <w:t>Course Decision Day in December attracted </w:t>
      </w:r>
      <w:r>
        <w:rPr>
          <w:w w:val="97"/>
        </w:rPr>
        <w:t>more </w:t>
      </w:r>
      <w:r>
        <w:rPr>
          <w:spacing w:val="1"/>
          <w:w w:val="97"/>
        </w:rPr>
        <w:t>than</w:t>
      </w:r>
      <w:r>
        <w:rPr>
          <w:w w:val="97"/>
        </w:rPr>
        <w:t> </w:t>
      </w:r>
      <w:r>
        <w:rPr>
          <w:spacing w:val="3"/>
          <w:w w:val="87"/>
        </w:rPr>
        <w:t>1,200</w:t>
      </w:r>
      <w:r>
        <w:rPr>
          <w:w w:val="87"/>
        </w:rPr>
        <w:t> </w:t>
      </w:r>
      <w:r>
        <w:rPr>
          <w:spacing w:val="1"/>
          <w:w w:val="99"/>
        </w:rPr>
        <w:t>prospective</w:t>
      </w:r>
      <w:r>
        <w:rPr>
          <w:w w:val="99"/>
        </w:rPr>
        <w:t> </w:t>
      </w:r>
      <w:r>
        <w:rPr>
          <w:spacing w:val="1"/>
          <w:w w:val="97"/>
        </w:rPr>
        <w:t>students</w:t>
      </w:r>
      <w:r>
        <w:rPr>
          <w:w w:val="97"/>
        </w:rPr>
        <w:t> </w:t>
      </w:r>
      <w:r>
        <w:rPr>
          <w:spacing w:val="1"/>
          <w:w w:val="97"/>
        </w:rPr>
        <w:t>and</w:t>
      </w:r>
      <w:r>
        <w:rPr>
          <w:w w:val="97"/>
        </w:rPr>
        <w:t> </w:t>
      </w:r>
      <w:r>
        <w:rPr>
          <w:spacing w:val="2"/>
        </w:rPr>
        <w:t>guests</w:t>
      </w:r>
      <w:r>
        <w:rPr>
          <w:spacing w:val="-20"/>
        </w:rPr>
        <w:t> </w:t>
      </w:r>
      <w:r>
        <w:rPr/>
        <w:t>to</w:t>
      </w:r>
      <w:r>
        <w:rPr>
          <w:spacing w:val="-20"/>
        </w:rPr>
        <w:t> </w:t>
      </w:r>
      <w:r>
        <w:rPr/>
        <w:t>the</w:t>
      </w:r>
      <w:r>
        <w:rPr>
          <w:spacing w:val="-20"/>
        </w:rPr>
        <w:t> </w:t>
      </w:r>
      <w:r>
        <w:rPr/>
        <w:t>Parramatta</w:t>
      </w:r>
      <w:r>
        <w:rPr>
          <w:spacing w:val="-20"/>
        </w:rPr>
        <w:t> </w:t>
      </w:r>
      <w:r>
        <w:rPr>
          <w:spacing w:val="2"/>
        </w:rPr>
        <w:t>campus,</w:t>
      </w:r>
      <w:r>
        <w:rPr>
          <w:spacing w:val="-20"/>
        </w:rPr>
        <w:t> </w:t>
      </w:r>
      <w:r>
        <w:rPr/>
        <w:t>where</w:t>
      </w:r>
      <w:r>
        <w:rPr>
          <w:spacing w:val="-20"/>
        </w:rPr>
        <w:t> </w:t>
      </w:r>
      <w:r>
        <w:rPr/>
        <w:t>they were</w:t>
      </w:r>
      <w:r>
        <w:rPr>
          <w:spacing w:val="-17"/>
        </w:rPr>
        <w:t> </w:t>
      </w:r>
      <w:r>
        <w:rPr/>
        <w:t>able</w:t>
      </w:r>
      <w:r>
        <w:rPr>
          <w:spacing w:val="-17"/>
        </w:rPr>
        <w:t> </w:t>
      </w:r>
      <w:r>
        <w:rPr/>
        <w:t>to</w:t>
      </w:r>
      <w:r>
        <w:rPr>
          <w:spacing w:val="-17"/>
        </w:rPr>
        <w:t> </w:t>
      </w:r>
      <w:r>
        <w:rPr/>
        <w:t>discuss</w:t>
      </w:r>
      <w:r>
        <w:rPr>
          <w:spacing w:val="-17"/>
        </w:rPr>
        <w:t> </w:t>
      </w:r>
      <w:r>
        <w:rPr/>
        <w:t>course</w:t>
      </w:r>
      <w:r>
        <w:rPr>
          <w:spacing w:val="-17"/>
        </w:rPr>
        <w:t> </w:t>
      </w:r>
      <w:r>
        <w:rPr/>
        <w:t>options,</w:t>
      </w:r>
      <w:r>
        <w:rPr>
          <w:spacing w:val="-17"/>
        </w:rPr>
        <w:t> </w:t>
      </w:r>
      <w:r>
        <w:rPr/>
        <w:t>enrol</w:t>
      </w:r>
      <w:r>
        <w:rPr>
          <w:spacing w:val="-17"/>
        </w:rPr>
        <w:t> </w:t>
      </w:r>
      <w:r>
        <w:rPr/>
        <w:t>and finalise</w:t>
      </w:r>
      <w:r>
        <w:rPr>
          <w:spacing w:val="-24"/>
        </w:rPr>
        <w:t> </w:t>
      </w:r>
      <w:r>
        <w:rPr/>
        <w:t>their</w:t>
      </w:r>
      <w:r>
        <w:rPr>
          <w:spacing w:val="-24"/>
        </w:rPr>
        <w:t> </w:t>
      </w:r>
      <w:r>
        <w:rPr/>
        <w:t>UAC</w:t>
      </w:r>
      <w:r>
        <w:rPr>
          <w:spacing w:val="-24"/>
        </w:rPr>
        <w:t> </w:t>
      </w:r>
      <w:r>
        <w:rPr/>
        <w:t>preferences.</w:t>
      </w:r>
    </w:p>
    <w:p>
      <w:pPr>
        <w:pStyle w:val="BodyText"/>
        <w:rPr>
          <w:sz w:val="14"/>
        </w:rPr>
      </w:pPr>
    </w:p>
    <w:p>
      <w:pPr>
        <w:pStyle w:val="BodyText"/>
        <w:spacing w:line="249" w:lineRule="auto"/>
        <w:ind w:left="107" w:right="91"/>
      </w:pPr>
      <w:r>
        <w:rPr/>
        <w:t>The Events team also helped the Schools run small, face-to-face events for students during the peak enrolment period of January. The Schools held course information sessions</w:t>
      </w:r>
    </w:p>
    <w:p>
      <w:pPr>
        <w:pStyle w:val="BodyText"/>
        <w:spacing w:line="249" w:lineRule="auto"/>
        <w:ind w:left="107" w:right="285"/>
      </w:pPr>
      <w:r>
        <w:rPr/>
        <w:t>on each </w:t>
      </w:r>
      <w:r>
        <w:rPr>
          <w:spacing w:val="2"/>
        </w:rPr>
        <w:t>campus, </w:t>
      </w:r>
      <w:r>
        <w:rPr/>
        <w:t>for each course area, over</w:t>
      </w:r>
      <w:r>
        <w:rPr>
          <w:spacing w:val="-17"/>
        </w:rPr>
        <w:t> </w:t>
      </w:r>
      <w:r>
        <w:rPr/>
        <w:t>a</w:t>
      </w:r>
      <w:r>
        <w:rPr>
          <w:spacing w:val="-17"/>
        </w:rPr>
        <w:t> </w:t>
      </w:r>
      <w:r>
        <w:rPr/>
        <w:t>number</w:t>
      </w:r>
      <w:r>
        <w:rPr>
          <w:spacing w:val="-17"/>
        </w:rPr>
        <w:t> </w:t>
      </w:r>
      <w:r>
        <w:rPr/>
        <w:t>of</w:t>
      </w:r>
      <w:r>
        <w:rPr>
          <w:spacing w:val="-17"/>
        </w:rPr>
        <w:t> </w:t>
      </w:r>
      <w:r>
        <w:rPr/>
        <w:t>weeks</w:t>
      </w:r>
      <w:r>
        <w:rPr>
          <w:spacing w:val="-17"/>
        </w:rPr>
        <w:t> </w:t>
      </w:r>
      <w:r>
        <w:rPr/>
        <w:t>to</w:t>
      </w:r>
      <w:r>
        <w:rPr>
          <w:spacing w:val="-17"/>
        </w:rPr>
        <w:t> </w:t>
      </w:r>
      <w:r>
        <w:rPr/>
        <w:t>ensure</w:t>
      </w:r>
      <w:r>
        <w:rPr>
          <w:spacing w:val="-17"/>
        </w:rPr>
        <w:t> </w:t>
      </w:r>
      <w:r>
        <w:rPr/>
        <w:t>students considering enrolling could speak to an academic</w:t>
      </w:r>
      <w:r>
        <w:rPr>
          <w:spacing w:val="-18"/>
        </w:rPr>
        <w:t> </w:t>
      </w:r>
      <w:r>
        <w:rPr/>
        <w:t>and</w:t>
      </w:r>
      <w:r>
        <w:rPr>
          <w:spacing w:val="-18"/>
        </w:rPr>
        <w:t> </w:t>
      </w:r>
      <w:r>
        <w:rPr/>
        <w:t>receive</w:t>
      </w:r>
      <w:r>
        <w:rPr>
          <w:spacing w:val="-18"/>
        </w:rPr>
        <w:t> </w:t>
      </w:r>
      <w:r>
        <w:rPr/>
        <w:t>enrolment</w:t>
      </w:r>
      <w:r>
        <w:rPr>
          <w:spacing w:val="-18"/>
        </w:rPr>
        <w:t> </w:t>
      </w:r>
      <w:r>
        <w:rPr/>
        <w:t>support.</w:t>
      </w:r>
    </w:p>
    <w:p>
      <w:pPr>
        <w:pStyle w:val="BodyText"/>
        <w:rPr>
          <w:sz w:val="14"/>
        </w:rPr>
      </w:pPr>
    </w:p>
    <w:p>
      <w:pPr>
        <w:pStyle w:val="BodyText"/>
        <w:spacing w:line="249" w:lineRule="auto"/>
        <w:ind w:left="107" w:right="260"/>
      </w:pPr>
      <w:r>
        <w:rPr/>
        <w:t>Four Western Sydney U Days were held in June and October across the Parramatta, Kingswood, Bankstown and Campbelltown </w:t>
      </w:r>
      <w:r>
        <w:rPr>
          <w:spacing w:val="2"/>
        </w:rPr>
        <w:t>campuses. </w:t>
      </w:r>
      <w:r>
        <w:rPr/>
        <w:t>More than </w:t>
      </w:r>
      <w:r>
        <w:rPr>
          <w:spacing w:val="2"/>
        </w:rPr>
        <w:t>3,000 </w:t>
      </w:r>
      <w:r>
        <w:rPr/>
        <w:t>year </w:t>
      </w:r>
      <w:r>
        <w:rPr>
          <w:w w:val="95"/>
        </w:rPr>
        <w:t>11 </w:t>
      </w:r>
      <w:r>
        <w:rPr/>
        <w:t>high school students experienced a day in the life</w:t>
      </w:r>
      <w:r>
        <w:rPr>
          <w:spacing w:val="-18"/>
        </w:rPr>
        <w:t> </w:t>
      </w:r>
      <w:r>
        <w:rPr/>
        <w:t>of</w:t>
      </w:r>
      <w:r>
        <w:rPr>
          <w:spacing w:val="-18"/>
        </w:rPr>
        <w:t> </w:t>
      </w:r>
      <w:r>
        <w:rPr/>
        <w:t>a</w:t>
      </w:r>
      <w:r>
        <w:rPr>
          <w:spacing w:val="-18"/>
        </w:rPr>
        <w:t> </w:t>
      </w:r>
      <w:r>
        <w:rPr/>
        <w:t>university</w:t>
      </w:r>
      <w:r>
        <w:rPr>
          <w:spacing w:val="-18"/>
        </w:rPr>
        <w:t> </w:t>
      </w:r>
      <w:r>
        <w:rPr/>
        <w:t>student,</w:t>
      </w:r>
      <w:r>
        <w:rPr>
          <w:spacing w:val="-18"/>
        </w:rPr>
        <w:t> </w:t>
      </w:r>
      <w:r>
        <w:rPr/>
        <w:t>attending</w:t>
      </w:r>
      <w:r>
        <w:rPr>
          <w:spacing w:val="-18"/>
        </w:rPr>
        <w:t> </w:t>
      </w:r>
      <w:r>
        <w:rPr/>
        <w:t>course presentations</w:t>
      </w:r>
      <w:r>
        <w:rPr>
          <w:spacing w:val="-20"/>
        </w:rPr>
        <w:t> </w:t>
      </w:r>
      <w:r>
        <w:rPr/>
        <w:t>and</w:t>
      </w:r>
      <w:r>
        <w:rPr>
          <w:spacing w:val="-20"/>
        </w:rPr>
        <w:t> </w:t>
      </w:r>
      <w:r>
        <w:rPr/>
        <w:t>workshops,</w:t>
      </w:r>
      <w:r>
        <w:rPr>
          <w:spacing w:val="-20"/>
        </w:rPr>
        <w:t> </w:t>
      </w:r>
      <w:r>
        <w:rPr/>
        <w:t>and</w:t>
      </w:r>
      <w:r>
        <w:rPr>
          <w:spacing w:val="-20"/>
        </w:rPr>
        <w:t> </w:t>
      </w:r>
      <w:r>
        <w:rPr/>
        <w:t>meeting</w:t>
      </w:r>
    </w:p>
    <w:p>
      <w:pPr>
        <w:pStyle w:val="BodyText"/>
        <w:spacing w:line="249" w:lineRule="auto"/>
        <w:ind w:left="107" w:right="125"/>
        <w:jc w:val="both"/>
      </w:pPr>
      <w:r>
        <w:rPr/>
        <w:t>current</w:t>
      </w:r>
      <w:r>
        <w:rPr>
          <w:spacing w:val="-20"/>
        </w:rPr>
        <w:t> </w:t>
      </w:r>
      <w:r>
        <w:rPr/>
        <w:t>students</w:t>
      </w:r>
      <w:r>
        <w:rPr>
          <w:spacing w:val="-20"/>
        </w:rPr>
        <w:t> </w:t>
      </w:r>
      <w:r>
        <w:rPr/>
        <w:t>from</w:t>
      </w:r>
      <w:r>
        <w:rPr>
          <w:spacing w:val="-20"/>
        </w:rPr>
        <w:t> </w:t>
      </w:r>
      <w:r>
        <w:rPr/>
        <w:t>all</w:t>
      </w:r>
      <w:r>
        <w:rPr>
          <w:spacing w:val="-20"/>
        </w:rPr>
        <w:t> </w:t>
      </w:r>
      <w:r>
        <w:rPr/>
        <w:t>areas</w:t>
      </w:r>
      <w:r>
        <w:rPr>
          <w:spacing w:val="-20"/>
        </w:rPr>
        <w:t> </w:t>
      </w:r>
      <w:r>
        <w:rPr/>
        <w:t>of</w:t>
      </w:r>
      <w:r>
        <w:rPr>
          <w:spacing w:val="-20"/>
        </w:rPr>
        <w:t> </w:t>
      </w:r>
      <w:r>
        <w:rPr/>
        <w:t>study.</w:t>
      </w:r>
      <w:r>
        <w:rPr>
          <w:spacing w:val="-20"/>
        </w:rPr>
        <w:t> </w:t>
      </w:r>
      <w:r>
        <w:rPr/>
        <w:t>These </w:t>
      </w:r>
      <w:r>
        <w:rPr>
          <w:w w:val="97"/>
        </w:rPr>
        <w:t>events</w:t>
      </w:r>
      <w:r>
        <w:rPr>
          <w:spacing w:val="-9"/>
          <w:w w:val="97"/>
        </w:rPr>
        <w:t> </w:t>
      </w:r>
      <w:r>
        <w:rPr>
          <w:spacing w:val="1"/>
          <w:w w:val="99"/>
        </w:rPr>
        <w:t>attracted</w:t>
      </w:r>
      <w:r>
        <w:rPr>
          <w:spacing w:val="-10"/>
          <w:w w:val="99"/>
        </w:rPr>
        <w:t> </w:t>
      </w:r>
      <w:r>
        <w:rPr>
          <w:spacing w:val="1"/>
          <w:w w:val="97"/>
        </w:rPr>
        <w:t>students</w:t>
      </w:r>
      <w:r>
        <w:rPr>
          <w:spacing w:val="-9"/>
          <w:w w:val="97"/>
        </w:rPr>
        <w:t> </w:t>
      </w:r>
      <w:r>
        <w:rPr>
          <w:spacing w:val="1"/>
          <w:w w:val="98"/>
        </w:rPr>
        <w:t>from</w:t>
      </w:r>
      <w:r>
        <w:rPr>
          <w:spacing w:val="-10"/>
          <w:w w:val="98"/>
        </w:rPr>
        <w:t> </w:t>
      </w:r>
      <w:r>
        <w:rPr>
          <w:w w:val="97"/>
        </w:rPr>
        <w:t>more</w:t>
      </w:r>
      <w:r>
        <w:rPr>
          <w:spacing w:val="-9"/>
          <w:w w:val="97"/>
        </w:rPr>
        <w:t> </w:t>
      </w:r>
      <w:r>
        <w:rPr>
          <w:spacing w:val="1"/>
          <w:w w:val="97"/>
        </w:rPr>
        <w:t>than</w:t>
      </w:r>
      <w:r>
        <w:rPr>
          <w:spacing w:val="-9"/>
          <w:w w:val="97"/>
        </w:rPr>
        <w:t> </w:t>
      </w:r>
      <w:r>
        <w:rPr>
          <w:spacing w:val="2"/>
          <w:w w:val="92"/>
        </w:rPr>
        <w:t>100</w:t>
      </w:r>
      <w:r>
        <w:rPr>
          <w:w w:val="92"/>
        </w:rPr>
        <w:t> </w:t>
      </w:r>
      <w:r>
        <w:rPr/>
        <w:t>high</w:t>
      </w:r>
      <w:r>
        <w:rPr>
          <w:spacing w:val="-22"/>
        </w:rPr>
        <w:t> </w:t>
      </w:r>
      <w:r>
        <w:rPr/>
        <w:t>schools</w:t>
      </w:r>
      <w:r>
        <w:rPr>
          <w:spacing w:val="-22"/>
        </w:rPr>
        <w:t> </w:t>
      </w:r>
      <w:r>
        <w:rPr/>
        <w:t>across</w:t>
      </w:r>
      <w:r>
        <w:rPr>
          <w:spacing w:val="-22"/>
        </w:rPr>
        <w:t> </w:t>
      </w:r>
      <w:r>
        <w:rPr/>
        <w:t>Western</w:t>
      </w:r>
      <w:r>
        <w:rPr>
          <w:spacing w:val="-22"/>
        </w:rPr>
        <w:t> </w:t>
      </w:r>
      <w:r>
        <w:rPr/>
        <w:t>Sydney.</w:t>
      </w:r>
    </w:p>
    <w:p>
      <w:pPr>
        <w:spacing w:after="0" w:line="249" w:lineRule="auto"/>
        <w:jc w:val="both"/>
        <w:sectPr>
          <w:type w:val="continuous"/>
          <w:pgSz w:w="11910" w:h="16840"/>
          <w:pgMar w:top="1580" w:bottom="280" w:left="800" w:right="800"/>
          <w:cols w:num="3" w:equalWidth="0">
            <w:col w:w="3320" w:space="120"/>
            <w:col w:w="3300" w:space="139"/>
            <w:col w:w="3431"/>
          </w:cols>
        </w:sectPr>
      </w:pPr>
    </w:p>
    <w:p>
      <w:pPr>
        <w:pStyle w:val="BodyText"/>
        <w:spacing w:before="9"/>
        <w:rPr>
          <w:sz w:val="28"/>
        </w:rPr>
      </w:pPr>
    </w:p>
    <w:p>
      <w:pPr>
        <w:pStyle w:val="Heading2"/>
        <w:ind w:left="327" w:right="816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rPr>
      </w:pPr>
    </w:p>
    <w:p>
      <w:pPr>
        <w:spacing w:after="0"/>
        <w:rPr>
          <w:rFonts w:ascii="Chronicle Text G1"/>
        </w:rPr>
        <w:sectPr>
          <w:pgSz w:w="11910" w:h="16840"/>
          <w:pgMar w:header="496" w:footer="472" w:top="680" w:bottom="660" w:left="580" w:right="580"/>
        </w:sectPr>
      </w:pPr>
    </w:p>
    <w:p>
      <w:pPr>
        <w:pStyle w:val="Heading7"/>
        <w:spacing w:before="77"/>
        <w:ind w:left="327" w:right="3"/>
      </w:pPr>
      <w:r>
        <w:rPr>
          <w:w w:val="95"/>
        </w:rPr>
        <w:t>CONTACT SERVICE CENTRE</w:t>
      </w:r>
    </w:p>
    <w:p>
      <w:pPr>
        <w:pStyle w:val="BodyText"/>
        <w:spacing w:line="249" w:lineRule="auto" w:before="58"/>
        <w:ind w:left="327" w:right="3"/>
      </w:pPr>
      <w:r>
        <w:rPr>
          <w:spacing w:val="1"/>
          <w:w w:val="80"/>
        </w:rPr>
        <w:t>In</w:t>
      </w:r>
      <w:r>
        <w:rPr>
          <w:w w:val="80"/>
        </w:rPr>
        <w:t> </w:t>
      </w:r>
      <w:r>
        <w:rPr>
          <w:spacing w:val="2"/>
          <w:w w:val="85"/>
        </w:rPr>
        <w:t>2016,</w:t>
      </w:r>
      <w:r>
        <w:rPr>
          <w:w w:val="85"/>
        </w:rPr>
        <w:t> </w:t>
      </w:r>
      <w:r>
        <w:rPr>
          <w:w w:val="97"/>
        </w:rPr>
        <w:t>the </w:t>
      </w:r>
      <w:r>
        <w:rPr>
          <w:w w:val="97"/>
        </w:rPr>
        <w:t>University’s </w:t>
      </w:r>
      <w:r>
        <w:rPr>
          <w:spacing w:val="1"/>
          <w:w w:val="100"/>
        </w:rPr>
        <w:t>Contact</w:t>
      </w:r>
      <w:r>
        <w:rPr>
          <w:w w:val="100"/>
        </w:rPr>
        <w:t> </w:t>
      </w:r>
      <w:r>
        <w:rPr>
          <w:spacing w:val="1"/>
          <w:w w:val="97"/>
        </w:rPr>
        <w:t>Service</w:t>
      </w:r>
      <w:r>
        <w:rPr>
          <w:w w:val="97"/>
        </w:rPr>
        <w:t> </w:t>
      </w:r>
      <w:r>
        <w:rPr>
          <w:w w:val="97"/>
        </w:rPr>
        <w:t>Centre </w:t>
      </w:r>
      <w:r>
        <w:rPr>
          <w:spacing w:val="1"/>
          <w:w w:val="99"/>
        </w:rPr>
        <w:t>(CSC)</w:t>
      </w:r>
      <w:r>
        <w:rPr>
          <w:w w:val="99"/>
        </w:rPr>
        <w:t> </w:t>
      </w:r>
      <w:r>
        <w:rPr>
          <w:spacing w:val="1"/>
          <w:w w:val="97"/>
        </w:rPr>
        <w:t>answered</w:t>
      </w:r>
      <w:r>
        <w:rPr>
          <w:w w:val="97"/>
        </w:rPr>
        <w:t> </w:t>
      </w:r>
      <w:r>
        <w:rPr>
          <w:w w:val="97"/>
        </w:rPr>
        <w:t>more </w:t>
      </w:r>
      <w:r>
        <w:rPr>
          <w:spacing w:val="1"/>
          <w:w w:val="97"/>
        </w:rPr>
        <w:t>than</w:t>
      </w:r>
      <w:r>
        <w:rPr>
          <w:w w:val="97"/>
        </w:rPr>
        <w:t> </w:t>
      </w:r>
      <w:r>
        <w:rPr>
          <w:spacing w:val="2"/>
          <w:w w:val="92"/>
        </w:rPr>
        <w:t>155,000</w:t>
      </w:r>
      <w:r>
        <w:rPr>
          <w:w w:val="92"/>
        </w:rPr>
        <w:t> </w:t>
      </w:r>
      <w:r>
        <w:rPr/>
        <w:t>phone</w:t>
      </w:r>
      <w:r>
        <w:rPr>
          <w:spacing w:val="-15"/>
        </w:rPr>
        <w:t> </w:t>
      </w:r>
      <w:r>
        <w:rPr/>
        <w:t>calls,</w:t>
      </w:r>
      <w:r>
        <w:rPr>
          <w:spacing w:val="-15"/>
        </w:rPr>
        <w:t> </w:t>
      </w:r>
      <w:r>
        <w:rPr/>
        <w:t>responded</w:t>
      </w:r>
      <w:r>
        <w:rPr>
          <w:spacing w:val="-15"/>
        </w:rPr>
        <w:t> </w:t>
      </w:r>
      <w:r>
        <w:rPr/>
        <w:t>to</w:t>
      </w:r>
      <w:r>
        <w:rPr>
          <w:spacing w:val="-15"/>
        </w:rPr>
        <w:t> </w:t>
      </w:r>
      <w:r>
        <w:rPr/>
        <w:t>over</w:t>
      </w:r>
      <w:r>
        <w:rPr>
          <w:spacing w:val="-15"/>
        </w:rPr>
        <w:t> </w:t>
      </w:r>
      <w:r>
        <w:rPr>
          <w:spacing w:val="2"/>
        </w:rPr>
        <w:t>78,000</w:t>
      </w:r>
      <w:r>
        <w:rPr>
          <w:spacing w:val="-15"/>
        </w:rPr>
        <w:t> </w:t>
      </w:r>
      <w:r>
        <w:rPr/>
        <w:t>emails and processed </w:t>
      </w:r>
      <w:r>
        <w:rPr>
          <w:spacing w:val="2"/>
        </w:rPr>
        <w:t>23,000 </w:t>
      </w:r>
      <w:r>
        <w:rPr/>
        <w:t>web enquiries. The </w:t>
      </w:r>
      <w:r>
        <w:rPr>
          <w:spacing w:val="2"/>
        </w:rPr>
        <w:t>CSC</w:t>
      </w:r>
      <w:r>
        <w:rPr>
          <w:spacing w:val="-14"/>
        </w:rPr>
        <w:t> </w:t>
      </w:r>
      <w:r>
        <w:rPr/>
        <w:t>introduced</w:t>
      </w:r>
      <w:r>
        <w:rPr>
          <w:spacing w:val="-14"/>
        </w:rPr>
        <w:t> </w:t>
      </w:r>
      <w:r>
        <w:rPr/>
        <w:t>web</w:t>
      </w:r>
      <w:r>
        <w:rPr>
          <w:spacing w:val="-14"/>
        </w:rPr>
        <w:t> </w:t>
      </w:r>
      <w:r>
        <w:rPr/>
        <w:t>chat</w:t>
      </w:r>
      <w:r>
        <w:rPr>
          <w:spacing w:val="-14"/>
        </w:rPr>
        <w:t> </w:t>
      </w:r>
      <w:r>
        <w:rPr/>
        <w:t>in</w:t>
      </w:r>
      <w:r>
        <w:rPr>
          <w:spacing w:val="-14"/>
        </w:rPr>
        <w:t> </w:t>
      </w:r>
      <w:r>
        <w:rPr/>
        <w:t>August,</w:t>
      </w:r>
      <w:r>
        <w:rPr>
          <w:spacing w:val="-14"/>
        </w:rPr>
        <w:t> </w:t>
      </w:r>
      <w:r>
        <w:rPr/>
        <w:t>and</w:t>
      </w:r>
      <w:r>
        <w:rPr>
          <w:spacing w:val="-14"/>
        </w:rPr>
        <w:t> </w:t>
      </w:r>
      <w:r>
        <w:rPr/>
        <w:t>since then, the team has conducted more than 9,000 chats.</w:t>
      </w:r>
    </w:p>
    <w:p>
      <w:pPr>
        <w:pStyle w:val="BodyText"/>
        <w:rPr>
          <w:sz w:val="14"/>
        </w:rPr>
      </w:pPr>
    </w:p>
    <w:p>
      <w:pPr>
        <w:pStyle w:val="BodyText"/>
        <w:spacing w:line="249" w:lineRule="auto"/>
        <w:ind w:left="327" w:right="3"/>
      </w:pPr>
      <w:r>
        <w:rPr/>
        <w:t>Performance monitoring company Customer Service Benchmarking Australia (CSBA) assesses the University every quarter, comparing it with other tertiary institutions </w:t>
      </w:r>
      <w:r>
        <w:rPr>
          <w:w w:val="97"/>
        </w:rPr>
        <w:t>and </w:t>
      </w:r>
      <w:r>
        <w:rPr>
          <w:w w:val="97"/>
        </w:rPr>
        <w:t>call </w:t>
      </w:r>
      <w:r>
        <w:rPr>
          <w:w w:val="97"/>
        </w:rPr>
        <w:t>centres </w:t>
      </w:r>
      <w:r>
        <w:rPr>
          <w:w w:val="95"/>
        </w:rPr>
        <w:t>in </w:t>
      </w:r>
      <w:r>
        <w:rPr>
          <w:w w:val="98"/>
        </w:rPr>
        <w:t>up </w:t>
      </w:r>
      <w:r>
        <w:rPr>
          <w:w w:val="101"/>
        </w:rPr>
        <w:t>to </w:t>
      </w:r>
      <w:r>
        <w:rPr>
          <w:w w:val="87"/>
        </w:rPr>
        <w:t>180 </w:t>
      </w:r>
      <w:r>
        <w:rPr>
          <w:w w:val="96"/>
        </w:rPr>
        <w:t>large </w:t>
      </w:r>
      <w:r>
        <w:rPr>
          <w:w w:val="97"/>
        </w:rPr>
        <w:t>Australian </w:t>
      </w:r>
      <w:r>
        <w:rPr/>
        <w:t>businesses across different sectors. In</w:t>
      </w:r>
    </w:p>
    <w:p>
      <w:pPr>
        <w:pStyle w:val="BodyText"/>
        <w:spacing w:line="249" w:lineRule="auto"/>
        <w:ind w:left="327" w:right="3"/>
      </w:pPr>
      <w:r>
        <w:rPr>
          <w:spacing w:val="2"/>
          <w:w w:val="85"/>
        </w:rPr>
        <w:t>2016,</w:t>
      </w:r>
      <w:r>
        <w:rPr>
          <w:w w:val="85"/>
        </w:rPr>
        <w:t> </w:t>
      </w:r>
      <w:r>
        <w:rPr>
          <w:w w:val="97"/>
        </w:rPr>
        <w:t>the </w:t>
      </w:r>
      <w:r>
        <w:rPr>
          <w:spacing w:val="2"/>
          <w:w w:val="100"/>
        </w:rPr>
        <w:t>CSC</w:t>
      </w:r>
      <w:r>
        <w:rPr>
          <w:w w:val="100"/>
        </w:rPr>
        <w:t> </w:t>
      </w:r>
      <w:r>
        <w:rPr>
          <w:w w:val="98"/>
        </w:rPr>
        <w:t>consistently </w:t>
      </w:r>
      <w:r>
        <w:rPr>
          <w:w w:val="98"/>
        </w:rPr>
        <w:t>received </w:t>
      </w:r>
      <w:r>
        <w:rPr>
          <w:spacing w:val="1"/>
          <w:w w:val="96"/>
        </w:rPr>
        <w:t>results</w:t>
      </w:r>
      <w:r>
        <w:rPr>
          <w:w w:val="96"/>
        </w:rPr>
        <w:t> </w:t>
      </w:r>
      <w:r>
        <w:rPr/>
        <w:t>well above the sector average. The </w:t>
      </w:r>
      <w:r>
        <w:rPr>
          <w:spacing w:val="2"/>
        </w:rPr>
        <w:t>CSC </w:t>
      </w:r>
      <w:r>
        <w:rPr/>
        <w:t>maintained its position as the number one tertiary</w:t>
      </w:r>
      <w:r>
        <w:rPr>
          <w:spacing w:val="-16"/>
        </w:rPr>
        <w:t> </w:t>
      </w:r>
      <w:r>
        <w:rPr/>
        <w:t>call</w:t>
      </w:r>
      <w:r>
        <w:rPr>
          <w:spacing w:val="-16"/>
        </w:rPr>
        <w:t> </w:t>
      </w:r>
      <w:r>
        <w:rPr/>
        <w:t>centre</w:t>
      </w:r>
      <w:r>
        <w:rPr>
          <w:spacing w:val="-16"/>
        </w:rPr>
        <w:t> </w:t>
      </w:r>
      <w:r>
        <w:rPr/>
        <w:t>in</w:t>
      </w:r>
      <w:r>
        <w:rPr>
          <w:spacing w:val="-16"/>
        </w:rPr>
        <w:t> </w:t>
      </w:r>
      <w:r>
        <w:rPr/>
        <w:t>NSW,</w:t>
      </w:r>
      <w:r>
        <w:rPr>
          <w:spacing w:val="-16"/>
        </w:rPr>
        <w:t> </w:t>
      </w:r>
      <w:r>
        <w:rPr/>
        <w:t>and</w:t>
      </w:r>
      <w:r>
        <w:rPr>
          <w:spacing w:val="-16"/>
        </w:rPr>
        <w:t> </w:t>
      </w:r>
      <w:r>
        <w:rPr/>
        <w:t>was</w:t>
      </w:r>
      <w:r>
        <w:rPr>
          <w:spacing w:val="-16"/>
        </w:rPr>
        <w:t> </w:t>
      </w:r>
      <w:r>
        <w:rPr/>
        <w:t>in</w:t>
      </w:r>
      <w:r>
        <w:rPr>
          <w:spacing w:val="-16"/>
        </w:rPr>
        <w:t> </w:t>
      </w:r>
      <w:r>
        <w:rPr/>
        <w:t>the</w:t>
      </w:r>
      <w:r>
        <w:rPr>
          <w:spacing w:val="-16"/>
        </w:rPr>
        <w:t> </w:t>
      </w:r>
      <w:r>
        <w:rPr/>
        <w:t>top five</w:t>
      </w:r>
      <w:r>
        <w:rPr>
          <w:spacing w:val="-22"/>
        </w:rPr>
        <w:t> </w:t>
      </w:r>
      <w:r>
        <w:rPr/>
        <w:t>in</w:t>
      </w:r>
      <w:r>
        <w:rPr>
          <w:spacing w:val="-22"/>
        </w:rPr>
        <w:t> </w:t>
      </w:r>
      <w:r>
        <w:rPr/>
        <w:t>the</w:t>
      </w:r>
      <w:r>
        <w:rPr>
          <w:spacing w:val="-22"/>
        </w:rPr>
        <w:t> </w:t>
      </w:r>
      <w:r>
        <w:rPr/>
        <w:t>country.</w:t>
      </w:r>
    </w:p>
    <w:p>
      <w:pPr>
        <w:pStyle w:val="BodyText"/>
        <w:spacing w:before="3"/>
        <w:rPr>
          <w:sz w:val="19"/>
        </w:rPr>
      </w:pPr>
    </w:p>
    <w:p>
      <w:pPr>
        <w:pStyle w:val="Heading7"/>
        <w:ind w:left="327" w:right="3"/>
      </w:pPr>
      <w:r>
        <w:rPr>
          <w:w w:val="95"/>
        </w:rPr>
        <w:t>PROSPECTIVE STUDENT ADVISOR TEAM</w:t>
      </w:r>
    </w:p>
    <w:p>
      <w:pPr>
        <w:pStyle w:val="BodyText"/>
        <w:spacing w:line="249" w:lineRule="auto" w:before="58"/>
        <w:ind w:left="327" w:right="3"/>
      </w:pPr>
      <w:r>
        <w:rPr/>
        <w:t>The Prospective Student Advisor (PSA) team continued to engage with future students</w:t>
      </w:r>
    </w:p>
    <w:p>
      <w:pPr>
        <w:pStyle w:val="BodyText"/>
        <w:spacing w:line="249" w:lineRule="auto"/>
        <w:ind w:left="327" w:right="67"/>
      </w:pPr>
      <w:r>
        <w:rPr>
          <w:w w:val="99"/>
        </w:rPr>
        <w:t>of </w:t>
      </w:r>
      <w:r>
        <w:rPr>
          <w:w w:val="97"/>
        </w:rPr>
        <w:t>the </w:t>
      </w:r>
      <w:r>
        <w:rPr>
          <w:w w:val="97"/>
        </w:rPr>
        <w:t>University </w:t>
      </w:r>
      <w:r>
        <w:rPr>
          <w:w w:val="95"/>
        </w:rPr>
        <w:t>in </w:t>
      </w:r>
      <w:r>
        <w:rPr>
          <w:w w:val="85"/>
        </w:rPr>
        <w:t>2016, </w:t>
      </w:r>
      <w:r>
        <w:rPr>
          <w:w w:val="98"/>
        </w:rPr>
        <w:t>working </w:t>
      </w:r>
      <w:r>
        <w:rPr>
          <w:w w:val="98"/>
        </w:rPr>
        <w:t>closely </w:t>
      </w:r>
      <w:r>
        <w:rPr/>
        <w:t>with 325 schools to provide information and guidance to high school students. Through school visits and presentations, the team spoke directly to more than 5,900 students about Western Sydney University, and more than 22,400 students received one-on-one advice from the team at school careers markets throughout the year.</w:t>
      </w:r>
    </w:p>
    <w:p>
      <w:pPr>
        <w:pStyle w:val="BodyText"/>
        <w:rPr>
          <w:sz w:val="14"/>
        </w:rPr>
      </w:pPr>
    </w:p>
    <w:p>
      <w:pPr>
        <w:pStyle w:val="BodyText"/>
        <w:spacing w:line="249" w:lineRule="auto"/>
        <w:ind w:left="327" w:right="-7"/>
      </w:pPr>
      <w:r>
        <w:rPr/>
        <w:pict>
          <v:group style="position:absolute;margin-left:34.015999pt;margin-top:40.982201pt;width:527.25pt;height:171.5pt;mso-position-horizontal-relative:page;mso-position-vertical-relative:paragraph;z-index:-335776" coordorigin="680,820" coordsize="10545,3430">
            <v:rect style="position:absolute;left:680;top:820;width:10545;height:3430" filled="true" fillcolor="#e9e9e9" stroked="false">
              <v:fill type="solid"/>
            </v:rect>
            <v:shape style="position:absolute;left:907;top:1050;width:1553;height:240" type="#_x0000_t202" filled="false" stroked="false">
              <v:textbox inset="0,0,0,0">
                <w:txbxContent>
                  <w:p>
                    <w:pPr>
                      <w:spacing w:line="240" w:lineRule="exact" w:before="0"/>
                      <w:ind w:left="0" w:right="-20" w:firstLine="0"/>
                      <w:jc w:val="left"/>
                      <w:rPr>
                        <w:rFonts w:ascii="Gotham Narrow Bold"/>
                        <w:b/>
                        <w:sz w:val="24"/>
                      </w:rPr>
                    </w:pPr>
                    <w:r>
                      <w:rPr>
                        <w:rFonts w:ascii="Gotham Narrow Bold"/>
                        <w:b/>
                        <w:spacing w:val="-3"/>
                        <w:w w:val="95"/>
                        <w:sz w:val="24"/>
                      </w:rPr>
                      <w:t>SOCIAL </w:t>
                    </w:r>
                    <w:r>
                      <w:rPr>
                        <w:rFonts w:ascii="Gotham Narrow Bold"/>
                        <w:b/>
                        <w:w w:val="95"/>
                        <w:sz w:val="24"/>
                      </w:rPr>
                      <w:t>MEDIA</w:t>
                    </w:r>
                  </w:p>
                </w:txbxContent>
              </v:textbox>
              <w10:wrap type="none"/>
            </v:shape>
            <w10:wrap type="none"/>
          </v:group>
        </w:pict>
      </w:r>
      <w:r>
        <w:rPr>
          <w:w w:val="99"/>
        </w:rPr>
        <w:t>Another </w:t>
      </w:r>
      <w:r>
        <w:rPr>
          <w:w w:val="85"/>
        </w:rPr>
        <w:t>1,703 </w:t>
      </w:r>
      <w:r>
        <w:rPr>
          <w:w w:val="97"/>
        </w:rPr>
        <w:t>students </w:t>
      </w:r>
      <w:r>
        <w:rPr>
          <w:w w:val="98"/>
        </w:rPr>
        <w:t>visited </w:t>
      </w:r>
      <w:r>
        <w:rPr>
          <w:w w:val="97"/>
        </w:rPr>
        <w:t>the </w:t>
      </w:r>
      <w:r>
        <w:rPr>
          <w:w w:val="97"/>
        </w:rPr>
        <w:t>University’s </w:t>
      </w:r>
      <w:r>
        <w:rPr/>
        <w:t>campuses and directly engaged with staff members and academics through PSA team</w:t>
      </w:r>
    </w:p>
    <w:p>
      <w:pPr>
        <w:pStyle w:val="BodyText"/>
        <w:spacing w:line="249" w:lineRule="auto" w:before="71"/>
        <w:ind w:left="217" w:right="7"/>
      </w:pPr>
      <w:r>
        <w:rPr/>
        <w:br w:type="column"/>
      </w:r>
      <w:r>
        <w:rPr/>
        <w:t>initiatives such as campus experiences. The </w:t>
      </w:r>
      <w:r>
        <w:rPr>
          <w:w w:val="97"/>
        </w:rPr>
        <w:t>team </w:t>
      </w:r>
      <w:r>
        <w:rPr>
          <w:w w:val="99"/>
        </w:rPr>
        <w:t>connected </w:t>
      </w:r>
      <w:r>
        <w:rPr>
          <w:w w:val="98"/>
        </w:rPr>
        <w:t>with </w:t>
      </w:r>
      <w:r>
        <w:rPr>
          <w:w w:val="95"/>
        </w:rPr>
        <w:t>an </w:t>
      </w:r>
      <w:r>
        <w:rPr>
          <w:w w:val="97"/>
        </w:rPr>
        <w:t>additional </w:t>
      </w:r>
      <w:r>
        <w:rPr>
          <w:w w:val="91"/>
        </w:rPr>
        <w:t>1,000 </w:t>
      </w:r>
      <w:r>
        <w:rPr/>
        <w:t>students through sponsorship opportunities. The team’s stalls at the HSC and Careers Expo and the Western Sydney Careers Expo exposed the University to more than 39,000 prospective students, including high school students, non-current school leavers and career changers.</w:t>
      </w:r>
    </w:p>
    <w:p>
      <w:pPr>
        <w:pStyle w:val="BodyText"/>
        <w:rPr>
          <w:sz w:val="14"/>
        </w:rPr>
      </w:pPr>
    </w:p>
    <w:p>
      <w:pPr>
        <w:pStyle w:val="BodyText"/>
        <w:spacing w:line="249" w:lineRule="auto"/>
        <w:ind w:left="217" w:right="259"/>
      </w:pPr>
      <w:r>
        <w:rPr/>
        <w:t>The</w:t>
      </w:r>
      <w:r>
        <w:rPr>
          <w:spacing w:val="-18"/>
        </w:rPr>
        <w:t> </w:t>
      </w:r>
      <w:r>
        <w:rPr/>
        <w:t>team</w:t>
      </w:r>
      <w:r>
        <w:rPr>
          <w:spacing w:val="-18"/>
        </w:rPr>
        <w:t> </w:t>
      </w:r>
      <w:r>
        <w:rPr/>
        <w:t>interacted</w:t>
      </w:r>
      <w:r>
        <w:rPr>
          <w:spacing w:val="-18"/>
        </w:rPr>
        <w:t> </w:t>
      </w:r>
      <w:r>
        <w:rPr/>
        <w:t>with</w:t>
      </w:r>
      <w:r>
        <w:rPr>
          <w:spacing w:val="-18"/>
        </w:rPr>
        <w:t> </w:t>
      </w:r>
      <w:r>
        <w:rPr/>
        <w:t>key</w:t>
      </w:r>
      <w:r>
        <w:rPr>
          <w:spacing w:val="-18"/>
        </w:rPr>
        <w:t> </w:t>
      </w:r>
      <w:r>
        <w:rPr/>
        <w:t>influencers of future students throughout the year, including through specific events with information tailored for these audiences. These</w:t>
      </w:r>
      <w:r>
        <w:rPr>
          <w:spacing w:val="-20"/>
        </w:rPr>
        <w:t> </w:t>
      </w:r>
      <w:r>
        <w:rPr/>
        <w:t>events</w:t>
      </w:r>
      <w:r>
        <w:rPr>
          <w:spacing w:val="-20"/>
        </w:rPr>
        <w:t> </w:t>
      </w:r>
      <w:r>
        <w:rPr/>
        <w:t>included</w:t>
      </w:r>
      <w:r>
        <w:rPr>
          <w:spacing w:val="-20"/>
        </w:rPr>
        <w:t> </w:t>
      </w:r>
      <w:r>
        <w:rPr/>
        <w:t>the</w:t>
      </w:r>
      <w:r>
        <w:rPr>
          <w:spacing w:val="-20"/>
        </w:rPr>
        <w:t> </w:t>
      </w:r>
      <w:r>
        <w:rPr/>
        <w:t>annual</w:t>
      </w:r>
      <w:r>
        <w:rPr>
          <w:spacing w:val="-20"/>
        </w:rPr>
        <w:t> </w:t>
      </w:r>
      <w:r>
        <w:rPr/>
        <w:t>Careers </w:t>
      </w:r>
      <w:r>
        <w:rPr>
          <w:spacing w:val="1"/>
          <w:w w:val="99"/>
        </w:rPr>
        <w:t>Advisors’</w:t>
      </w:r>
      <w:r>
        <w:rPr>
          <w:w w:val="99"/>
        </w:rPr>
        <w:t> </w:t>
      </w:r>
      <w:r>
        <w:rPr>
          <w:spacing w:val="-2"/>
          <w:w w:val="90"/>
        </w:rPr>
        <w:t>Day,</w:t>
      </w:r>
      <w:r>
        <w:rPr>
          <w:w w:val="90"/>
        </w:rPr>
        <w:t> </w:t>
      </w:r>
      <w:r>
        <w:rPr>
          <w:spacing w:val="1"/>
          <w:w w:val="97"/>
        </w:rPr>
        <w:t>during</w:t>
      </w:r>
      <w:r>
        <w:rPr>
          <w:w w:val="97"/>
        </w:rPr>
        <w:t> </w:t>
      </w:r>
      <w:r>
        <w:rPr>
          <w:w w:val="98"/>
        </w:rPr>
        <w:t>which </w:t>
      </w:r>
      <w:r>
        <w:rPr>
          <w:spacing w:val="3"/>
          <w:w w:val="88"/>
        </w:rPr>
        <w:t>106</w:t>
      </w:r>
      <w:r>
        <w:rPr>
          <w:spacing w:val="-18"/>
          <w:w w:val="88"/>
        </w:rPr>
        <w:t> </w:t>
      </w:r>
      <w:r>
        <w:rPr>
          <w:spacing w:val="1"/>
          <w:w w:val="96"/>
        </w:rPr>
        <w:t>careers</w:t>
      </w:r>
    </w:p>
    <w:p>
      <w:pPr>
        <w:pStyle w:val="BodyText"/>
        <w:spacing w:line="249" w:lineRule="auto"/>
        <w:ind w:left="217" w:right="-3"/>
      </w:pPr>
      <w:r>
        <w:rPr/>
        <w:t>advisors participated in targeted workshops, and parent information sessions held at</w:t>
      </w:r>
    </w:p>
    <w:p>
      <w:pPr>
        <w:pStyle w:val="BodyText"/>
        <w:spacing w:line="249" w:lineRule="auto"/>
        <w:ind w:left="217" w:right="-6"/>
      </w:pPr>
      <w:r>
        <w:rPr/>
        <w:t>the Parramatta, Campbelltown and Penrith </w:t>
      </w:r>
      <w:r>
        <w:rPr>
          <w:w w:val="94"/>
        </w:rPr>
        <w:t>campuses, </w:t>
      </w:r>
      <w:r>
        <w:rPr>
          <w:w w:val="97"/>
        </w:rPr>
        <w:t>during </w:t>
      </w:r>
      <w:r>
        <w:rPr>
          <w:w w:val="98"/>
        </w:rPr>
        <w:t>which </w:t>
      </w:r>
      <w:r>
        <w:rPr>
          <w:w w:val="98"/>
        </w:rPr>
        <w:t>over </w:t>
      </w:r>
      <w:r>
        <w:rPr>
          <w:w w:val="85"/>
        </w:rPr>
        <w:t>170 </w:t>
      </w:r>
      <w:r>
        <w:rPr>
          <w:w w:val="97"/>
        </w:rPr>
        <w:t>parents </w:t>
      </w:r>
      <w:r>
        <w:rPr>
          <w:w w:val="97"/>
        </w:rPr>
        <w:t>and </w:t>
      </w:r>
      <w:r>
        <w:rPr/>
        <w:t>family members discovered more about the University’s perspective.</w:t>
      </w:r>
    </w:p>
    <w:p>
      <w:pPr>
        <w:pStyle w:val="BodyText"/>
        <w:spacing w:before="3"/>
        <w:rPr>
          <w:sz w:val="19"/>
        </w:rPr>
      </w:pPr>
    </w:p>
    <w:p>
      <w:pPr>
        <w:pStyle w:val="Heading7"/>
        <w:ind w:left="217" w:right="7"/>
      </w:pPr>
      <w:r>
        <w:rPr>
          <w:w w:val="95"/>
        </w:rPr>
        <w:t>WEB SERVICES</w:t>
      </w:r>
    </w:p>
    <w:p>
      <w:pPr>
        <w:pStyle w:val="BodyText"/>
        <w:spacing w:line="249" w:lineRule="auto" w:before="58"/>
        <w:ind w:left="217" w:right="7"/>
      </w:pPr>
      <w:r>
        <w:rPr/>
        <w:t>The Web Services team manages the corporate website, the University’s leading communications channel. The team works closely</w:t>
      </w:r>
      <w:r>
        <w:rPr>
          <w:spacing w:val="-16"/>
        </w:rPr>
        <w:t> </w:t>
      </w:r>
      <w:r>
        <w:rPr/>
        <w:t>with</w:t>
      </w:r>
      <w:r>
        <w:rPr>
          <w:spacing w:val="-16"/>
        </w:rPr>
        <w:t> </w:t>
      </w:r>
      <w:r>
        <w:rPr/>
        <w:t>management</w:t>
      </w:r>
      <w:r>
        <w:rPr>
          <w:spacing w:val="-16"/>
        </w:rPr>
        <w:t> </w:t>
      </w:r>
      <w:r>
        <w:rPr/>
        <w:t>and</w:t>
      </w:r>
      <w:r>
        <w:rPr>
          <w:spacing w:val="-16"/>
        </w:rPr>
        <w:t> </w:t>
      </w:r>
      <w:r>
        <w:rPr/>
        <w:t>stakeholders from</w:t>
      </w:r>
      <w:r>
        <w:rPr>
          <w:spacing w:val="-16"/>
        </w:rPr>
        <w:t> </w:t>
      </w:r>
      <w:r>
        <w:rPr/>
        <w:t>all</w:t>
      </w:r>
      <w:r>
        <w:rPr>
          <w:spacing w:val="-16"/>
        </w:rPr>
        <w:t> </w:t>
      </w:r>
      <w:r>
        <w:rPr/>
        <w:t>areas</w:t>
      </w:r>
      <w:r>
        <w:rPr>
          <w:spacing w:val="-16"/>
        </w:rPr>
        <w:t> </w:t>
      </w:r>
      <w:r>
        <w:rPr/>
        <w:t>of</w:t>
      </w:r>
      <w:r>
        <w:rPr>
          <w:spacing w:val="-16"/>
        </w:rPr>
        <w:t> </w:t>
      </w:r>
      <w:r>
        <w:rPr/>
        <w:t>the</w:t>
      </w:r>
      <w:r>
        <w:rPr>
          <w:spacing w:val="-16"/>
        </w:rPr>
        <w:t> </w:t>
      </w:r>
      <w:r>
        <w:rPr/>
        <w:t>University</w:t>
      </w:r>
      <w:r>
        <w:rPr>
          <w:spacing w:val="-16"/>
        </w:rPr>
        <w:t> </w:t>
      </w:r>
      <w:r>
        <w:rPr/>
        <w:t>to</w:t>
      </w:r>
      <w:r>
        <w:rPr>
          <w:spacing w:val="-16"/>
        </w:rPr>
        <w:t> </w:t>
      </w:r>
      <w:r>
        <w:rPr/>
        <w:t>produce</w:t>
      </w:r>
      <w:r>
        <w:rPr>
          <w:spacing w:val="-16"/>
        </w:rPr>
        <w:t> </w:t>
      </w:r>
      <w:r>
        <w:rPr/>
        <w:t>a web</w:t>
      </w:r>
      <w:r>
        <w:rPr>
          <w:spacing w:val="-15"/>
        </w:rPr>
        <w:t> </w:t>
      </w:r>
      <w:r>
        <w:rPr/>
        <w:t>presence</w:t>
      </w:r>
      <w:r>
        <w:rPr>
          <w:spacing w:val="-15"/>
        </w:rPr>
        <w:t> </w:t>
      </w:r>
      <w:r>
        <w:rPr/>
        <w:t>that</w:t>
      </w:r>
      <w:r>
        <w:rPr>
          <w:spacing w:val="-15"/>
        </w:rPr>
        <w:t> </w:t>
      </w:r>
      <w:r>
        <w:rPr/>
        <w:t>meets</w:t>
      </w:r>
      <w:r>
        <w:rPr>
          <w:spacing w:val="-15"/>
        </w:rPr>
        <w:t> </w:t>
      </w:r>
      <w:r>
        <w:rPr/>
        <w:t>the</w:t>
      </w:r>
      <w:r>
        <w:rPr>
          <w:spacing w:val="-15"/>
        </w:rPr>
        <w:t> </w:t>
      </w:r>
      <w:r>
        <w:rPr/>
        <w:t>needs</w:t>
      </w:r>
      <w:r>
        <w:rPr>
          <w:spacing w:val="-15"/>
        </w:rPr>
        <w:t> </w:t>
      </w:r>
      <w:r>
        <w:rPr/>
        <w:t>of</w:t>
      </w:r>
      <w:r>
        <w:rPr>
          <w:spacing w:val="-15"/>
        </w:rPr>
        <w:t> </w:t>
      </w:r>
      <w:r>
        <w:rPr/>
        <w:t>staff and students, enhances the University’s reputation</w:t>
      </w:r>
      <w:r>
        <w:rPr>
          <w:spacing w:val="-26"/>
        </w:rPr>
        <w:t> </w:t>
      </w:r>
      <w:r>
        <w:rPr/>
        <w:t>and</w:t>
      </w:r>
      <w:r>
        <w:rPr>
          <w:spacing w:val="-26"/>
        </w:rPr>
        <w:t> </w:t>
      </w:r>
      <w:r>
        <w:rPr/>
        <w:t>increases</w:t>
      </w:r>
      <w:r>
        <w:rPr>
          <w:spacing w:val="-26"/>
        </w:rPr>
        <w:t> </w:t>
      </w:r>
      <w:r>
        <w:rPr/>
        <w:t>enrolments.</w:t>
      </w:r>
    </w:p>
    <w:p>
      <w:pPr>
        <w:pStyle w:val="BodyText"/>
        <w:rPr>
          <w:sz w:val="14"/>
        </w:rPr>
      </w:pPr>
    </w:p>
    <w:p>
      <w:pPr>
        <w:pStyle w:val="BodyText"/>
        <w:spacing w:line="249" w:lineRule="auto"/>
        <w:ind w:left="217" w:right="442"/>
        <w:jc w:val="both"/>
      </w:pPr>
      <w:r>
        <w:rPr/>
        <w:t>The</w:t>
      </w:r>
      <w:r>
        <w:rPr>
          <w:spacing w:val="-20"/>
        </w:rPr>
        <w:t> </w:t>
      </w:r>
      <w:r>
        <w:rPr/>
        <w:t>team</w:t>
      </w:r>
      <w:r>
        <w:rPr>
          <w:spacing w:val="-20"/>
        </w:rPr>
        <w:t> </w:t>
      </w:r>
      <w:r>
        <w:rPr/>
        <w:t>currently</w:t>
      </w:r>
      <w:r>
        <w:rPr>
          <w:spacing w:val="-20"/>
        </w:rPr>
        <w:t> </w:t>
      </w:r>
      <w:r>
        <w:rPr/>
        <w:t>manages</w:t>
      </w:r>
      <w:r>
        <w:rPr>
          <w:spacing w:val="-20"/>
        </w:rPr>
        <w:t> </w:t>
      </w:r>
      <w:r>
        <w:rPr/>
        <w:t>business- as-usual</w:t>
      </w:r>
      <w:r>
        <w:rPr>
          <w:spacing w:val="-14"/>
        </w:rPr>
        <w:t> </w:t>
      </w:r>
      <w:r>
        <w:rPr/>
        <w:t>requests</w:t>
      </w:r>
      <w:r>
        <w:rPr>
          <w:spacing w:val="-14"/>
        </w:rPr>
        <w:t> </w:t>
      </w:r>
      <w:r>
        <w:rPr/>
        <w:t>as</w:t>
      </w:r>
      <w:r>
        <w:rPr>
          <w:spacing w:val="-14"/>
        </w:rPr>
        <w:t> </w:t>
      </w:r>
      <w:r>
        <w:rPr/>
        <w:t>the</w:t>
      </w:r>
      <w:r>
        <w:rPr>
          <w:spacing w:val="-14"/>
        </w:rPr>
        <w:t> </w:t>
      </w:r>
      <w:r>
        <w:rPr/>
        <w:t>Adobe</w:t>
      </w:r>
      <w:r>
        <w:rPr>
          <w:spacing w:val="-14"/>
        </w:rPr>
        <w:t> </w:t>
      </w:r>
      <w:r>
        <w:rPr/>
        <w:t>project develops</w:t>
      </w:r>
      <w:r>
        <w:rPr>
          <w:spacing w:val="-15"/>
        </w:rPr>
        <w:t> </w:t>
      </w:r>
      <w:r>
        <w:rPr/>
        <w:t>the</w:t>
      </w:r>
      <w:r>
        <w:rPr>
          <w:spacing w:val="-15"/>
        </w:rPr>
        <w:t> </w:t>
      </w:r>
      <w:r>
        <w:rPr/>
        <w:t>design</w:t>
      </w:r>
      <w:r>
        <w:rPr>
          <w:spacing w:val="-15"/>
        </w:rPr>
        <w:t> </w:t>
      </w:r>
      <w:r>
        <w:rPr/>
        <w:t>and</w:t>
      </w:r>
      <w:r>
        <w:rPr>
          <w:spacing w:val="-15"/>
        </w:rPr>
        <w:t> </w:t>
      </w:r>
      <w:r>
        <w:rPr/>
        <w:t>structure</w:t>
      </w:r>
    </w:p>
    <w:p>
      <w:pPr>
        <w:pStyle w:val="BodyText"/>
        <w:spacing w:line="192" w:lineRule="exact"/>
        <w:ind w:left="217" w:right="7"/>
      </w:pPr>
      <w:r>
        <w:rPr/>
        <w:t>of the future web platform.</w:t>
      </w:r>
    </w:p>
    <w:p>
      <w:pPr>
        <w:pStyle w:val="Heading7"/>
        <w:spacing w:before="77"/>
        <w:ind w:left="258" w:right="322"/>
      </w:pPr>
      <w:r>
        <w:rPr>
          <w:b w:val="0"/>
        </w:rPr>
        <w:br w:type="column"/>
      </w:r>
      <w:r>
        <w:rPr>
          <w:w w:val="95"/>
        </w:rPr>
        <w:t>SOCIAL MEDIA</w:t>
      </w:r>
    </w:p>
    <w:p>
      <w:pPr>
        <w:pStyle w:val="BodyText"/>
        <w:spacing w:line="249" w:lineRule="auto" w:before="58"/>
        <w:ind w:left="258" w:right="322"/>
      </w:pPr>
      <w:r>
        <w:rPr/>
        <w:t>The</w:t>
      </w:r>
      <w:r>
        <w:rPr>
          <w:spacing w:val="-26"/>
        </w:rPr>
        <w:t> </w:t>
      </w:r>
      <w:r>
        <w:rPr/>
        <w:t>Office</w:t>
      </w:r>
      <w:r>
        <w:rPr>
          <w:spacing w:val="-26"/>
        </w:rPr>
        <w:t> </w:t>
      </w:r>
      <w:r>
        <w:rPr/>
        <w:t>is</w:t>
      </w:r>
      <w:r>
        <w:rPr>
          <w:spacing w:val="-26"/>
        </w:rPr>
        <w:t> </w:t>
      </w:r>
      <w:r>
        <w:rPr/>
        <w:t>continuing</w:t>
      </w:r>
      <w:r>
        <w:rPr>
          <w:spacing w:val="-26"/>
        </w:rPr>
        <w:t> </w:t>
      </w:r>
      <w:r>
        <w:rPr/>
        <w:t>to</w:t>
      </w:r>
      <w:r>
        <w:rPr>
          <w:spacing w:val="-26"/>
        </w:rPr>
        <w:t> </w:t>
      </w:r>
      <w:r>
        <w:rPr/>
        <w:t>grow</w:t>
      </w:r>
      <w:r>
        <w:rPr>
          <w:spacing w:val="-26"/>
        </w:rPr>
        <w:t> </w:t>
      </w:r>
      <w:r>
        <w:rPr/>
        <w:t>the</w:t>
      </w:r>
      <w:r>
        <w:rPr>
          <w:spacing w:val="-26"/>
        </w:rPr>
        <w:t> </w:t>
      </w:r>
      <w:r>
        <w:rPr/>
        <w:t>University’s reach and engagement through social media channels</w:t>
      </w:r>
      <w:r>
        <w:rPr>
          <w:spacing w:val="-38"/>
        </w:rPr>
        <w:t> </w:t>
      </w:r>
      <w:r>
        <w:rPr/>
        <w:t>(see</w:t>
      </w:r>
      <w:r>
        <w:rPr>
          <w:spacing w:val="-38"/>
        </w:rPr>
        <w:t> </w:t>
      </w:r>
      <w:r>
        <w:rPr/>
        <w:t>the</w:t>
      </w:r>
      <w:r>
        <w:rPr>
          <w:spacing w:val="-38"/>
        </w:rPr>
        <w:t> </w:t>
      </w:r>
      <w:r>
        <w:rPr/>
        <w:t>table</w:t>
      </w:r>
      <w:r>
        <w:rPr>
          <w:spacing w:val="-38"/>
        </w:rPr>
        <w:t> </w:t>
      </w:r>
      <w:r>
        <w:rPr/>
        <w:t>for</w:t>
      </w:r>
      <w:r>
        <w:rPr>
          <w:spacing w:val="-38"/>
        </w:rPr>
        <w:t> </w:t>
      </w:r>
      <w:r>
        <w:rPr/>
        <w:t>results).</w:t>
      </w:r>
    </w:p>
    <w:p>
      <w:pPr>
        <w:pStyle w:val="BodyText"/>
        <w:rPr>
          <w:sz w:val="14"/>
        </w:rPr>
      </w:pPr>
    </w:p>
    <w:p>
      <w:pPr>
        <w:pStyle w:val="BodyText"/>
        <w:spacing w:line="249" w:lineRule="auto"/>
        <w:ind w:left="258" w:right="369"/>
      </w:pPr>
      <w:r>
        <w:rPr/>
        <w:t>This</w:t>
      </w:r>
      <w:r>
        <w:rPr>
          <w:spacing w:val="-23"/>
        </w:rPr>
        <w:t> </w:t>
      </w:r>
      <w:r>
        <w:rPr/>
        <w:t>year,</w:t>
      </w:r>
      <w:r>
        <w:rPr>
          <w:spacing w:val="-23"/>
        </w:rPr>
        <w:t> </w:t>
      </w:r>
      <w:r>
        <w:rPr/>
        <w:t>the</w:t>
      </w:r>
      <w:r>
        <w:rPr>
          <w:spacing w:val="-23"/>
        </w:rPr>
        <w:t> </w:t>
      </w:r>
      <w:r>
        <w:rPr/>
        <w:t>team</w:t>
      </w:r>
      <w:r>
        <w:rPr>
          <w:spacing w:val="-23"/>
        </w:rPr>
        <w:t> </w:t>
      </w:r>
      <w:r>
        <w:rPr/>
        <w:t>successfully</w:t>
      </w:r>
      <w:r>
        <w:rPr>
          <w:spacing w:val="-23"/>
        </w:rPr>
        <w:t> </w:t>
      </w:r>
      <w:r>
        <w:rPr/>
        <w:t>experimented with the new Snapchat channel, developing short campaigns to engage prospective students</w:t>
      </w:r>
      <w:r>
        <w:rPr>
          <w:spacing w:val="-17"/>
        </w:rPr>
        <w:t> </w:t>
      </w:r>
      <w:r>
        <w:rPr/>
        <w:t>who</w:t>
      </w:r>
      <w:r>
        <w:rPr>
          <w:spacing w:val="-17"/>
        </w:rPr>
        <w:t> </w:t>
      </w:r>
      <w:r>
        <w:rPr/>
        <w:t>were</w:t>
      </w:r>
      <w:r>
        <w:rPr>
          <w:spacing w:val="-17"/>
        </w:rPr>
        <w:t> </w:t>
      </w:r>
      <w:r>
        <w:rPr/>
        <w:t>on</w:t>
      </w:r>
      <w:r>
        <w:rPr>
          <w:spacing w:val="-17"/>
        </w:rPr>
        <w:t> </w:t>
      </w:r>
      <w:r>
        <w:rPr/>
        <w:t>campus</w:t>
      </w:r>
      <w:r>
        <w:rPr>
          <w:spacing w:val="-17"/>
        </w:rPr>
        <w:t> </w:t>
      </w:r>
      <w:r>
        <w:rPr/>
        <w:t>during</w:t>
      </w:r>
      <w:r>
        <w:rPr>
          <w:spacing w:val="-17"/>
        </w:rPr>
        <w:t> </w:t>
      </w:r>
      <w:r>
        <w:rPr/>
        <w:t>events.</w:t>
      </w:r>
    </w:p>
    <w:p>
      <w:pPr>
        <w:pStyle w:val="BodyText"/>
        <w:spacing w:before="3"/>
        <w:rPr>
          <w:sz w:val="19"/>
        </w:rPr>
      </w:pPr>
    </w:p>
    <w:p>
      <w:pPr>
        <w:pStyle w:val="Heading7"/>
        <w:ind w:left="258" w:right="322"/>
      </w:pPr>
      <w:r>
        <w:rPr>
          <w:w w:val="95"/>
        </w:rPr>
        <w:t>MEDIA AND EVENTS</w:t>
      </w:r>
    </w:p>
    <w:p>
      <w:pPr>
        <w:pStyle w:val="BodyText"/>
        <w:spacing w:line="249" w:lineRule="auto" w:before="58"/>
        <w:ind w:left="258" w:right="322"/>
      </w:pPr>
      <w:r>
        <w:rPr/>
        <w:t>The Media Unit is responsible for media relations and reputation management across the</w:t>
      </w:r>
      <w:r>
        <w:rPr>
          <w:spacing w:val="-19"/>
        </w:rPr>
        <w:t> </w:t>
      </w:r>
      <w:r>
        <w:rPr/>
        <w:t>University.</w:t>
      </w:r>
      <w:r>
        <w:rPr>
          <w:spacing w:val="-19"/>
        </w:rPr>
        <w:t> </w:t>
      </w:r>
      <w:r>
        <w:rPr/>
        <w:t>The</w:t>
      </w:r>
      <w:r>
        <w:rPr>
          <w:spacing w:val="-19"/>
        </w:rPr>
        <w:t> </w:t>
      </w:r>
      <w:r>
        <w:rPr/>
        <w:t>Unit</w:t>
      </w:r>
      <w:r>
        <w:rPr>
          <w:spacing w:val="-19"/>
        </w:rPr>
        <w:t> </w:t>
      </w:r>
      <w:r>
        <w:rPr/>
        <w:t>drives</w:t>
      </w:r>
      <w:r>
        <w:rPr>
          <w:spacing w:val="-19"/>
        </w:rPr>
        <w:t> </w:t>
      </w:r>
      <w:r>
        <w:rPr/>
        <w:t>coverage</w:t>
      </w:r>
      <w:r>
        <w:rPr>
          <w:spacing w:val="-19"/>
        </w:rPr>
        <w:t> </w:t>
      </w:r>
      <w:r>
        <w:rPr/>
        <w:t>of</w:t>
      </w:r>
      <w:r>
        <w:rPr>
          <w:spacing w:val="-19"/>
        </w:rPr>
        <w:t> </w:t>
      </w:r>
      <w:r>
        <w:rPr/>
        <w:t>the University in local, national and international media. Staff members source stories, write media releases and news copy, manage the News Centre and liaise with journalists on a daily</w:t>
      </w:r>
      <w:r>
        <w:rPr>
          <w:spacing w:val="-30"/>
        </w:rPr>
        <w:t> </w:t>
      </w:r>
      <w:r>
        <w:rPr/>
        <w:t>basis.</w:t>
      </w:r>
    </w:p>
    <w:p>
      <w:pPr>
        <w:pStyle w:val="BodyText"/>
        <w:rPr>
          <w:sz w:val="14"/>
        </w:rPr>
      </w:pPr>
    </w:p>
    <w:p>
      <w:pPr>
        <w:pStyle w:val="BodyText"/>
        <w:spacing w:line="249" w:lineRule="auto"/>
        <w:ind w:left="258" w:right="322"/>
      </w:pPr>
      <w:r>
        <w:rPr/>
        <w:t>The</w:t>
      </w:r>
      <w:r>
        <w:rPr>
          <w:spacing w:val="-19"/>
        </w:rPr>
        <w:t> </w:t>
      </w:r>
      <w:r>
        <w:rPr/>
        <w:t>Events</w:t>
      </w:r>
      <w:r>
        <w:rPr>
          <w:spacing w:val="-19"/>
        </w:rPr>
        <w:t> </w:t>
      </w:r>
      <w:r>
        <w:rPr/>
        <w:t>team</w:t>
      </w:r>
      <w:r>
        <w:rPr>
          <w:spacing w:val="-19"/>
        </w:rPr>
        <w:t> </w:t>
      </w:r>
      <w:r>
        <w:rPr/>
        <w:t>manages</w:t>
      </w:r>
      <w:r>
        <w:rPr>
          <w:spacing w:val="-19"/>
        </w:rPr>
        <w:t> </w:t>
      </w:r>
      <w:r>
        <w:rPr/>
        <w:t>the</w:t>
      </w:r>
      <w:r>
        <w:rPr>
          <w:spacing w:val="-19"/>
        </w:rPr>
        <w:t> </w:t>
      </w:r>
      <w:r>
        <w:rPr/>
        <w:t>many</w:t>
      </w:r>
      <w:r>
        <w:rPr>
          <w:spacing w:val="-19"/>
        </w:rPr>
        <w:t> </w:t>
      </w:r>
      <w:r>
        <w:rPr/>
        <w:t>corporate events, official openings, public relations programs and VIP visits hosted by the University</w:t>
      </w:r>
      <w:r>
        <w:rPr>
          <w:spacing w:val="-16"/>
        </w:rPr>
        <w:t> </w:t>
      </w:r>
      <w:r>
        <w:rPr/>
        <w:t>and</w:t>
      </w:r>
      <w:r>
        <w:rPr>
          <w:spacing w:val="-16"/>
        </w:rPr>
        <w:t> </w:t>
      </w:r>
      <w:r>
        <w:rPr/>
        <w:t>the</w:t>
      </w:r>
      <w:r>
        <w:rPr>
          <w:spacing w:val="-16"/>
        </w:rPr>
        <w:t> </w:t>
      </w:r>
      <w:r>
        <w:rPr/>
        <w:t>Vice-Chancellor’s</w:t>
      </w:r>
      <w:r>
        <w:rPr>
          <w:spacing w:val="-16"/>
        </w:rPr>
        <w:t> </w:t>
      </w:r>
      <w:r>
        <w:rPr/>
        <w:t>office.</w:t>
      </w:r>
    </w:p>
    <w:p>
      <w:pPr>
        <w:pStyle w:val="BodyText"/>
        <w:rPr>
          <w:sz w:val="14"/>
        </w:rPr>
      </w:pPr>
    </w:p>
    <w:p>
      <w:pPr>
        <w:pStyle w:val="BodyText"/>
        <w:spacing w:line="249" w:lineRule="auto"/>
        <w:ind w:left="258" w:right="678"/>
      </w:pPr>
      <w:r>
        <w:rPr/>
        <w:t>The Media Unit also supported the University’s academics and encouraged them</w:t>
      </w:r>
      <w:r>
        <w:rPr>
          <w:spacing w:val="-15"/>
        </w:rPr>
        <w:t> </w:t>
      </w:r>
      <w:r>
        <w:rPr/>
        <w:t>to</w:t>
      </w:r>
      <w:r>
        <w:rPr>
          <w:spacing w:val="-15"/>
        </w:rPr>
        <w:t> </w:t>
      </w:r>
      <w:r>
        <w:rPr/>
        <w:t>contribute</w:t>
      </w:r>
      <w:r>
        <w:rPr>
          <w:spacing w:val="-15"/>
        </w:rPr>
        <w:t> </w:t>
      </w:r>
      <w:r>
        <w:rPr/>
        <w:t>to</w:t>
      </w:r>
      <w:r>
        <w:rPr>
          <w:spacing w:val="-15"/>
        </w:rPr>
        <w:t> </w:t>
      </w:r>
      <w:r>
        <w:rPr/>
        <w:t>the</w:t>
      </w:r>
      <w:r>
        <w:rPr>
          <w:spacing w:val="-15"/>
        </w:rPr>
        <w:t> </w:t>
      </w:r>
      <w:r>
        <w:rPr/>
        <w:t>opinion</w:t>
      </w:r>
      <w:r>
        <w:rPr>
          <w:spacing w:val="-15"/>
        </w:rPr>
        <w:t> </w:t>
      </w:r>
      <w:r>
        <w:rPr/>
        <w:t>website The</w:t>
      </w:r>
      <w:r>
        <w:rPr>
          <w:spacing w:val="-17"/>
        </w:rPr>
        <w:t> </w:t>
      </w:r>
      <w:r>
        <w:rPr/>
        <w:t>Conversation.</w:t>
      </w:r>
      <w:r>
        <w:rPr>
          <w:spacing w:val="-17"/>
        </w:rPr>
        <w:t> </w:t>
      </w:r>
      <w:r>
        <w:rPr/>
        <w:t>More</w:t>
      </w:r>
      <w:r>
        <w:rPr>
          <w:spacing w:val="-17"/>
        </w:rPr>
        <w:t> </w:t>
      </w:r>
      <w:r>
        <w:rPr/>
        <w:t>than</w:t>
      </w:r>
      <w:r>
        <w:rPr>
          <w:spacing w:val="-17"/>
        </w:rPr>
        <w:t> </w:t>
      </w:r>
      <w:r>
        <w:rPr/>
        <w:t>90</w:t>
      </w:r>
      <w:r>
        <w:rPr>
          <w:spacing w:val="-17"/>
        </w:rPr>
        <w:t> </w:t>
      </w:r>
      <w:r>
        <w:rPr/>
        <w:t>Western Sydney University authors published </w:t>
      </w:r>
      <w:r>
        <w:rPr>
          <w:w w:val="98"/>
        </w:rPr>
        <w:t>over </w:t>
      </w:r>
      <w:r>
        <w:rPr>
          <w:spacing w:val="1"/>
          <w:w w:val="86"/>
        </w:rPr>
        <w:t>120</w:t>
      </w:r>
      <w:r>
        <w:rPr>
          <w:w w:val="86"/>
        </w:rPr>
        <w:t> </w:t>
      </w:r>
      <w:r>
        <w:rPr>
          <w:spacing w:val="1"/>
          <w:w w:val="97"/>
        </w:rPr>
        <w:t>articles</w:t>
      </w:r>
      <w:r>
        <w:rPr>
          <w:w w:val="97"/>
        </w:rPr>
        <w:t> </w:t>
      </w:r>
      <w:r>
        <w:rPr>
          <w:w w:val="95"/>
        </w:rPr>
        <w:t>in </w:t>
      </w:r>
      <w:r>
        <w:rPr>
          <w:w w:val="97"/>
        </w:rPr>
        <w:t>the </w:t>
      </w:r>
      <w:r>
        <w:rPr>
          <w:spacing w:val="1"/>
          <w:w w:val="96"/>
        </w:rPr>
        <w:t>last</w:t>
      </w:r>
      <w:r>
        <w:rPr>
          <w:w w:val="96"/>
        </w:rPr>
        <w:t> </w:t>
      </w:r>
      <w:r>
        <w:rPr>
          <w:spacing w:val="1"/>
          <w:w w:val="73"/>
        </w:rPr>
        <w:t>12</w:t>
      </w:r>
      <w:r>
        <w:rPr>
          <w:w w:val="73"/>
        </w:rPr>
        <w:t> </w:t>
      </w:r>
      <w:r>
        <w:rPr>
          <w:spacing w:val="1"/>
          <w:w w:val="93"/>
        </w:rPr>
        <w:t>months,</w:t>
      </w:r>
      <w:r>
        <w:rPr>
          <w:w w:val="93"/>
        </w:rPr>
        <w:t> </w:t>
      </w:r>
      <w:r>
        <w:rPr/>
        <w:t>which reached </w:t>
      </w:r>
      <w:r>
        <w:rPr>
          <w:spacing w:val="3"/>
        </w:rPr>
        <w:t>4.5 </w:t>
      </w:r>
      <w:r>
        <w:rPr/>
        <w:t>million readers and generated</w:t>
      </w:r>
      <w:r>
        <w:rPr>
          <w:spacing w:val="-12"/>
        </w:rPr>
        <w:t> </w:t>
      </w:r>
      <w:r>
        <w:rPr/>
        <w:t>close</w:t>
      </w:r>
      <w:r>
        <w:rPr>
          <w:spacing w:val="-12"/>
        </w:rPr>
        <w:t> </w:t>
      </w:r>
      <w:r>
        <w:rPr/>
        <w:t>to</w:t>
      </w:r>
      <w:r>
        <w:rPr>
          <w:spacing w:val="-12"/>
        </w:rPr>
        <w:t> </w:t>
      </w:r>
      <w:r>
        <w:rPr>
          <w:spacing w:val="2"/>
        </w:rPr>
        <w:t>4,000</w:t>
      </w:r>
      <w:r>
        <w:rPr>
          <w:spacing w:val="-12"/>
        </w:rPr>
        <w:t> </w:t>
      </w:r>
      <w:r>
        <w:rPr/>
        <w:t>comments.</w:t>
      </w:r>
    </w:p>
    <w:p>
      <w:pPr>
        <w:spacing w:after="0" w:line="249" w:lineRule="auto"/>
        <w:sectPr>
          <w:type w:val="continuous"/>
          <w:pgSz w:w="11910" w:h="16840"/>
          <w:pgMar w:top="1580" w:bottom="280" w:left="580" w:right="580"/>
          <w:cols w:num="3" w:equalWidth="0">
            <w:col w:w="3509" w:space="40"/>
            <w:col w:w="3358" w:space="40"/>
            <w:col w:w="3803"/>
          </w:cols>
        </w:sectPr>
      </w:pPr>
    </w:p>
    <w:p>
      <w:pPr>
        <w:pStyle w:val="BodyText"/>
        <w:rPr>
          <w:sz w:val="20"/>
        </w:rPr>
      </w:pPr>
    </w:p>
    <w:p>
      <w:pPr>
        <w:pStyle w:val="BodyText"/>
        <w:rPr>
          <w:sz w:val="20"/>
        </w:rPr>
      </w:pPr>
    </w:p>
    <w:p>
      <w:pPr>
        <w:pStyle w:val="BodyText"/>
        <w:spacing w:before="1"/>
        <w:rPr>
          <w:sz w:val="24"/>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360"/>
        <w:gridCol w:w="3360"/>
        <w:gridCol w:w="3360"/>
      </w:tblGrid>
      <w:tr>
        <w:trPr>
          <w:trHeight w:val="292" w:hRule="exact"/>
        </w:trPr>
        <w:tc>
          <w:tcPr>
            <w:tcW w:w="3360" w:type="dxa"/>
            <w:tcBorders>
              <w:top w:val="nil"/>
              <w:left w:val="nil"/>
              <w:bottom w:val="nil"/>
              <w:right w:val="single" w:sz="4" w:space="0" w:color="FFFFFF"/>
            </w:tcBorders>
            <w:shd w:val="clear" w:color="auto" w:fill="949290"/>
          </w:tcPr>
          <w:p>
            <w:pPr/>
          </w:p>
        </w:tc>
        <w:tc>
          <w:tcPr>
            <w:tcW w:w="3360" w:type="dxa"/>
            <w:tcBorders>
              <w:top w:val="nil"/>
              <w:left w:val="single" w:sz="4" w:space="0" w:color="FFFFFF"/>
              <w:bottom w:val="nil"/>
              <w:right w:val="single" w:sz="4" w:space="0" w:color="FFFFFF"/>
            </w:tcBorders>
            <w:shd w:val="clear" w:color="auto" w:fill="949290"/>
          </w:tcPr>
          <w:p>
            <w:pPr>
              <w:pStyle w:val="TableParagraph"/>
              <w:spacing w:before="56"/>
              <w:ind w:left="777" w:right="777"/>
              <w:jc w:val="center"/>
              <w:rPr>
                <w:rFonts w:ascii="Gotham Narrow Bold"/>
                <w:b/>
                <w:sz w:val="16"/>
              </w:rPr>
            </w:pPr>
            <w:r>
              <w:rPr>
                <w:rFonts w:ascii="Gotham Narrow Bold"/>
                <w:b/>
                <w:color w:val="FFFFFF"/>
                <w:sz w:val="16"/>
              </w:rPr>
              <w:t>AS AT 6 JANUARY 2017</w:t>
            </w:r>
          </w:p>
        </w:tc>
        <w:tc>
          <w:tcPr>
            <w:tcW w:w="3360" w:type="dxa"/>
            <w:tcBorders>
              <w:top w:val="nil"/>
              <w:left w:val="single" w:sz="4" w:space="0" w:color="FFFFFF"/>
              <w:bottom w:val="nil"/>
              <w:right w:val="nil"/>
            </w:tcBorders>
            <w:shd w:val="clear" w:color="auto" w:fill="949290"/>
          </w:tcPr>
          <w:p>
            <w:pPr>
              <w:pStyle w:val="TableParagraph"/>
              <w:spacing w:before="56"/>
              <w:ind w:left="411" w:right="413"/>
              <w:jc w:val="center"/>
              <w:rPr>
                <w:rFonts w:ascii="Gotham Narrow Bold"/>
                <w:b/>
                <w:sz w:val="16"/>
              </w:rPr>
            </w:pPr>
            <w:r>
              <w:rPr>
                <w:rFonts w:ascii="Gotham Narrow Bold"/>
                <w:b/>
                <w:color w:val="FFFFFF"/>
                <w:w w:val="95"/>
                <w:sz w:val="16"/>
              </w:rPr>
              <w:t>INCREASE ON PREVIOUS YEAR (%)</w:t>
            </w:r>
          </w:p>
        </w:tc>
      </w:tr>
      <w:tr>
        <w:trPr>
          <w:trHeight w:val="292" w:hRule="exact"/>
        </w:trPr>
        <w:tc>
          <w:tcPr>
            <w:tcW w:w="3360" w:type="dxa"/>
            <w:tcBorders>
              <w:top w:val="nil"/>
            </w:tcBorders>
            <w:shd w:val="clear" w:color="auto" w:fill="E9E9E9"/>
          </w:tcPr>
          <w:p>
            <w:pPr>
              <w:pStyle w:val="TableParagraph"/>
              <w:spacing w:before="50"/>
              <w:ind w:left="51"/>
              <w:jc w:val="left"/>
              <w:rPr>
                <w:sz w:val="16"/>
              </w:rPr>
            </w:pPr>
            <w:r>
              <w:rPr>
                <w:sz w:val="16"/>
              </w:rPr>
              <w:t>Facebook</w:t>
            </w:r>
          </w:p>
        </w:tc>
        <w:tc>
          <w:tcPr>
            <w:tcW w:w="3360" w:type="dxa"/>
            <w:tcBorders>
              <w:top w:val="nil"/>
            </w:tcBorders>
            <w:shd w:val="clear" w:color="auto" w:fill="E9E9E9"/>
          </w:tcPr>
          <w:p>
            <w:pPr>
              <w:pStyle w:val="TableParagraph"/>
              <w:spacing w:before="50"/>
              <w:ind w:left="777" w:right="777"/>
              <w:jc w:val="center"/>
              <w:rPr>
                <w:sz w:val="16"/>
              </w:rPr>
            </w:pPr>
            <w:r>
              <w:rPr>
                <w:sz w:val="16"/>
              </w:rPr>
              <w:t>134,698</w:t>
            </w:r>
          </w:p>
        </w:tc>
        <w:tc>
          <w:tcPr>
            <w:tcW w:w="3360" w:type="dxa"/>
            <w:tcBorders>
              <w:top w:val="nil"/>
            </w:tcBorders>
            <w:shd w:val="clear" w:color="auto" w:fill="E9E9E9"/>
          </w:tcPr>
          <w:p>
            <w:pPr>
              <w:pStyle w:val="TableParagraph"/>
              <w:spacing w:before="50"/>
              <w:ind w:left="777" w:right="777"/>
              <w:jc w:val="center"/>
              <w:rPr>
                <w:sz w:val="16"/>
              </w:rPr>
            </w:pPr>
            <w:r>
              <w:rPr>
                <w:w w:val="95"/>
                <w:sz w:val="16"/>
              </w:rPr>
              <w:t>15.39</w:t>
            </w:r>
          </w:p>
        </w:tc>
      </w:tr>
      <w:tr>
        <w:trPr>
          <w:trHeight w:val="292" w:hRule="exact"/>
        </w:trPr>
        <w:tc>
          <w:tcPr>
            <w:tcW w:w="3360" w:type="dxa"/>
            <w:shd w:val="clear" w:color="auto" w:fill="E9E9E9"/>
          </w:tcPr>
          <w:p>
            <w:pPr>
              <w:pStyle w:val="TableParagraph"/>
              <w:spacing w:before="45"/>
              <w:ind w:left="51"/>
              <w:jc w:val="left"/>
              <w:rPr>
                <w:sz w:val="16"/>
              </w:rPr>
            </w:pPr>
            <w:r>
              <w:rPr>
                <w:w w:val="95"/>
                <w:sz w:val="16"/>
              </w:rPr>
              <w:t>Twitter (News)</w:t>
            </w:r>
          </w:p>
        </w:tc>
        <w:tc>
          <w:tcPr>
            <w:tcW w:w="3360" w:type="dxa"/>
            <w:shd w:val="clear" w:color="auto" w:fill="E9E9E9"/>
          </w:tcPr>
          <w:p>
            <w:pPr>
              <w:pStyle w:val="TableParagraph"/>
              <w:spacing w:before="45"/>
              <w:ind w:left="777" w:right="777"/>
              <w:jc w:val="center"/>
              <w:rPr>
                <w:sz w:val="16"/>
              </w:rPr>
            </w:pPr>
            <w:r>
              <w:rPr>
                <w:sz w:val="16"/>
              </w:rPr>
              <w:t>7,502</w:t>
            </w:r>
          </w:p>
        </w:tc>
        <w:tc>
          <w:tcPr>
            <w:tcW w:w="3360" w:type="dxa"/>
            <w:shd w:val="clear" w:color="auto" w:fill="E9E9E9"/>
          </w:tcPr>
          <w:p>
            <w:pPr>
              <w:pStyle w:val="TableParagraph"/>
              <w:spacing w:before="45"/>
              <w:ind w:left="777" w:right="777"/>
              <w:jc w:val="center"/>
              <w:rPr>
                <w:sz w:val="16"/>
              </w:rPr>
            </w:pPr>
            <w:r>
              <w:rPr>
                <w:sz w:val="16"/>
              </w:rPr>
              <w:t>6.49</w:t>
            </w:r>
          </w:p>
        </w:tc>
      </w:tr>
      <w:tr>
        <w:trPr>
          <w:trHeight w:val="292" w:hRule="exact"/>
        </w:trPr>
        <w:tc>
          <w:tcPr>
            <w:tcW w:w="3360" w:type="dxa"/>
            <w:shd w:val="clear" w:color="auto" w:fill="E9E9E9"/>
          </w:tcPr>
          <w:p>
            <w:pPr>
              <w:pStyle w:val="TableParagraph"/>
              <w:spacing w:before="45"/>
              <w:ind w:left="51"/>
              <w:jc w:val="left"/>
              <w:rPr>
                <w:sz w:val="16"/>
              </w:rPr>
            </w:pPr>
            <w:r>
              <w:rPr>
                <w:sz w:val="16"/>
              </w:rPr>
              <w:t>Twitter (Western Sydney University)</w:t>
            </w:r>
          </w:p>
        </w:tc>
        <w:tc>
          <w:tcPr>
            <w:tcW w:w="3360" w:type="dxa"/>
            <w:shd w:val="clear" w:color="auto" w:fill="E9E9E9"/>
          </w:tcPr>
          <w:p>
            <w:pPr>
              <w:pStyle w:val="TableParagraph"/>
              <w:spacing w:before="45"/>
              <w:ind w:left="777" w:right="775"/>
              <w:jc w:val="center"/>
              <w:rPr>
                <w:sz w:val="16"/>
              </w:rPr>
            </w:pPr>
            <w:r>
              <w:rPr>
                <w:w w:val="85"/>
                <w:sz w:val="16"/>
              </w:rPr>
              <w:t>5,611</w:t>
            </w:r>
          </w:p>
        </w:tc>
        <w:tc>
          <w:tcPr>
            <w:tcW w:w="3360" w:type="dxa"/>
            <w:shd w:val="clear" w:color="auto" w:fill="E9E9E9"/>
          </w:tcPr>
          <w:p>
            <w:pPr>
              <w:pStyle w:val="TableParagraph"/>
              <w:spacing w:before="45"/>
              <w:ind w:left="777" w:right="777"/>
              <w:jc w:val="center"/>
              <w:rPr>
                <w:sz w:val="16"/>
              </w:rPr>
            </w:pPr>
            <w:r>
              <w:rPr>
                <w:sz w:val="16"/>
              </w:rPr>
              <w:t>40.28</w:t>
            </w:r>
          </w:p>
        </w:tc>
      </w:tr>
      <w:tr>
        <w:trPr>
          <w:trHeight w:val="292" w:hRule="exact"/>
        </w:trPr>
        <w:tc>
          <w:tcPr>
            <w:tcW w:w="3360" w:type="dxa"/>
            <w:shd w:val="clear" w:color="auto" w:fill="E9E9E9"/>
          </w:tcPr>
          <w:p>
            <w:pPr>
              <w:pStyle w:val="TableParagraph"/>
              <w:spacing w:before="45"/>
              <w:ind w:left="51"/>
              <w:jc w:val="left"/>
              <w:rPr>
                <w:sz w:val="16"/>
              </w:rPr>
            </w:pPr>
            <w:r>
              <w:rPr>
                <w:sz w:val="16"/>
              </w:rPr>
              <w:t>YouTube</w:t>
            </w:r>
          </w:p>
        </w:tc>
        <w:tc>
          <w:tcPr>
            <w:tcW w:w="3360" w:type="dxa"/>
            <w:shd w:val="clear" w:color="auto" w:fill="E9E9E9"/>
          </w:tcPr>
          <w:p>
            <w:pPr>
              <w:pStyle w:val="TableParagraph"/>
              <w:spacing w:before="45"/>
              <w:ind w:left="777" w:right="777"/>
              <w:jc w:val="center"/>
              <w:rPr>
                <w:sz w:val="16"/>
              </w:rPr>
            </w:pPr>
            <w:r>
              <w:rPr>
                <w:sz w:val="16"/>
              </w:rPr>
              <w:t>3,347</w:t>
            </w:r>
          </w:p>
        </w:tc>
        <w:tc>
          <w:tcPr>
            <w:tcW w:w="3360" w:type="dxa"/>
            <w:shd w:val="clear" w:color="auto" w:fill="E9E9E9"/>
          </w:tcPr>
          <w:p>
            <w:pPr>
              <w:pStyle w:val="TableParagraph"/>
              <w:spacing w:before="45"/>
              <w:ind w:left="777" w:right="777"/>
              <w:jc w:val="center"/>
              <w:rPr>
                <w:sz w:val="16"/>
              </w:rPr>
            </w:pPr>
            <w:r>
              <w:rPr>
                <w:w w:val="95"/>
                <w:sz w:val="16"/>
              </w:rPr>
              <w:t>42.18</w:t>
            </w:r>
          </w:p>
        </w:tc>
      </w:tr>
      <w:tr>
        <w:trPr>
          <w:trHeight w:val="292" w:hRule="exact"/>
        </w:trPr>
        <w:tc>
          <w:tcPr>
            <w:tcW w:w="3360" w:type="dxa"/>
            <w:shd w:val="clear" w:color="auto" w:fill="E9E9E9"/>
          </w:tcPr>
          <w:p>
            <w:pPr>
              <w:pStyle w:val="TableParagraph"/>
              <w:spacing w:before="45"/>
              <w:ind w:left="51"/>
              <w:jc w:val="left"/>
              <w:rPr>
                <w:sz w:val="16"/>
              </w:rPr>
            </w:pPr>
            <w:r>
              <w:rPr>
                <w:sz w:val="16"/>
              </w:rPr>
              <w:t>Instagram</w:t>
            </w:r>
          </w:p>
        </w:tc>
        <w:tc>
          <w:tcPr>
            <w:tcW w:w="3360" w:type="dxa"/>
            <w:shd w:val="clear" w:color="auto" w:fill="E9E9E9"/>
          </w:tcPr>
          <w:p>
            <w:pPr>
              <w:pStyle w:val="TableParagraph"/>
              <w:spacing w:before="45"/>
              <w:ind w:left="777" w:right="777"/>
              <w:jc w:val="center"/>
              <w:rPr>
                <w:sz w:val="16"/>
              </w:rPr>
            </w:pPr>
            <w:r>
              <w:rPr>
                <w:sz w:val="16"/>
              </w:rPr>
              <w:t>8,553</w:t>
            </w:r>
          </w:p>
        </w:tc>
        <w:tc>
          <w:tcPr>
            <w:tcW w:w="3360" w:type="dxa"/>
            <w:shd w:val="clear" w:color="auto" w:fill="E9E9E9"/>
          </w:tcPr>
          <w:p>
            <w:pPr>
              <w:pStyle w:val="TableParagraph"/>
              <w:spacing w:before="45"/>
              <w:ind w:left="777" w:right="777"/>
              <w:jc w:val="center"/>
              <w:rPr>
                <w:sz w:val="16"/>
              </w:rPr>
            </w:pPr>
            <w:r>
              <w:rPr>
                <w:sz w:val="16"/>
              </w:rPr>
              <w:t>49.87</w:t>
            </w:r>
          </w:p>
        </w:tc>
      </w:tr>
      <w:tr>
        <w:trPr>
          <w:trHeight w:val="292" w:hRule="exact"/>
        </w:trPr>
        <w:tc>
          <w:tcPr>
            <w:tcW w:w="3360" w:type="dxa"/>
            <w:shd w:val="clear" w:color="auto" w:fill="E9E9E9"/>
          </w:tcPr>
          <w:p>
            <w:pPr>
              <w:pStyle w:val="TableParagraph"/>
              <w:spacing w:before="45"/>
              <w:ind w:left="51"/>
              <w:jc w:val="left"/>
              <w:rPr>
                <w:sz w:val="16"/>
              </w:rPr>
            </w:pPr>
            <w:r>
              <w:rPr>
                <w:sz w:val="16"/>
              </w:rPr>
              <w:t>LinkedIn</w:t>
            </w:r>
          </w:p>
        </w:tc>
        <w:tc>
          <w:tcPr>
            <w:tcW w:w="3360" w:type="dxa"/>
            <w:shd w:val="clear" w:color="auto" w:fill="E9E9E9"/>
          </w:tcPr>
          <w:p>
            <w:pPr>
              <w:pStyle w:val="TableParagraph"/>
              <w:spacing w:before="45"/>
              <w:ind w:left="777" w:right="777"/>
              <w:jc w:val="center"/>
              <w:rPr>
                <w:sz w:val="16"/>
              </w:rPr>
            </w:pPr>
            <w:r>
              <w:rPr>
                <w:sz w:val="16"/>
              </w:rPr>
              <w:t>83,595</w:t>
            </w:r>
          </w:p>
        </w:tc>
        <w:tc>
          <w:tcPr>
            <w:tcW w:w="3360" w:type="dxa"/>
            <w:shd w:val="clear" w:color="auto" w:fill="E9E9E9"/>
          </w:tcPr>
          <w:p>
            <w:pPr>
              <w:pStyle w:val="TableParagraph"/>
              <w:spacing w:before="45"/>
              <w:ind w:left="777" w:right="776"/>
              <w:jc w:val="center"/>
              <w:rPr>
                <w:sz w:val="16"/>
              </w:rPr>
            </w:pPr>
            <w:r>
              <w:rPr>
                <w:sz w:val="16"/>
              </w:rPr>
              <w:t>710.26</w:t>
            </w:r>
          </w:p>
        </w:tc>
      </w:tr>
      <w:tr>
        <w:trPr>
          <w:trHeight w:val="292" w:hRule="exact"/>
        </w:trPr>
        <w:tc>
          <w:tcPr>
            <w:tcW w:w="3360" w:type="dxa"/>
            <w:shd w:val="clear" w:color="auto" w:fill="E9E9E9"/>
          </w:tcPr>
          <w:p>
            <w:pPr>
              <w:pStyle w:val="TableParagraph"/>
              <w:spacing w:before="45"/>
              <w:ind w:left="51"/>
              <w:jc w:val="left"/>
              <w:rPr>
                <w:sz w:val="16"/>
              </w:rPr>
            </w:pPr>
            <w:r>
              <w:rPr>
                <w:sz w:val="16"/>
              </w:rPr>
              <w:t>Google+</w:t>
            </w:r>
          </w:p>
        </w:tc>
        <w:tc>
          <w:tcPr>
            <w:tcW w:w="3360" w:type="dxa"/>
            <w:shd w:val="clear" w:color="auto" w:fill="E9E9E9"/>
          </w:tcPr>
          <w:p>
            <w:pPr>
              <w:pStyle w:val="TableParagraph"/>
              <w:spacing w:before="45"/>
              <w:ind w:left="776" w:right="777"/>
              <w:jc w:val="center"/>
              <w:rPr>
                <w:sz w:val="16"/>
              </w:rPr>
            </w:pPr>
            <w:r>
              <w:rPr>
                <w:sz w:val="16"/>
              </w:rPr>
              <w:t>276</w:t>
            </w:r>
          </w:p>
        </w:tc>
        <w:tc>
          <w:tcPr>
            <w:tcW w:w="3360" w:type="dxa"/>
            <w:shd w:val="clear" w:color="auto" w:fill="E9E9E9"/>
          </w:tcPr>
          <w:p>
            <w:pPr>
              <w:pStyle w:val="TableParagraph"/>
              <w:spacing w:before="45"/>
              <w:ind w:left="777" w:right="775"/>
              <w:jc w:val="center"/>
              <w:rPr>
                <w:sz w:val="16"/>
              </w:rPr>
            </w:pPr>
            <w:r>
              <w:rPr>
                <w:w w:val="90"/>
                <w:sz w:val="16"/>
              </w:rPr>
              <w:t>1.9</w:t>
            </w:r>
          </w:p>
        </w:tc>
      </w:tr>
      <w:tr>
        <w:trPr>
          <w:trHeight w:val="292" w:hRule="exact"/>
        </w:trPr>
        <w:tc>
          <w:tcPr>
            <w:tcW w:w="3360" w:type="dxa"/>
            <w:shd w:val="clear" w:color="auto" w:fill="E9E9E9"/>
          </w:tcPr>
          <w:p>
            <w:pPr>
              <w:pStyle w:val="TableParagraph"/>
              <w:spacing w:before="45"/>
              <w:ind w:left="51"/>
              <w:jc w:val="left"/>
              <w:rPr>
                <w:sz w:val="16"/>
              </w:rPr>
            </w:pPr>
            <w:r>
              <w:rPr>
                <w:sz w:val="16"/>
              </w:rPr>
              <w:t>Snapchat</w:t>
            </w:r>
          </w:p>
        </w:tc>
        <w:tc>
          <w:tcPr>
            <w:tcW w:w="3360" w:type="dxa"/>
            <w:shd w:val="clear" w:color="auto" w:fill="E9E9E9"/>
          </w:tcPr>
          <w:p>
            <w:pPr>
              <w:pStyle w:val="TableParagraph"/>
              <w:spacing w:before="45"/>
              <w:ind w:left="777" w:right="777"/>
              <w:jc w:val="center"/>
              <w:rPr>
                <w:sz w:val="16"/>
              </w:rPr>
            </w:pPr>
            <w:r>
              <w:rPr>
                <w:w w:val="95"/>
                <w:sz w:val="16"/>
              </w:rPr>
              <w:t>1,526</w:t>
            </w:r>
          </w:p>
        </w:tc>
        <w:tc>
          <w:tcPr>
            <w:tcW w:w="3360" w:type="dxa"/>
            <w:shd w:val="clear" w:color="auto" w:fill="E9E9E9"/>
          </w:tcPr>
          <w:p>
            <w:pPr>
              <w:pStyle w:val="TableParagraph"/>
              <w:spacing w:before="45"/>
              <w:ind w:left="777" w:right="777"/>
              <w:jc w:val="center"/>
              <w:rPr>
                <w:sz w:val="16"/>
              </w:rPr>
            </w:pPr>
            <w:r>
              <w:rPr>
                <w:sz w:val="16"/>
              </w:rPr>
              <w:t>N/A (new platform)</w:t>
            </w:r>
          </w:p>
        </w:tc>
      </w:tr>
    </w:tbl>
    <w:p>
      <w:pPr>
        <w:spacing w:after="0"/>
        <w:jc w:val="center"/>
        <w:rPr>
          <w:sz w:val="16"/>
        </w:rPr>
        <w:sectPr>
          <w:type w:val="continuous"/>
          <w:pgSz w:w="11910" w:h="16840"/>
          <w:pgMar w:top="15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7"/>
        <w:rPr>
          <w:sz w:val="20"/>
        </w:rPr>
      </w:pPr>
    </w:p>
    <w:p>
      <w:pPr>
        <w:pStyle w:val="Heading7"/>
        <w:spacing w:line="249" w:lineRule="auto" w:before="1"/>
        <w:ind w:right="31"/>
      </w:pPr>
      <w:r>
        <w:rPr>
          <w:w w:val="95"/>
        </w:rPr>
        <w:t>SCHOLARSHIPS AND STUDENT </w:t>
      </w:r>
      <w:r>
        <w:rPr/>
        <w:t>ADVANCEMENT</w:t>
      </w:r>
    </w:p>
    <w:p>
      <w:pPr>
        <w:pStyle w:val="BodyText"/>
        <w:spacing w:line="249" w:lineRule="auto" w:before="50"/>
        <w:ind w:left="107" w:right="31"/>
      </w:pPr>
      <w:r>
        <w:rPr>
          <w:spacing w:val="1"/>
          <w:w w:val="80"/>
        </w:rPr>
        <w:t>In</w:t>
      </w:r>
      <w:r>
        <w:rPr>
          <w:w w:val="80"/>
        </w:rPr>
        <w:t> </w:t>
      </w:r>
      <w:r>
        <w:rPr>
          <w:spacing w:val="2"/>
          <w:w w:val="85"/>
        </w:rPr>
        <w:t>2016,</w:t>
      </w:r>
      <w:r>
        <w:rPr>
          <w:w w:val="85"/>
        </w:rPr>
        <w:t> </w:t>
      </w:r>
      <w:r>
        <w:rPr>
          <w:w w:val="97"/>
        </w:rPr>
        <w:t>the </w:t>
      </w:r>
      <w:r>
        <w:rPr>
          <w:spacing w:val="1"/>
          <w:w w:val="97"/>
        </w:rPr>
        <w:t>University</w:t>
      </w:r>
      <w:r>
        <w:rPr>
          <w:w w:val="97"/>
        </w:rPr>
        <w:t> </w:t>
      </w:r>
      <w:r>
        <w:rPr>
          <w:w w:val="98"/>
        </w:rPr>
        <w:t>offered </w:t>
      </w:r>
      <w:r>
        <w:rPr>
          <w:w w:val="97"/>
        </w:rPr>
        <w:t>more </w:t>
      </w:r>
      <w:r>
        <w:rPr>
          <w:spacing w:val="1"/>
          <w:w w:val="97"/>
        </w:rPr>
        <w:t>than</w:t>
      </w:r>
      <w:r>
        <w:rPr>
          <w:w w:val="97"/>
        </w:rPr>
        <w:t> </w:t>
      </w:r>
      <w:r>
        <w:rPr>
          <w:spacing w:val="2"/>
        </w:rPr>
        <w:t>300 </w:t>
      </w:r>
      <w:r>
        <w:rPr/>
        <w:t>University-funded scholarships to current</w:t>
      </w:r>
      <w:r>
        <w:rPr>
          <w:spacing w:val="-20"/>
        </w:rPr>
        <w:t> </w:t>
      </w:r>
      <w:r>
        <w:rPr/>
        <w:t>students,</w:t>
      </w:r>
      <w:r>
        <w:rPr>
          <w:spacing w:val="-20"/>
        </w:rPr>
        <w:t> </w:t>
      </w:r>
      <w:r>
        <w:rPr/>
        <w:t>school</w:t>
      </w:r>
      <w:r>
        <w:rPr>
          <w:spacing w:val="-20"/>
        </w:rPr>
        <w:t> </w:t>
      </w:r>
      <w:r>
        <w:rPr/>
        <w:t>leavers</w:t>
      </w:r>
      <w:r>
        <w:rPr>
          <w:spacing w:val="-20"/>
        </w:rPr>
        <w:t> </w:t>
      </w:r>
      <w:r>
        <w:rPr/>
        <w:t>and</w:t>
      </w:r>
      <w:r>
        <w:rPr>
          <w:spacing w:val="-20"/>
        </w:rPr>
        <w:t> </w:t>
      </w:r>
      <w:r>
        <w:rPr/>
        <w:t>mature age students from the Western Sydney region.</w:t>
      </w:r>
      <w:r>
        <w:rPr>
          <w:spacing w:val="-19"/>
        </w:rPr>
        <w:t> </w:t>
      </w:r>
      <w:r>
        <w:rPr/>
        <w:t>The</w:t>
      </w:r>
      <w:r>
        <w:rPr>
          <w:spacing w:val="-19"/>
        </w:rPr>
        <w:t> </w:t>
      </w:r>
      <w:r>
        <w:rPr/>
        <w:t>scholarship</w:t>
      </w:r>
      <w:r>
        <w:rPr>
          <w:spacing w:val="-19"/>
        </w:rPr>
        <w:t> </w:t>
      </w:r>
      <w:r>
        <w:rPr/>
        <w:t>program</w:t>
      </w:r>
      <w:r>
        <w:rPr>
          <w:spacing w:val="-19"/>
        </w:rPr>
        <w:t> </w:t>
      </w:r>
      <w:r>
        <w:rPr/>
        <w:t>recognises a</w:t>
      </w:r>
      <w:r>
        <w:rPr>
          <w:spacing w:val="-15"/>
        </w:rPr>
        <w:t> </w:t>
      </w:r>
      <w:r>
        <w:rPr/>
        <w:t>number</w:t>
      </w:r>
      <w:r>
        <w:rPr>
          <w:spacing w:val="-15"/>
        </w:rPr>
        <w:t> </w:t>
      </w:r>
      <w:r>
        <w:rPr/>
        <w:t>of</w:t>
      </w:r>
      <w:r>
        <w:rPr>
          <w:spacing w:val="-15"/>
        </w:rPr>
        <w:t> </w:t>
      </w:r>
      <w:r>
        <w:rPr/>
        <w:t>categories,</w:t>
      </w:r>
      <w:r>
        <w:rPr>
          <w:spacing w:val="-15"/>
        </w:rPr>
        <w:t> </w:t>
      </w:r>
      <w:r>
        <w:rPr/>
        <w:t>including</w:t>
      </w:r>
      <w:r>
        <w:rPr>
          <w:spacing w:val="-15"/>
        </w:rPr>
        <w:t> </w:t>
      </w:r>
      <w:r>
        <w:rPr/>
        <w:t>academic achievement, leadership, community involvement</w:t>
      </w:r>
      <w:r>
        <w:rPr>
          <w:spacing w:val="-26"/>
        </w:rPr>
        <w:t> </w:t>
      </w:r>
      <w:r>
        <w:rPr/>
        <w:t>and</w:t>
      </w:r>
      <w:r>
        <w:rPr>
          <w:spacing w:val="-26"/>
        </w:rPr>
        <w:t> </w:t>
      </w:r>
      <w:r>
        <w:rPr/>
        <w:t>disadvantage.</w:t>
      </w:r>
    </w:p>
    <w:p>
      <w:pPr>
        <w:pStyle w:val="BodyText"/>
        <w:rPr>
          <w:sz w:val="14"/>
        </w:rPr>
      </w:pPr>
    </w:p>
    <w:p>
      <w:pPr>
        <w:pStyle w:val="BodyText"/>
        <w:spacing w:line="249" w:lineRule="auto"/>
        <w:ind w:left="107" w:right="33"/>
      </w:pPr>
      <w:r>
        <w:rPr/>
        <w:t>The scholarships reward students who achieve excellence and also provide opportunities to those who may not otherwise be able to study at university. Generous community donors also continue to enrich the scholarship program.</w:t>
      </w:r>
    </w:p>
    <w:p>
      <w:pPr>
        <w:pStyle w:val="BodyText"/>
        <w:rPr>
          <w:sz w:val="14"/>
        </w:rPr>
      </w:pPr>
    </w:p>
    <w:p>
      <w:pPr>
        <w:pStyle w:val="BodyText"/>
        <w:spacing w:line="249" w:lineRule="auto"/>
        <w:ind w:left="107" w:right="-4"/>
      </w:pPr>
      <w:r>
        <w:rPr/>
        <w:t>The</w:t>
      </w:r>
      <w:r>
        <w:rPr>
          <w:spacing w:val="-15"/>
        </w:rPr>
        <w:t> </w:t>
      </w:r>
      <w:r>
        <w:rPr/>
        <w:t>Scholarships</w:t>
      </w:r>
      <w:r>
        <w:rPr>
          <w:spacing w:val="-15"/>
        </w:rPr>
        <w:t> </w:t>
      </w:r>
      <w:r>
        <w:rPr/>
        <w:t>and</w:t>
      </w:r>
      <w:r>
        <w:rPr>
          <w:spacing w:val="-15"/>
        </w:rPr>
        <w:t> </w:t>
      </w:r>
      <w:r>
        <w:rPr/>
        <w:t>Student</w:t>
      </w:r>
      <w:r>
        <w:rPr>
          <w:spacing w:val="-15"/>
        </w:rPr>
        <w:t> </w:t>
      </w:r>
      <w:r>
        <w:rPr/>
        <w:t>Advancement team</w:t>
      </w:r>
      <w:r>
        <w:rPr>
          <w:spacing w:val="-17"/>
        </w:rPr>
        <w:t> </w:t>
      </w:r>
      <w:r>
        <w:rPr/>
        <w:t>continues</w:t>
      </w:r>
      <w:r>
        <w:rPr>
          <w:spacing w:val="-17"/>
        </w:rPr>
        <w:t> </w:t>
      </w:r>
      <w:r>
        <w:rPr/>
        <w:t>to</w:t>
      </w:r>
      <w:r>
        <w:rPr>
          <w:spacing w:val="-17"/>
        </w:rPr>
        <w:t> </w:t>
      </w:r>
      <w:r>
        <w:rPr/>
        <w:t>build</w:t>
      </w:r>
      <w:r>
        <w:rPr>
          <w:spacing w:val="-17"/>
        </w:rPr>
        <w:t> </w:t>
      </w:r>
      <w:r>
        <w:rPr/>
        <w:t>strong</w:t>
      </w:r>
      <w:r>
        <w:rPr>
          <w:spacing w:val="-17"/>
        </w:rPr>
        <w:t> </w:t>
      </w:r>
      <w:r>
        <w:rPr/>
        <w:t>relationships with</w:t>
      </w:r>
      <w:r>
        <w:rPr>
          <w:spacing w:val="-16"/>
        </w:rPr>
        <w:t> </w:t>
      </w:r>
      <w:r>
        <w:rPr/>
        <w:t>a</w:t>
      </w:r>
      <w:r>
        <w:rPr>
          <w:spacing w:val="-16"/>
        </w:rPr>
        <w:t> </w:t>
      </w:r>
      <w:r>
        <w:rPr/>
        <w:t>number</w:t>
      </w:r>
      <w:r>
        <w:rPr>
          <w:spacing w:val="-16"/>
        </w:rPr>
        <w:t> </w:t>
      </w:r>
      <w:r>
        <w:rPr/>
        <w:t>of</w:t>
      </w:r>
      <w:r>
        <w:rPr>
          <w:spacing w:val="-16"/>
        </w:rPr>
        <w:t> </w:t>
      </w:r>
      <w:r>
        <w:rPr/>
        <w:t>high</w:t>
      </w:r>
      <w:r>
        <w:rPr>
          <w:spacing w:val="-16"/>
        </w:rPr>
        <w:t> </w:t>
      </w:r>
      <w:r>
        <w:rPr/>
        <w:t>schools</w:t>
      </w:r>
      <w:r>
        <w:rPr>
          <w:spacing w:val="-16"/>
        </w:rPr>
        <w:t> </w:t>
      </w:r>
      <w:r>
        <w:rPr/>
        <w:t>in</w:t>
      </w:r>
      <w:r>
        <w:rPr>
          <w:spacing w:val="-16"/>
        </w:rPr>
        <w:t> </w:t>
      </w:r>
      <w:r>
        <w:rPr/>
        <w:t>the</w:t>
      </w:r>
      <w:r>
        <w:rPr>
          <w:spacing w:val="-16"/>
        </w:rPr>
        <w:t> </w:t>
      </w:r>
      <w:r>
        <w:rPr/>
        <w:t>region, offering masterclasses for students and providing information about available scholarships</w:t>
      </w:r>
      <w:r>
        <w:rPr>
          <w:spacing w:val="-18"/>
        </w:rPr>
        <w:t> </w:t>
      </w:r>
      <w:r>
        <w:rPr/>
        <w:t>and</w:t>
      </w:r>
      <w:r>
        <w:rPr>
          <w:spacing w:val="-18"/>
        </w:rPr>
        <w:t> </w:t>
      </w:r>
      <w:r>
        <w:rPr/>
        <w:t>the</w:t>
      </w:r>
      <w:r>
        <w:rPr>
          <w:spacing w:val="-18"/>
        </w:rPr>
        <w:t> </w:t>
      </w:r>
      <w:r>
        <w:rPr/>
        <w:t>application</w:t>
      </w:r>
      <w:r>
        <w:rPr>
          <w:spacing w:val="-18"/>
        </w:rPr>
        <w:t> </w:t>
      </w:r>
      <w:r>
        <w:rPr/>
        <w:t>process.</w:t>
      </w:r>
    </w:p>
    <w:p>
      <w:pPr>
        <w:pStyle w:val="BodyText"/>
        <w:rPr>
          <w:sz w:val="14"/>
        </w:rPr>
      </w:pPr>
    </w:p>
    <w:p>
      <w:pPr>
        <w:pStyle w:val="BodyText"/>
        <w:spacing w:line="249" w:lineRule="auto"/>
        <w:ind w:left="107" w:right="195"/>
      </w:pPr>
      <w:r>
        <w:rPr/>
        <w:t>This</w:t>
      </w:r>
      <w:r>
        <w:rPr>
          <w:spacing w:val="-19"/>
        </w:rPr>
        <w:t> </w:t>
      </w:r>
      <w:r>
        <w:rPr/>
        <w:t>year,</w:t>
      </w:r>
      <w:r>
        <w:rPr>
          <w:spacing w:val="-19"/>
        </w:rPr>
        <w:t> </w:t>
      </w:r>
      <w:r>
        <w:rPr/>
        <w:t>five</w:t>
      </w:r>
      <w:r>
        <w:rPr>
          <w:spacing w:val="-19"/>
        </w:rPr>
        <w:t> </w:t>
      </w:r>
      <w:r>
        <w:rPr/>
        <w:t>students</w:t>
      </w:r>
      <w:r>
        <w:rPr>
          <w:spacing w:val="-19"/>
        </w:rPr>
        <w:t> </w:t>
      </w:r>
      <w:r>
        <w:rPr/>
        <w:t>received</w:t>
      </w:r>
      <w:r>
        <w:rPr>
          <w:spacing w:val="-19"/>
        </w:rPr>
        <w:t> </w:t>
      </w:r>
      <w:r>
        <w:rPr/>
        <w:t>the</w:t>
      </w:r>
      <w:r>
        <w:rPr>
          <w:spacing w:val="-19"/>
        </w:rPr>
        <w:t> </w:t>
      </w:r>
      <w:r>
        <w:rPr/>
        <w:t>Vice- Chancellor’s</w:t>
      </w:r>
      <w:r>
        <w:rPr>
          <w:spacing w:val="-26"/>
        </w:rPr>
        <w:t> </w:t>
      </w:r>
      <w:r>
        <w:rPr/>
        <w:t>Leadership</w:t>
      </w:r>
      <w:r>
        <w:rPr>
          <w:spacing w:val="-26"/>
        </w:rPr>
        <w:t> </w:t>
      </w:r>
      <w:r>
        <w:rPr/>
        <w:t>Scholarship.</w:t>
      </w:r>
    </w:p>
    <w:p>
      <w:pPr>
        <w:pStyle w:val="BodyText"/>
        <w:spacing w:before="3"/>
        <w:rPr>
          <w:sz w:val="19"/>
        </w:rPr>
      </w:pPr>
    </w:p>
    <w:p>
      <w:pPr>
        <w:pStyle w:val="Heading7"/>
        <w:ind w:right="31"/>
      </w:pPr>
      <w:r>
        <w:rPr>
          <w:w w:val="95"/>
        </w:rPr>
        <w:t>INDIGENOUS MARKETING OUTREACH</w:t>
      </w:r>
    </w:p>
    <w:p>
      <w:pPr>
        <w:pStyle w:val="BodyText"/>
        <w:spacing w:line="249" w:lineRule="auto" w:before="58"/>
        <w:ind w:left="107" w:right="142"/>
      </w:pPr>
      <w:r>
        <w:rPr/>
        <w:t>Throughout the year, the Indigenous Marketing team delivered in-school presentations, attended careers markets, arranged and delivered information evenings, and visited schools and Aboriginal and Torres Strait Islander communities throughout the state.</w:t>
      </w:r>
    </w:p>
    <w:p>
      <w:pPr>
        <w:pStyle w:val="BodyText"/>
        <w:spacing w:before="5"/>
        <w:rPr>
          <w:sz w:val="21"/>
        </w:rPr>
      </w:pPr>
      <w:r>
        <w:rPr/>
        <w:br w:type="column"/>
      </w:r>
      <w:r>
        <w:rPr>
          <w:sz w:val="21"/>
        </w:rPr>
      </w:r>
    </w:p>
    <w:p>
      <w:pPr>
        <w:spacing w:line="260" w:lineRule="exact" w:before="0"/>
        <w:ind w:left="107" w:right="-9" w:firstLine="0"/>
        <w:jc w:val="left"/>
        <w:rPr>
          <w:rFonts w:ascii="Gotham Narrow Bold"/>
          <w:b/>
          <w:sz w:val="24"/>
        </w:rPr>
      </w:pPr>
      <w:r>
        <w:rPr>
          <w:rFonts w:ascii="Gotham Narrow Bold"/>
          <w:b/>
          <w:sz w:val="24"/>
        </w:rPr>
        <w:t>WESTERN SYDNEY </w:t>
      </w:r>
      <w:r>
        <w:rPr>
          <w:rFonts w:ascii="Gotham Narrow Bold"/>
          <w:b/>
          <w:w w:val="95"/>
          <w:sz w:val="24"/>
        </w:rPr>
        <w:t>UNIVERSITY ART</w:t>
      </w:r>
      <w:r>
        <w:rPr>
          <w:rFonts w:ascii="Gotham Narrow Bold"/>
          <w:b/>
          <w:spacing w:val="-16"/>
          <w:w w:val="95"/>
          <w:sz w:val="24"/>
        </w:rPr>
        <w:t> </w:t>
      </w:r>
      <w:r>
        <w:rPr>
          <w:rFonts w:ascii="Gotham Narrow Bold"/>
          <w:b/>
          <w:spacing w:val="-4"/>
          <w:w w:val="95"/>
          <w:sz w:val="24"/>
        </w:rPr>
        <w:t>COLLECTION</w:t>
      </w:r>
    </w:p>
    <w:p>
      <w:pPr>
        <w:pStyle w:val="BodyText"/>
        <w:spacing w:line="249" w:lineRule="auto" w:before="101"/>
        <w:ind w:left="107" w:right="113"/>
      </w:pPr>
      <w:r>
        <w:rPr/>
        <w:t>Western Sydney University’s </w:t>
      </w:r>
      <w:r>
        <w:rPr>
          <w:spacing w:val="2"/>
        </w:rPr>
        <w:t>art </w:t>
      </w:r>
      <w:r>
        <w:rPr/>
        <w:t>collection contains </w:t>
      </w:r>
      <w:r>
        <w:rPr>
          <w:spacing w:val="3"/>
        </w:rPr>
        <w:t>1,383 </w:t>
      </w:r>
      <w:r>
        <w:rPr/>
        <w:t>pieces, which are valued every</w:t>
      </w:r>
      <w:r>
        <w:rPr>
          <w:spacing w:val="-20"/>
        </w:rPr>
        <w:t> </w:t>
      </w:r>
      <w:r>
        <w:rPr/>
        <w:t>three</w:t>
      </w:r>
      <w:r>
        <w:rPr>
          <w:spacing w:val="-20"/>
        </w:rPr>
        <w:t> </w:t>
      </w:r>
      <w:r>
        <w:rPr/>
        <w:t>years.</w:t>
      </w:r>
      <w:r>
        <w:rPr>
          <w:spacing w:val="-20"/>
        </w:rPr>
        <w:t> </w:t>
      </w:r>
      <w:r>
        <w:rPr/>
        <w:t>In</w:t>
      </w:r>
      <w:r>
        <w:rPr>
          <w:spacing w:val="-20"/>
        </w:rPr>
        <w:t> </w:t>
      </w:r>
      <w:r>
        <w:rPr/>
        <w:t>December</w:t>
      </w:r>
      <w:r>
        <w:rPr>
          <w:spacing w:val="-20"/>
        </w:rPr>
        <w:t> </w:t>
      </w:r>
      <w:r>
        <w:rPr/>
        <w:t>it</w:t>
      </w:r>
      <w:r>
        <w:rPr>
          <w:spacing w:val="-20"/>
        </w:rPr>
        <w:t> </w:t>
      </w:r>
      <w:r>
        <w:rPr/>
        <w:t>was</w:t>
      </w:r>
      <w:r>
        <w:rPr>
          <w:spacing w:val="-20"/>
        </w:rPr>
        <w:t> </w:t>
      </w:r>
      <w:r>
        <w:rPr/>
        <w:t>valued at </w:t>
      </w:r>
      <w:r>
        <w:rPr>
          <w:spacing w:val="3"/>
        </w:rPr>
        <w:t>$5,356,900, </w:t>
      </w:r>
      <w:r>
        <w:rPr/>
        <w:t>with its fair market value </w:t>
      </w:r>
      <w:r>
        <w:rPr>
          <w:spacing w:val="1"/>
          <w:w w:val="98"/>
        </w:rPr>
        <w:t>determined</w:t>
      </w:r>
      <w:r>
        <w:rPr>
          <w:w w:val="98"/>
        </w:rPr>
        <w:t> </w:t>
      </w:r>
      <w:r>
        <w:rPr>
          <w:spacing w:val="-1"/>
          <w:w w:val="101"/>
        </w:rPr>
        <w:t>to</w:t>
      </w:r>
      <w:r>
        <w:rPr>
          <w:w w:val="101"/>
        </w:rPr>
        <w:t> </w:t>
      </w:r>
      <w:r>
        <w:rPr>
          <w:spacing w:val="1"/>
          <w:w w:val="99"/>
        </w:rPr>
        <w:t>be</w:t>
      </w:r>
      <w:r>
        <w:rPr>
          <w:spacing w:val="-14"/>
          <w:w w:val="99"/>
        </w:rPr>
        <w:t> </w:t>
      </w:r>
      <w:r>
        <w:rPr>
          <w:spacing w:val="2"/>
          <w:w w:val="90"/>
        </w:rPr>
        <w:t>$4,192,400.</w:t>
      </w:r>
    </w:p>
    <w:p>
      <w:pPr>
        <w:pStyle w:val="BodyText"/>
        <w:spacing w:before="3"/>
        <w:rPr>
          <w:sz w:val="19"/>
        </w:rPr>
      </w:pPr>
    </w:p>
    <w:p>
      <w:pPr>
        <w:pStyle w:val="Heading7"/>
        <w:ind w:right="-8"/>
      </w:pPr>
      <w:r>
        <w:rPr>
          <w:w w:val="95"/>
        </w:rPr>
        <w:t>ARTWORK ACQUISITION</w:t>
      </w:r>
    </w:p>
    <w:p>
      <w:pPr>
        <w:pStyle w:val="BodyText"/>
        <w:spacing w:line="249" w:lineRule="auto" w:before="58"/>
        <w:ind w:left="107" w:right="-8"/>
      </w:pPr>
      <w:r>
        <w:rPr>
          <w:w w:val="80"/>
        </w:rPr>
        <w:t>In </w:t>
      </w:r>
      <w:r>
        <w:rPr>
          <w:w w:val="85"/>
        </w:rPr>
        <w:t>2016, </w:t>
      </w:r>
      <w:r>
        <w:rPr>
          <w:w w:val="97"/>
        </w:rPr>
        <w:t>there </w:t>
      </w:r>
      <w:r>
        <w:rPr>
          <w:w w:val="97"/>
        </w:rPr>
        <w:t>were </w:t>
      </w:r>
      <w:r>
        <w:rPr>
          <w:w w:val="101"/>
        </w:rPr>
        <w:t>two </w:t>
      </w:r>
      <w:r>
        <w:rPr>
          <w:w w:val="97"/>
        </w:rPr>
        <w:t>sculptural </w:t>
      </w:r>
      <w:r>
        <w:rPr>
          <w:w w:val="96"/>
        </w:rPr>
        <w:t>installations </w:t>
      </w:r>
      <w:r>
        <w:rPr/>
        <w:t>commissioned. One, titled “Dreaming Tracks” by Chris Edwards, is to be located in the Kingswood Plaza on Kingswood Campus.</w:t>
      </w:r>
    </w:p>
    <w:p>
      <w:pPr>
        <w:pStyle w:val="BodyText"/>
        <w:spacing w:line="249" w:lineRule="auto"/>
        <w:ind w:left="107" w:right="-1"/>
      </w:pPr>
      <w:r>
        <w:rPr/>
        <w:t>The other is a major sculptural installation by the artist Jason Wing, for the Australia-China Institute</w:t>
      </w:r>
      <w:r>
        <w:rPr>
          <w:spacing w:val="-17"/>
        </w:rPr>
        <w:t> </w:t>
      </w:r>
      <w:r>
        <w:rPr/>
        <w:t>of</w:t>
      </w:r>
      <w:r>
        <w:rPr>
          <w:spacing w:val="-17"/>
        </w:rPr>
        <w:t> </w:t>
      </w:r>
      <w:r>
        <w:rPr>
          <w:spacing w:val="2"/>
        </w:rPr>
        <w:t>Art</w:t>
      </w:r>
      <w:r>
        <w:rPr>
          <w:spacing w:val="-17"/>
        </w:rPr>
        <w:t> </w:t>
      </w:r>
      <w:r>
        <w:rPr/>
        <w:t>and</w:t>
      </w:r>
      <w:r>
        <w:rPr>
          <w:spacing w:val="-17"/>
        </w:rPr>
        <w:t> </w:t>
      </w:r>
      <w:r>
        <w:rPr/>
        <w:t>Culture,</w:t>
      </w:r>
      <w:r>
        <w:rPr>
          <w:spacing w:val="-17"/>
        </w:rPr>
        <w:t> </w:t>
      </w:r>
      <w:r>
        <w:rPr/>
        <w:t>and</w:t>
      </w:r>
      <w:r>
        <w:rPr>
          <w:spacing w:val="-17"/>
        </w:rPr>
        <w:t> </w:t>
      </w:r>
      <w:r>
        <w:rPr/>
        <w:t>will</w:t>
      </w:r>
      <w:r>
        <w:rPr>
          <w:spacing w:val="-17"/>
        </w:rPr>
        <w:t> </w:t>
      </w:r>
      <w:r>
        <w:rPr/>
        <w:t>be</w:t>
      </w:r>
      <w:r>
        <w:rPr>
          <w:spacing w:val="-17"/>
        </w:rPr>
        <w:t> </w:t>
      </w:r>
      <w:r>
        <w:rPr/>
        <w:t>located in the foyer of Building </w:t>
      </w:r>
      <w:r>
        <w:rPr>
          <w:spacing w:val="2"/>
        </w:rPr>
        <w:t>EA </w:t>
      </w:r>
      <w:r>
        <w:rPr/>
        <w:t>on Parramatta </w:t>
      </w:r>
      <w:r>
        <w:rPr>
          <w:spacing w:val="2"/>
        </w:rPr>
        <w:t>Campus. </w:t>
      </w:r>
      <w:r>
        <w:rPr/>
        <w:t>A photographic portrait of a former Western Sydney University Vice-Chancellor, Professor Deryck Schreuder, by University photographer Sally Tsoutas, was also commissioned. It is expected these artworks </w:t>
      </w:r>
      <w:r>
        <w:rPr>
          <w:w w:val="97"/>
        </w:rPr>
        <w:t>will </w:t>
      </w:r>
      <w:r>
        <w:rPr>
          <w:spacing w:val="1"/>
          <w:w w:val="99"/>
        </w:rPr>
        <w:t>be</w:t>
      </w:r>
      <w:r>
        <w:rPr>
          <w:w w:val="99"/>
        </w:rPr>
        <w:t> </w:t>
      </w:r>
      <w:r>
        <w:rPr>
          <w:spacing w:val="1"/>
          <w:w w:val="96"/>
        </w:rPr>
        <w:t>finalised</w:t>
      </w:r>
      <w:r>
        <w:rPr>
          <w:w w:val="96"/>
        </w:rPr>
        <w:t> </w:t>
      </w:r>
      <w:r>
        <w:rPr>
          <w:w w:val="95"/>
        </w:rPr>
        <w:t>in</w:t>
      </w:r>
      <w:r>
        <w:rPr>
          <w:spacing w:val="-26"/>
          <w:w w:val="95"/>
        </w:rPr>
        <w:t> </w:t>
      </w:r>
      <w:r>
        <w:rPr>
          <w:spacing w:val="-2"/>
          <w:w w:val="83"/>
        </w:rPr>
        <w:t>2017.</w:t>
      </w:r>
    </w:p>
    <w:p>
      <w:pPr>
        <w:pStyle w:val="BodyText"/>
        <w:rPr>
          <w:sz w:val="14"/>
        </w:rPr>
      </w:pPr>
    </w:p>
    <w:p>
      <w:pPr>
        <w:pStyle w:val="BodyText"/>
        <w:spacing w:line="249" w:lineRule="auto"/>
        <w:ind w:left="107" w:right="-8"/>
      </w:pPr>
      <w:r>
        <w:rPr>
          <w:spacing w:val="1"/>
          <w:w w:val="80"/>
        </w:rPr>
        <w:t>In</w:t>
      </w:r>
      <w:r>
        <w:rPr>
          <w:w w:val="80"/>
        </w:rPr>
        <w:t> </w:t>
      </w:r>
      <w:r>
        <w:rPr>
          <w:spacing w:val="2"/>
          <w:w w:val="85"/>
        </w:rPr>
        <w:t>2016,</w:t>
      </w:r>
      <w:r>
        <w:rPr>
          <w:w w:val="85"/>
        </w:rPr>
        <w:t> </w:t>
      </w:r>
      <w:r>
        <w:rPr>
          <w:w w:val="101"/>
        </w:rPr>
        <w:t>two </w:t>
      </w:r>
      <w:r>
        <w:rPr>
          <w:spacing w:val="1"/>
          <w:w w:val="98"/>
        </w:rPr>
        <w:t>commissioned</w:t>
      </w:r>
      <w:r>
        <w:rPr>
          <w:w w:val="98"/>
        </w:rPr>
        <w:t> </w:t>
      </w:r>
      <w:r>
        <w:rPr>
          <w:spacing w:val="2"/>
          <w:w w:val="97"/>
        </w:rPr>
        <w:t>artworks</w:t>
      </w:r>
      <w:r>
        <w:rPr>
          <w:w w:val="97"/>
        </w:rPr>
        <w:t> </w:t>
      </w:r>
      <w:r>
        <w:rPr>
          <w:w w:val="97"/>
        </w:rPr>
        <w:t>were </w:t>
      </w:r>
      <w:r>
        <w:rPr/>
        <w:t>completed:</w:t>
      </w:r>
      <w:r>
        <w:rPr>
          <w:spacing w:val="-17"/>
        </w:rPr>
        <w:t> </w:t>
      </w:r>
      <w:r>
        <w:rPr/>
        <w:t>the</w:t>
      </w:r>
      <w:r>
        <w:rPr>
          <w:spacing w:val="-17"/>
        </w:rPr>
        <w:t> </w:t>
      </w:r>
      <w:r>
        <w:rPr/>
        <w:t>portrait</w:t>
      </w:r>
      <w:r>
        <w:rPr>
          <w:spacing w:val="-17"/>
        </w:rPr>
        <w:t> </w:t>
      </w:r>
      <w:r>
        <w:rPr/>
        <w:t>of</w:t>
      </w:r>
      <w:r>
        <w:rPr>
          <w:spacing w:val="-17"/>
        </w:rPr>
        <w:t> </w:t>
      </w:r>
      <w:r>
        <w:rPr/>
        <w:t>the</w:t>
      </w:r>
      <w:r>
        <w:rPr>
          <w:spacing w:val="-17"/>
        </w:rPr>
        <w:t> </w:t>
      </w:r>
      <w:r>
        <w:rPr/>
        <w:t>Vice-Chancellor, Professor Barney Glover, painted by Tianli Zu and a portrait of the Chancellor, Professor Peter</w:t>
      </w:r>
      <w:r>
        <w:rPr>
          <w:spacing w:val="-20"/>
        </w:rPr>
        <w:t> </w:t>
      </w:r>
      <w:r>
        <w:rPr/>
        <w:t>Shergold,</w:t>
      </w:r>
      <w:r>
        <w:rPr>
          <w:spacing w:val="-20"/>
        </w:rPr>
        <w:t> </w:t>
      </w:r>
      <w:r>
        <w:rPr/>
        <w:t>painted</w:t>
      </w:r>
      <w:r>
        <w:rPr>
          <w:spacing w:val="-20"/>
        </w:rPr>
        <w:t> </w:t>
      </w:r>
      <w:r>
        <w:rPr/>
        <w:t>by</w:t>
      </w:r>
      <w:r>
        <w:rPr>
          <w:spacing w:val="-20"/>
        </w:rPr>
        <w:t> </w:t>
      </w:r>
      <w:r>
        <w:rPr/>
        <w:t>Marcus</w:t>
      </w:r>
      <w:r>
        <w:rPr>
          <w:spacing w:val="-20"/>
        </w:rPr>
        <w:t> </w:t>
      </w:r>
      <w:r>
        <w:rPr/>
        <w:t>Callum.</w:t>
      </w:r>
    </w:p>
    <w:p>
      <w:pPr>
        <w:pStyle w:val="BodyText"/>
        <w:rPr>
          <w:sz w:val="14"/>
        </w:rPr>
      </w:pPr>
    </w:p>
    <w:p>
      <w:pPr>
        <w:pStyle w:val="BodyText"/>
        <w:spacing w:line="249" w:lineRule="auto"/>
        <w:ind w:left="107" w:right="179"/>
      </w:pPr>
      <w:r>
        <w:rPr/>
        <w:t>The University also acquired the winner of </w:t>
      </w:r>
      <w:r>
        <w:rPr>
          <w:w w:val="97"/>
        </w:rPr>
        <w:t>the </w:t>
      </w:r>
      <w:r>
        <w:rPr>
          <w:w w:val="90"/>
        </w:rPr>
        <w:t>2016 </w:t>
      </w:r>
      <w:r>
        <w:rPr>
          <w:w w:val="98"/>
        </w:rPr>
        <w:t>Western </w:t>
      </w:r>
      <w:r>
        <w:rPr>
          <w:w w:val="99"/>
        </w:rPr>
        <w:t>Sydney </w:t>
      </w:r>
      <w:r>
        <w:rPr>
          <w:w w:val="98"/>
        </w:rPr>
        <w:t>Sculpture </w:t>
      </w:r>
      <w:r>
        <w:rPr>
          <w:w w:val="95"/>
        </w:rPr>
        <w:t>Award, </w:t>
      </w:r>
      <w:r>
        <w:rPr/>
        <w:t>Michael Purdy’s, sand stone sculpture “The long term perils of short term politics”, which is now located at Campbelltown campus. Furthermore, the Indian Council for Cultural Relations donated to the School of Law a sculpture of Dr Bhimrao Ramji Ambedkar, created by the Indian artist, Gautum Pal and to be located in</w:t>
      </w:r>
    </w:p>
    <w:p>
      <w:pPr>
        <w:pStyle w:val="BodyText"/>
        <w:spacing w:line="192" w:lineRule="exact"/>
        <w:ind w:left="107" w:right="-8"/>
      </w:pPr>
      <w:r>
        <w:rPr/>
        <w:t>the Moot Court on Parramatta Campus.</w:t>
      </w:r>
    </w:p>
    <w:p>
      <w:pPr>
        <w:pStyle w:val="BodyText"/>
        <w:spacing w:before="7"/>
        <w:rPr>
          <w:sz w:val="14"/>
        </w:rPr>
      </w:pPr>
    </w:p>
    <w:p>
      <w:pPr>
        <w:pStyle w:val="BodyText"/>
        <w:spacing w:line="249" w:lineRule="auto" w:before="1"/>
        <w:ind w:left="107" w:right="80"/>
      </w:pPr>
      <w:r>
        <w:rPr>
          <w:w w:val="80"/>
        </w:rPr>
        <w:t>In </w:t>
      </w:r>
      <w:r>
        <w:rPr>
          <w:w w:val="85"/>
        </w:rPr>
        <w:t>2016, </w:t>
      </w:r>
      <w:r>
        <w:rPr>
          <w:w w:val="97"/>
        </w:rPr>
        <w:t>the </w:t>
      </w:r>
      <w:r>
        <w:rPr>
          <w:w w:val="97"/>
        </w:rPr>
        <w:t>University </w:t>
      </w:r>
      <w:r>
        <w:rPr>
          <w:w w:val="97"/>
        </w:rPr>
        <w:t>lent </w:t>
      </w:r>
      <w:r>
        <w:rPr>
          <w:w w:val="97"/>
        </w:rPr>
        <w:t>Griffith </w:t>
      </w:r>
      <w:r>
        <w:rPr>
          <w:w w:val="97"/>
        </w:rPr>
        <w:t>University </w:t>
      </w:r>
      <w:r>
        <w:rPr/>
        <w:t>8 works by Rosangelo Renno for their Brisbane exhibition, “Reparative Aesthetics”.</w:t>
      </w:r>
    </w:p>
    <w:p>
      <w:pPr>
        <w:pStyle w:val="BodyText"/>
        <w:spacing w:before="3"/>
        <w:rPr>
          <w:sz w:val="19"/>
        </w:rPr>
      </w:pPr>
    </w:p>
    <w:p>
      <w:pPr>
        <w:pStyle w:val="Heading7"/>
        <w:spacing w:line="249" w:lineRule="auto"/>
        <w:ind w:right="-8"/>
      </w:pPr>
      <w:r>
        <w:rPr>
          <w:w w:val="95"/>
        </w:rPr>
        <w:t>ART PROMOTION AND COLLECTION ADVISORY COMMITTEE</w:t>
      </w:r>
    </w:p>
    <w:p>
      <w:pPr>
        <w:pStyle w:val="BodyText"/>
        <w:spacing w:line="249" w:lineRule="auto" w:before="50"/>
        <w:ind w:left="107" w:right="-8"/>
      </w:pPr>
      <w:r>
        <w:rPr/>
        <w:t>The</w:t>
      </w:r>
      <w:r>
        <w:rPr>
          <w:spacing w:val="-14"/>
        </w:rPr>
        <w:t> </w:t>
      </w:r>
      <w:r>
        <w:rPr/>
        <w:t>Western</w:t>
      </w:r>
      <w:r>
        <w:rPr>
          <w:spacing w:val="-14"/>
        </w:rPr>
        <w:t> </w:t>
      </w:r>
      <w:r>
        <w:rPr/>
        <w:t>Sydney</w:t>
      </w:r>
      <w:r>
        <w:rPr>
          <w:spacing w:val="-14"/>
        </w:rPr>
        <w:t> </w:t>
      </w:r>
      <w:r>
        <w:rPr/>
        <w:t>University</w:t>
      </w:r>
      <w:r>
        <w:rPr>
          <w:spacing w:val="-14"/>
        </w:rPr>
        <w:t> </w:t>
      </w:r>
      <w:r>
        <w:rPr>
          <w:spacing w:val="2"/>
        </w:rPr>
        <w:t>Art</w:t>
      </w:r>
      <w:r>
        <w:rPr>
          <w:spacing w:val="-14"/>
        </w:rPr>
        <w:t> </w:t>
      </w:r>
      <w:r>
        <w:rPr/>
        <w:t>Promotion and Collection Advisory Committee provides strategic guidance and advice on the </w:t>
      </w:r>
      <w:r>
        <w:rPr>
          <w:spacing w:val="2"/>
        </w:rPr>
        <w:t>Art </w:t>
      </w:r>
      <w:r>
        <w:rPr/>
        <w:t>Collection and its promotion. The committee </w:t>
      </w:r>
      <w:r>
        <w:rPr>
          <w:w w:val="98"/>
        </w:rPr>
        <w:t>met </w:t>
      </w:r>
      <w:r>
        <w:rPr>
          <w:w w:val="99"/>
        </w:rPr>
        <w:t>twice </w:t>
      </w:r>
      <w:r>
        <w:rPr>
          <w:w w:val="95"/>
        </w:rPr>
        <w:t>in</w:t>
      </w:r>
      <w:r>
        <w:rPr>
          <w:spacing w:val="-19"/>
          <w:w w:val="95"/>
        </w:rPr>
        <w:t> </w:t>
      </w:r>
      <w:r>
        <w:rPr>
          <w:spacing w:val="2"/>
          <w:w w:val="85"/>
        </w:rPr>
        <w:t>2016.</w:t>
      </w:r>
    </w:p>
    <w:p>
      <w:pPr>
        <w:pStyle w:val="BodyText"/>
        <w:spacing w:before="1"/>
        <w:rPr>
          <w:sz w:val="20"/>
        </w:rPr>
      </w:pPr>
      <w:r>
        <w:rPr/>
        <w:br w:type="column"/>
      </w:r>
      <w:r>
        <w:rPr>
          <w:sz w:val="20"/>
        </w:rPr>
      </w:r>
    </w:p>
    <w:p>
      <w:pPr>
        <w:pStyle w:val="BodyText"/>
        <w:ind w:left="107" w:right="460"/>
      </w:pPr>
      <w:r>
        <w:rPr>
          <w:spacing w:val="2"/>
          <w:w w:val="92"/>
        </w:rPr>
        <w:t>T</w:t>
      </w:r>
      <w:r>
        <w:rPr>
          <w:spacing w:val="2"/>
          <w:w w:val="95"/>
        </w:rPr>
        <w:t>h</w:t>
      </w:r>
      <w:r>
        <w:rPr>
          <w:w w:val="95"/>
        </w:rPr>
        <w:t>e</w:t>
      </w:r>
      <w:r>
        <w:rPr>
          <w:spacing w:val="-12"/>
        </w:rPr>
        <w:t> </w:t>
      </w:r>
      <w:r>
        <w:rPr>
          <w:spacing w:val="2"/>
          <w:w w:val="93"/>
        </w:rPr>
        <w:t>2</w:t>
      </w:r>
      <w:r>
        <w:rPr>
          <w:spacing w:val="1"/>
          <w:w w:val="111"/>
        </w:rPr>
        <w:t>0</w:t>
      </w:r>
      <w:r>
        <w:rPr>
          <w:spacing w:val="4"/>
          <w:w w:val="54"/>
        </w:rPr>
        <w:t>1</w:t>
      </w:r>
      <w:r>
        <w:rPr>
          <w:w w:val="101"/>
        </w:rPr>
        <w:t>6</w:t>
      </w:r>
      <w:r>
        <w:rPr>
          <w:spacing w:val="-12"/>
        </w:rPr>
        <w:t> </w:t>
      </w:r>
      <w:r>
        <w:rPr>
          <w:spacing w:val="2"/>
          <w:w w:val="102"/>
        </w:rPr>
        <w:t>C</w:t>
      </w:r>
      <w:r>
        <w:rPr>
          <w:spacing w:val="2"/>
          <w:w w:val="100"/>
        </w:rPr>
        <w:t>o</w:t>
      </w:r>
      <w:r>
        <w:rPr>
          <w:spacing w:val="2"/>
          <w:w w:val="98"/>
        </w:rPr>
        <w:t>m</w:t>
      </w:r>
      <w:r>
        <w:rPr>
          <w:spacing w:val="1"/>
          <w:w w:val="98"/>
        </w:rPr>
        <w:t>m</w:t>
      </w:r>
      <w:r>
        <w:rPr>
          <w:w w:val="95"/>
        </w:rPr>
        <w:t>i</w:t>
      </w:r>
      <w:r>
        <w:rPr>
          <w:spacing w:val="4"/>
          <w:w w:val="102"/>
        </w:rPr>
        <w:t>t</w:t>
      </w:r>
      <w:r>
        <w:rPr>
          <w:spacing w:val="-2"/>
          <w:w w:val="102"/>
        </w:rPr>
        <w:t>t</w:t>
      </w:r>
      <w:r>
        <w:rPr>
          <w:spacing w:val="3"/>
          <w:w w:val="95"/>
        </w:rPr>
        <w:t>e</w:t>
      </w:r>
      <w:r>
        <w:rPr>
          <w:w w:val="95"/>
        </w:rPr>
        <w:t>e</w:t>
      </w:r>
      <w:r>
        <w:rPr>
          <w:spacing w:val="-12"/>
        </w:rPr>
        <w:t> </w:t>
      </w:r>
      <w:r>
        <w:rPr>
          <w:spacing w:val="2"/>
          <w:w w:val="98"/>
        </w:rPr>
        <w:t>m</w:t>
      </w:r>
      <w:r>
        <w:rPr>
          <w:spacing w:val="2"/>
          <w:w w:val="95"/>
        </w:rPr>
        <w:t>e</w:t>
      </w:r>
      <w:r>
        <w:rPr>
          <w:spacing w:val="2"/>
          <w:w w:val="98"/>
        </w:rPr>
        <w:t>m</w:t>
      </w:r>
      <w:r>
        <w:rPr>
          <w:spacing w:val="2"/>
          <w:w w:val="102"/>
        </w:rPr>
        <w:t>b</w:t>
      </w:r>
      <w:r>
        <w:rPr>
          <w:spacing w:val="2"/>
          <w:w w:val="95"/>
        </w:rPr>
        <w:t>e</w:t>
      </w:r>
      <w:r>
        <w:rPr>
          <w:spacing w:val="2"/>
          <w:w w:val="95"/>
        </w:rPr>
        <w:t>r</w:t>
      </w:r>
      <w:r>
        <w:rPr>
          <w:w w:val="95"/>
        </w:rPr>
        <w:t>s</w:t>
      </w:r>
      <w:r>
        <w:rPr>
          <w:spacing w:val="-12"/>
        </w:rPr>
        <w:t> </w:t>
      </w:r>
      <w:r>
        <w:rPr>
          <w:spacing w:val="-1"/>
          <w:w w:val="101"/>
        </w:rPr>
        <w:t>w</w:t>
      </w:r>
      <w:r>
        <w:rPr>
          <w:spacing w:val="2"/>
          <w:w w:val="95"/>
        </w:rPr>
        <w:t>e</w:t>
      </w:r>
      <w:r>
        <w:rPr>
          <w:spacing w:val="-1"/>
          <w:w w:val="95"/>
        </w:rPr>
        <w:t>r</w:t>
      </w:r>
      <w:r>
        <w:rPr>
          <w:spacing w:val="1"/>
          <w:w w:val="95"/>
        </w:rPr>
        <w:t>e</w:t>
      </w:r>
      <w:r>
        <w:rPr>
          <w:w w:val="61"/>
        </w:rPr>
        <w:t>:</w:t>
      </w:r>
    </w:p>
    <w:p>
      <w:pPr>
        <w:pStyle w:val="BodyText"/>
        <w:spacing w:line="247" w:lineRule="auto" w:before="62"/>
        <w:ind w:left="305" w:right="167" w:hanging="199"/>
      </w:pPr>
      <w:r>
        <w:rPr>
          <w:rFonts w:ascii="Century Gothic" w:hAnsi="Century Gothic"/>
          <w:b/>
          <w:w w:val="115"/>
        </w:rPr>
        <w:t>≥ </w:t>
      </w:r>
      <w:r>
        <w:rPr/>
        <w:t>Mr Luca Belgornio-Nettis AM (Chair) (Managing Director of Transfield Holdings &amp; holder of Honorary Doctorate from Western Sydney University)</w:t>
      </w:r>
    </w:p>
    <w:p>
      <w:pPr>
        <w:pStyle w:val="BodyText"/>
        <w:spacing w:line="247" w:lineRule="auto" w:before="57"/>
        <w:ind w:left="305" w:right="93" w:hanging="199"/>
      </w:pPr>
      <w:r>
        <w:rPr>
          <w:rFonts w:ascii="Century Gothic" w:hAnsi="Century Gothic"/>
          <w:b/>
          <w:w w:val="115"/>
        </w:rPr>
        <w:t>≥ </w:t>
      </w:r>
      <w:r>
        <w:rPr/>
        <w:t>Mrs Gabrielle Trainor (Chair of the National Film &amp; Sound Archive, member of Western Sydney University Board of Trustees and Whitlam Institute Board)</w:t>
      </w:r>
    </w:p>
    <w:p>
      <w:pPr>
        <w:pStyle w:val="BodyText"/>
        <w:spacing w:line="247" w:lineRule="auto" w:before="57"/>
        <w:ind w:left="305" w:right="372" w:hanging="199"/>
      </w:pPr>
      <w:r>
        <w:rPr>
          <w:rFonts w:ascii="Century Gothic" w:hAnsi="Century Gothic"/>
          <w:b/>
          <w:w w:val="115"/>
        </w:rPr>
        <w:t>≥ </w:t>
      </w:r>
      <w:r>
        <w:rPr/>
        <w:t>Emeritus Professor Di Yerbury AO (Chair of the Board of Directors Overseas Study Foundation and holder of Honorary Doctorate from Western Sydney University)</w:t>
      </w:r>
    </w:p>
    <w:p>
      <w:pPr>
        <w:pStyle w:val="BodyText"/>
        <w:spacing w:line="247" w:lineRule="auto" w:before="57"/>
        <w:ind w:left="305" w:right="-1" w:hanging="199"/>
      </w:pPr>
      <w:r>
        <w:rPr>
          <w:rFonts w:ascii="Century Gothic" w:hAnsi="Century Gothic"/>
          <w:b/>
          <w:w w:val="115"/>
        </w:rPr>
        <w:t>≥ </w:t>
      </w:r>
      <w:r>
        <w:rPr/>
        <w:t>Mr Matt Poll (Curator Indigenous Heritage and Repatriation Project University of Sydney)</w:t>
      </w:r>
    </w:p>
    <w:p>
      <w:pPr>
        <w:pStyle w:val="BodyText"/>
        <w:spacing w:line="247" w:lineRule="auto" w:before="57"/>
        <w:ind w:left="305" w:right="-1" w:hanging="199"/>
      </w:pPr>
      <w:r>
        <w:rPr>
          <w:rFonts w:ascii="Century Gothic" w:hAnsi="Century Gothic"/>
          <w:b/>
          <w:w w:val="115"/>
        </w:rPr>
        <w:t>≥ </w:t>
      </w:r>
      <w:r>
        <w:rPr/>
        <w:t>Mrs Jenny Dickerson (Author, former journalist with The Australian and </w:t>
      </w:r>
      <w:r>
        <w:rPr>
          <w:spacing w:val="2"/>
        </w:rPr>
        <w:t>ABC, </w:t>
      </w:r>
      <w:r>
        <w:rPr/>
        <w:t>former</w:t>
      </w:r>
      <w:r>
        <w:rPr>
          <w:spacing w:val="-17"/>
        </w:rPr>
        <w:t> </w:t>
      </w:r>
      <w:r>
        <w:rPr/>
        <w:t>Manager</w:t>
      </w:r>
      <w:r>
        <w:rPr>
          <w:spacing w:val="-17"/>
        </w:rPr>
        <w:t> </w:t>
      </w:r>
      <w:r>
        <w:rPr/>
        <w:t>and</w:t>
      </w:r>
      <w:r>
        <w:rPr>
          <w:spacing w:val="-17"/>
        </w:rPr>
        <w:t> </w:t>
      </w:r>
      <w:r>
        <w:rPr/>
        <w:t>Valuer</w:t>
      </w:r>
      <w:r>
        <w:rPr>
          <w:spacing w:val="-17"/>
        </w:rPr>
        <w:t> </w:t>
      </w:r>
      <w:r>
        <w:rPr/>
        <w:t>for</w:t>
      </w:r>
      <w:r>
        <w:rPr>
          <w:spacing w:val="-17"/>
        </w:rPr>
        <w:t> </w:t>
      </w:r>
      <w:r>
        <w:rPr/>
        <w:t>the</w:t>
      </w:r>
      <w:r>
        <w:rPr>
          <w:spacing w:val="-17"/>
        </w:rPr>
        <w:t> </w:t>
      </w:r>
      <w:r>
        <w:rPr/>
        <w:t>Sydney Auction</w:t>
      </w:r>
      <w:r>
        <w:rPr>
          <w:spacing w:val="-12"/>
        </w:rPr>
        <w:t> </w:t>
      </w:r>
      <w:r>
        <w:rPr/>
        <w:t>House)</w:t>
      </w:r>
    </w:p>
    <w:p>
      <w:pPr>
        <w:pStyle w:val="BodyText"/>
        <w:spacing w:line="247" w:lineRule="auto" w:before="57"/>
        <w:ind w:left="305" w:right="-1" w:hanging="199"/>
      </w:pPr>
      <w:r>
        <w:rPr>
          <w:rFonts w:ascii="Century Gothic" w:hAnsi="Century Gothic"/>
          <w:b/>
          <w:w w:val="115"/>
        </w:rPr>
        <w:t>≥ </w:t>
      </w:r>
      <w:r>
        <w:rPr/>
        <w:t>Mr David Cubby (Senior Lecturer, Academic Course Advisor, Communication, Western Sydney University)</w:t>
      </w:r>
    </w:p>
    <w:p>
      <w:pPr>
        <w:pStyle w:val="BodyText"/>
        <w:spacing w:line="244" w:lineRule="auto" w:before="57"/>
        <w:ind w:left="305" w:right="215" w:hanging="199"/>
      </w:pPr>
      <w:r>
        <w:rPr>
          <w:rFonts w:ascii="Century Gothic" w:hAnsi="Century Gothic"/>
          <w:b/>
          <w:w w:val="115"/>
        </w:rPr>
        <w:t>≥ </w:t>
      </w:r>
      <w:r>
        <w:rPr/>
        <w:t>Monica McMahon (University Art Curator and executive officer for the committee).</w:t>
      </w:r>
    </w:p>
    <w:p>
      <w:pPr>
        <w:pStyle w:val="BodyText"/>
        <w:spacing w:before="6"/>
        <w:rPr>
          <w:sz w:val="19"/>
        </w:rPr>
      </w:pPr>
    </w:p>
    <w:p>
      <w:pPr>
        <w:pStyle w:val="Heading7"/>
        <w:spacing w:line="249" w:lineRule="auto" w:before="1"/>
        <w:ind w:right="460"/>
      </w:pPr>
      <w:r>
        <w:rPr/>
        <w:t>CAPITAL WORKS AND FACILITIES – </w:t>
      </w:r>
      <w:r>
        <w:rPr>
          <w:w w:val="95"/>
        </w:rPr>
        <w:t>NEW BUILDINGS AND REFURBISHMENT </w:t>
      </w:r>
      <w:r>
        <w:rPr/>
        <w:t>PROJECTS</w:t>
      </w:r>
    </w:p>
    <w:p>
      <w:pPr>
        <w:pStyle w:val="BodyText"/>
        <w:spacing w:line="249" w:lineRule="auto" w:before="50"/>
        <w:ind w:left="107" w:right="374"/>
      </w:pPr>
      <w:r>
        <w:rPr/>
        <w:t>Capital works programs, such as new buildings and refurbishment projects, can impact the location of certain artwork.</w:t>
      </w:r>
    </w:p>
    <w:p>
      <w:pPr>
        <w:pStyle w:val="BodyText"/>
        <w:spacing w:line="249" w:lineRule="auto"/>
        <w:ind w:left="107" w:right="524"/>
      </w:pPr>
      <w:r>
        <w:rPr>
          <w:w w:val="94"/>
        </w:rPr>
        <w:t>The </w:t>
      </w:r>
      <w:r>
        <w:rPr>
          <w:w w:val="90"/>
        </w:rPr>
        <w:t>2016 </w:t>
      </w:r>
      <w:r>
        <w:rPr>
          <w:w w:val="98"/>
        </w:rPr>
        <w:t>capital </w:t>
      </w:r>
      <w:r>
        <w:rPr>
          <w:w w:val="97"/>
        </w:rPr>
        <w:t>works </w:t>
      </w:r>
      <w:r>
        <w:rPr>
          <w:w w:val="98"/>
        </w:rPr>
        <w:t>programs </w:t>
      </w:r>
      <w:r>
        <w:rPr>
          <w:w w:val="96"/>
        </w:rPr>
        <w:t>saw </w:t>
      </w:r>
      <w:r>
        <w:rPr>
          <w:w w:val="98"/>
        </w:rPr>
        <w:t>over </w:t>
      </w:r>
      <w:r>
        <w:rPr>
          <w:w w:val="86"/>
        </w:rPr>
        <w:t>150 </w:t>
      </w:r>
      <w:r>
        <w:rPr>
          <w:w w:val="97"/>
        </w:rPr>
        <w:t>artworks </w:t>
      </w:r>
      <w:r>
        <w:rPr>
          <w:w w:val="98"/>
        </w:rPr>
        <w:t>relocated </w:t>
      </w:r>
      <w:r>
        <w:rPr>
          <w:w w:val="97"/>
        </w:rPr>
        <w:t>across </w:t>
      </w:r>
      <w:r>
        <w:rPr>
          <w:w w:val="73"/>
        </w:rPr>
        <w:t>17 </w:t>
      </w:r>
      <w:r>
        <w:rPr/>
        <w:t>buildings and eight different campuses.</w:t>
      </w:r>
    </w:p>
    <w:p>
      <w:pPr>
        <w:pStyle w:val="BodyText"/>
        <w:spacing w:before="3"/>
        <w:rPr>
          <w:sz w:val="19"/>
        </w:rPr>
      </w:pPr>
    </w:p>
    <w:p>
      <w:pPr>
        <w:pStyle w:val="Heading7"/>
        <w:ind w:right="460"/>
      </w:pPr>
      <w:r>
        <w:rPr>
          <w:w w:val="95"/>
        </w:rPr>
        <w:t>COLLECTION  MANAGEMENT</w:t>
      </w:r>
    </w:p>
    <w:p>
      <w:pPr>
        <w:pStyle w:val="BodyText"/>
        <w:spacing w:line="249" w:lineRule="auto" w:before="58"/>
        <w:ind w:left="107" w:right="-1"/>
      </w:pPr>
      <w:r>
        <w:rPr/>
        <w:t>The Art Collection Unit continued to improve the identification of Art Collection assets throughout the University’s campuses.</w:t>
      </w:r>
    </w:p>
    <w:p>
      <w:pPr>
        <w:pStyle w:val="BodyText"/>
        <w:spacing w:line="249" w:lineRule="auto"/>
        <w:ind w:left="107" w:right="134"/>
      </w:pPr>
      <w:r>
        <w:rPr/>
        <w:t>Assets were relabelled, tagged and identified physically, their condition recorded and</w:t>
      </w:r>
    </w:p>
    <w:p>
      <w:pPr>
        <w:pStyle w:val="BodyText"/>
        <w:spacing w:line="249" w:lineRule="auto"/>
        <w:ind w:left="107" w:right="509"/>
      </w:pPr>
      <w:r>
        <w:rPr/>
        <w:t>any damage noted so as to instigate </w:t>
      </w:r>
      <w:r>
        <w:rPr>
          <w:w w:val="92"/>
        </w:rPr>
        <w:t>repairs. </w:t>
      </w:r>
      <w:r>
        <w:rPr>
          <w:w w:val="94"/>
        </w:rPr>
        <w:t>This </w:t>
      </w:r>
      <w:r>
        <w:rPr>
          <w:w w:val="96"/>
        </w:rPr>
        <w:t>project </w:t>
      </w:r>
      <w:r>
        <w:rPr>
          <w:w w:val="97"/>
        </w:rPr>
        <w:t>will </w:t>
      </w:r>
      <w:r>
        <w:rPr>
          <w:w w:val="98"/>
        </w:rPr>
        <w:t>continue </w:t>
      </w:r>
      <w:r>
        <w:rPr>
          <w:w w:val="95"/>
        </w:rPr>
        <w:t>in </w:t>
      </w:r>
      <w:r>
        <w:rPr>
          <w:w w:val="83"/>
        </w:rPr>
        <w:t>2017.</w:t>
      </w:r>
    </w:p>
    <w:p>
      <w:pPr>
        <w:pStyle w:val="BodyText"/>
        <w:spacing w:before="3"/>
        <w:rPr>
          <w:sz w:val="19"/>
        </w:rPr>
      </w:pPr>
    </w:p>
    <w:p>
      <w:pPr>
        <w:pStyle w:val="Heading7"/>
        <w:spacing w:line="249" w:lineRule="auto"/>
        <w:ind w:right="197"/>
      </w:pPr>
      <w:r>
        <w:rPr/>
        <w:t>WESTERN SYDNEY UNIVERSITY </w:t>
      </w:r>
      <w:r>
        <w:rPr>
          <w:w w:val="95"/>
        </w:rPr>
        <w:t>GALLERIES AND EXHIBITIONS PROGRAM</w:t>
      </w:r>
    </w:p>
    <w:p>
      <w:pPr>
        <w:pStyle w:val="BodyText"/>
        <w:spacing w:line="249" w:lineRule="auto" w:before="50"/>
        <w:ind w:left="107" w:right="576"/>
      </w:pPr>
      <w:r>
        <w:rPr/>
        <w:t>The University has committed to being a leading advocate and champion</w:t>
      </w:r>
    </w:p>
    <w:p>
      <w:pPr>
        <w:pStyle w:val="BodyText"/>
        <w:spacing w:line="192" w:lineRule="exact"/>
        <w:ind w:left="107" w:right="460"/>
      </w:pPr>
      <w:r>
        <w:rPr/>
        <w:t>for the Greater Western Sydney</w:t>
      </w:r>
    </w:p>
    <w:p>
      <w:pPr>
        <w:spacing w:after="0" w:line="192" w:lineRule="exact"/>
        <w:sectPr>
          <w:type w:val="continuous"/>
          <w:pgSz w:w="11910" w:h="16840"/>
          <w:pgMar w:top="1580" w:bottom="280" w:left="800" w:right="800"/>
          <w:cols w:num="3" w:equalWidth="0">
            <w:col w:w="3170" w:space="269"/>
            <w:col w:w="3321" w:space="119"/>
            <w:col w:w="3431"/>
          </w:cols>
        </w:sectPr>
      </w:pPr>
    </w:p>
    <w:p>
      <w:pPr>
        <w:pStyle w:val="BodyText"/>
        <w:spacing w:before="9"/>
        <w:rPr>
          <w:sz w:val="28"/>
        </w:rPr>
      </w:pPr>
    </w:p>
    <w:p>
      <w:pPr>
        <w:pStyle w:val="Heading2"/>
        <w:ind w:right="794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15"/>
        </w:rPr>
      </w:pPr>
    </w:p>
    <w:p>
      <w:pPr>
        <w:spacing w:after="0"/>
        <w:rPr>
          <w:rFonts w:ascii="Chronicle Text G1"/>
          <w:sz w:val="15"/>
        </w:rPr>
        <w:sectPr>
          <w:footerReference w:type="even" r:id="rId64"/>
          <w:footerReference w:type="default" r:id="rId65"/>
          <w:pgSz w:w="11910" w:h="16840"/>
          <w:pgMar w:footer="472" w:header="496" w:top="680" w:bottom="660" w:left="800" w:right="800"/>
          <w:pgNumType w:start="60"/>
        </w:sectPr>
      </w:pPr>
    </w:p>
    <w:p>
      <w:pPr>
        <w:pStyle w:val="BodyText"/>
        <w:spacing w:line="249" w:lineRule="auto" w:before="72"/>
        <w:ind w:left="107" w:right="643"/>
      </w:pPr>
      <w:r>
        <w:rPr/>
        <w:t>region and its people. Consequently it facilitates and supports numerous</w:t>
      </w:r>
    </w:p>
    <w:p>
      <w:pPr>
        <w:pStyle w:val="BodyText"/>
        <w:spacing w:line="249" w:lineRule="auto"/>
        <w:ind w:left="107" w:right="330"/>
      </w:pPr>
      <w:r>
        <w:rPr/>
        <w:t>exhibitions on its campuses, showcasing burgeoning and professional artists.</w:t>
      </w:r>
    </w:p>
    <w:p>
      <w:pPr>
        <w:pStyle w:val="BodyText"/>
        <w:spacing w:before="3"/>
        <w:rPr>
          <w:sz w:val="19"/>
        </w:rPr>
      </w:pPr>
    </w:p>
    <w:p>
      <w:pPr>
        <w:pStyle w:val="Heading7"/>
        <w:spacing w:line="249" w:lineRule="auto"/>
        <w:ind w:right="335"/>
      </w:pPr>
      <w:r>
        <w:rPr>
          <w:w w:val="95"/>
        </w:rPr>
        <w:t>WESTERN SYDNEY UNIVERSITY SCULPTURE AWARD</w:t>
      </w:r>
    </w:p>
    <w:p>
      <w:pPr>
        <w:pStyle w:val="BodyText"/>
        <w:spacing w:line="249" w:lineRule="auto" w:before="50"/>
        <w:ind w:left="107"/>
      </w:pPr>
      <w:r>
        <w:rPr>
          <w:w w:val="100"/>
        </w:rPr>
        <w:t>From </w:t>
      </w:r>
      <w:r>
        <w:rPr>
          <w:w w:val="101"/>
        </w:rPr>
        <w:t>6 </w:t>
      </w:r>
      <w:r>
        <w:rPr>
          <w:w w:val="97"/>
        </w:rPr>
        <w:t>May </w:t>
      </w:r>
      <w:r>
        <w:rPr>
          <w:w w:val="101"/>
        </w:rPr>
        <w:t>to </w:t>
      </w:r>
      <w:r>
        <w:rPr>
          <w:w w:val="95"/>
        </w:rPr>
        <w:t>5 </w:t>
      </w:r>
      <w:r>
        <w:rPr>
          <w:w w:val="98"/>
        </w:rPr>
        <w:t>June </w:t>
      </w:r>
      <w:r>
        <w:rPr>
          <w:w w:val="85"/>
        </w:rPr>
        <w:t>2016, </w:t>
      </w:r>
      <w:r>
        <w:rPr>
          <w:w w:val="97"/>
        </w:rPr>
        <w:t>the </w:t>
      </w:r>
      <w:r>
        <w:rPr>
          <w:w w:val="97"/>
        </w:rPr>
        <w:t>University </w:t>
      </w:r>
      <w:r>
        <w:rPr/>
        <w:t>hosted the Western Sydney University Sculpture Award and Exhibition at the Campbelltown campus.</w:t>
      </w:r>
    </w:p>
    <w:p>
      <w:pPr>
        <w:pStyle w:val="BodyText"/>
        <w:rPr>
          <w:sz w:val="14"/>
        </w:rPr>
      </w:pPr>
    </w:p>
    <w:p>
      <w:pPr>
        <w:pStyle w:val="BodyText"/>
        <w:ind w:left="107" w:right="335"/>
      </w:pPr>
      <w:r>
        <w:rPr>
          <w:spacing w:val="2"/>
          <w:w w:val="64"/>
        </w:rPr>
        <w:t>I</w:t>
      </w:r>
      <w:r>
        <w:rPr>
          <w:w w:val="95"/>
        </w:rPr>
        <w:t>n</w:t>
      </w:r>
      <w:r>
        <w:rPr>
          <w:spacing w:val="-12"/>
        </w:rPr>
        <w:t> </w:t>
      </w:r>
      <w:r>
        <w:rPr>
          <w:spacing w:val="2"/>
          <w:w w:val="93"/>
        </w:rPr>
        <w:t>2</w:t>
      </w:r>
      <w:r>
        <w:rPr>
          <w:spacing w:val="1"/>
          <w:w w:val="111"/>
        </w:rPr>
        <w:t>0</w:t>
      </w:r>
      <w:r>
        <w:rPr>
          <w:spacing w:val="4"/>
          <w:w w:val="54"/>
        </w:rPr>
        <w:t>1</w:t>
      </w:r>
      <w:r>
        <w:rPr>
          <w:spacing w:val="4"/>
          <w:w w:val="101"/>
        </w:rPr>
        <w:t>6</w:t>
      </w:r>
      <w:r>
        <w:rPr>
          <w:w w:val="68"/>
        </w:rPr>
        <w:t>,</w:t>
      </w:r>
      <w:r>
        <w:rPr>
          <w:spacing w:val="-12"/>
        </w:rPr>
        <w:t> </w:t>
      </w:r>
      <w:r>
        <w:rPr>
          <w:w w:val="102"/>
        </w:rPr>
        <w:t>t</w:t>
      </w:r>
      <w:r>
        <w:rPr>
          <w:spacing w:val="2"/>
          <w:w w:val="95"/>
        </w:rPr>
        <w:t>h</w:t>
      </w:r>
      <w:r>
        <w:rPr>
          <w:w w:val="95"/>
        </w:rPr>
        <w:t>e</w:t>
      </w:r>
      <w:r>
        <w:rPr>
          <w:spacing w:val="-12"/>
        </w:rPr>
        <w:t> </w:t>
      </w:r>
      <w:r>
        <w:rPr>
          <w:w w:val="101"/>
        </w:rPr>
        <w:t>w</w:t>
      </w:r>
      <w:r>
        <w:rPr>
          <w:spacing w:val="1"/>
          <w:w w:val="95"/>
        </w:rPr>
        <w:t>i</w:t>
      </w:r>
      <w:r>
        <w:rPr>
          <w:spacing w:val="2"/>
          <w:w w:val="95"/>
        </w:rPr>
        <w:t>nn</w:t>
      </w:r>
      <w:r>
        <w:rPr>
          <w:spacing w:val="2"/>
          <w:w w:val="95"/>
        </w:rPr>
        <w:t>e</w:t>
      </w:r>
      <w:r>
        <w:rPr>
          <w:spacing w:val="2"/>
          <w:w w:val="95"/>
        </w:rPr>
        <w:t>r</w:t>
      </w:r>
      <w:r>
        <w:rPr>
          <w:w w:val="95"/>
        </w:rPr>
        <w:t>s</w:t>
      </w:r>
      <w:r>
        <w:rPr>
          <w:spacing w:val="-12"/>
        </w:rPr>
        <w:t> </w:t>
      </w:r>
      <w:r>
        <w:rPr>
          <w:spacing w:val="-1"/>
          <w:w w:val="101"/>
        </w:rPr>
        <w:t>w</w:t>
      </w:r>
      <w:r>
        <w:rPr>
          <w:spacing w:val="2"/>
          <w:w w:val="95"/>
        </w:rPr>
        <w:t>e</w:t>
      </w:r>
      <w:r>
        <w:rPr>
          <w:spacing w:val="-1"/>
          <w:w w:val="95"/>
        </w:rPr>
        <w:t>r</w:t>
      </w:r>
      <w:r>
        <w:rPr>
          <w:spacing w:val="1"/>
          <w:w w:val="95"/>
        </w:rPr>
        <w:t>e</w:t>
      </w:r>
      <w:r>
        <w:rPr>
          <w:w w:val="61"/>
        </w:rPr>
        <w:t>:</w:t>
      </w:r>
    </w:p>
    <w:p>
      <w:pPr>
        <w:spacing w:line="247" w:lineRule="auto" w:before="62"/>
        <w:ind w:left="305" w:right="35" w:hanging="199"/>
        <w:jc w:val="left"/>
        <w:rPr>
          <w:sz w:val="16"/>
        </w:rPr>
      </w:pPr>
      <w:r>
        <w:rPr>
          <w:rFonts w:ascii="Century Gothic" w:hAnsi="Century Gothic"/>
          <w:b/>
          <w:w w:val="115"/>
          <w:sz w:val="16"/>
        </w:rPr>
        <w:t>≥ </w:t>
      </w:r>
      <w:r>
        <w:rPr>
          <w:sz w:val="16"/>
        </w:rPr>
        <w:t>Michael Purdy for his sculpture </w:t>
      </w:r>
      <w:r>
        <w:rPr>
          <w:rFonts w:ascii="Century Gothic" w:hAnsi="Century Gothic"/>
          <w:i/>
          <w:sz w:val="16"/>
        </w:rPr>
        <w:t>The Long </w:t>
      </w:r>
      <w:r>
        <w:rPr>
          <w:rFonts w:ascii="Century Gothic" w:hAnsi="Century Gothic"/>
          <w:i/>
          <w:sz w:val="16"/>
        </w:rPr>
        <w:t>Term</w:t>
      </w:r>
      <w:r>
        <w:rPr>
          <w:rFonts w:ascii="Century Gothic" w:hAnsi="Century Gothic"/>
          <w:i/>
          <w:spacing w:val="-23"/>
          <w:sz w:val="16"/>
        </w:rPr>
        <w:t> </w:t>
      </w:r>
      <w:r>
        <w:rPr>
          <w:rFonts w:ascii="Century Gothic" w:hAnsi="Century Gothic"/>
          <w:i/>
          <w:sz w:val="16"/>
        </w:rPr>
        <w:t>Perils</w:t>
      </w:r>
      <w:r>
        <w:rPr>
          <w:rFonts w:ascii="Century Gothic" w:hAnsi="Century Gothic"/>
          <w:i/>
          <w:spacing w:val="-23"/>
          <w:sz w:val="16"/>
        </w:rPr>
        <w:t> </w:t>
      </w:r>
      <w:r>
        <w:rPr>
          <w:rFonts w:ascii="Century Gothic" w:hAnsi="Century Gothic"/>
          <w:i/>
          <w:sz w:val="16"/>
        </w:rPr>
        <w:t>of</w:t>
      </w:r>
      <w:r>
        <w:rPr>
          <w:rFonts w:ascii="Century Gothic" w:hAnsi="Century Gothic"/>
          <w:i/>
          <w:spacing w:val="-23"/>
          <w:sz w:val="16"/>
        </w:rPr>
        <w:t> </w:t>
      </w:r>
      <w:r>
        <w:rPr>
          <w:rFonts w:ascii="Century Gothic" w:hAnsi="Century Gothic"/>
          <w:i/>
          <w:sz w:val="16"/>
        </w:rPr>
        <w:t>Short</w:t>
      </w:r>
      <w:r>
        <w:rPr>
          <w:rFonts w:ascii="Century Gothic" w:hAnsi="Century Gothic"/>
          <w:i/>
          <w:spacing w:val="-23"/>
          <w:sz w:val="16"/>
        </w:rPr>
        <w:t> </w:t>
      </w:r>
      <w:r>
        <w:rPr>
          <w:rFonts w:ascii="Century Gothic" w:hAnsi="Century Gothic"/>
          <w:i/>
          <w:sz w:val="16"/>
        </w:rPr>
        <w:t>Term</w:t>
      </w:r>
      <w:r>
        <w:rPr>
          <w:rFonts w:ascii="Century Gothic" w:hAnsi="Century Gothic"/>
          <w:i/>
          <w:spacing w:val="-23"/>
          <w:sz w:val="16"/>
        </w:rPr>
        <w:t> </w:t>
      </w:r>
      <w:r>
        <w:rPr>
          <w:rFonts w:ascii="Century Gothic" w:hAnsi="Century Gothic"/>
          <w:i/>
          <w:sz w:val="16"/>
        </w:rPr>
        <w:t>Politics</w:t>
      </w:r>
      <w:r>
        <w:rPr>
          <w:rFonts w:ascii="Century Gothic" w:hAnsi="Century Gothic"/>
          <w:i/>
          <w:spacing w:val="-23"/>
          <w:sz w:val="16"/>
        </w:rPr>
        <w:t> </w:t>
      </w:r>
      <w:r>
        <w:rPr>
          <w:sz w:val="16"/>
        </w:rPr>
        <w:t>(Western Sydney University Sculpture Acquisitive Award)</w:t>
      </w:r>
    </w:p>
    <w:p>
      <w:pPr>
        <w:spacing w:before="57"/>
        <w:ind w:left="107" w:right="0" w:firstLine="0"/>
        <w:jc w:val="left"/>
        <w:rPr>
          <w:rFonts w:ascii="Century Gothic" w:hAnsi="Century Gothic"/>
          <w:i/>
          <w:sz w:val="16"/>
        </w:rPr>
      </w:pPr>
      <w:r>
        <w:rPr>
          <w:rFonts w:ascii="Century Gothic" w:hAnsi="Century Gothic"/>
          <w:b/>
          <w:sz w:val="16"/>
        </w:rPr>
        <w:t>≥ </w:t>
      </w:r>
      <w:r>
        <w:rPr>
          <w:sz w:val="16"/>
        </w:rPr>
        <w:t>Lisa Tolcher for </w:t>
      </w:r>
      <w:r>
        <w:rPr>
          <w:rFonts w:ascii="Century Gothic" w:hAnsi="Century Gothic"/>
          <w:i/>
          <w:sz w:val="16"/>
        </w:rPr>
        <w:t>Melody of Equilibrium</w:t>
      </w:r>
    </w:p>
    <w:p>
      <w:pPr>
        <w:pStyle w:val="BodyText"/>
        <w:spacing w:before="4"/>
        <w:ind w:left="276" w:right="437"/>
        <w:jc w:val="center"/>
      </w:pPr>
      <w:r>
        <w:rPr/>
        <w:t>(Janice Reid Emerging Artist Award)</w:t>
      </w:r>
    </w:p>
    <w:p>
      <w:pPr>
        <w:spacing w:line="244" w:lineRule="auto" w:before="62"/>
        <w:ind w:left="305" w:right="289" w:hanging="199"/>
        <w:jc w:val="left"/>
        <w:rPr>
          <w:sz w:val="16"/>
        </w:rPr>
      </w:pPr>
      <w:r>
        <w:rPr>
          <w:rFonts w:ascii="Century Gothic" w:hAnsi="Century Gothic"/>
          <w:b/>
          <w:w w:val="115"/>
          <w:sz w:val="16"/>
        </w:rPr>
        <w:t>≥ </w:t>
      </w:r>
      <w:r>
        <w:rPr>
          <w:sz w:val="16"/>
        </w:rPr>
        <w:t>Joseph Bartolo for </w:t>
      </w:r>
      <w:r>
        <w:rPr>
          <w:rFonts w:ascii="Century Gothic" w:hAnsi="Century Gothic"/>
          <w:i/>
          <w:sz w:val="16"/>
        </w:rPr>
        <w:t>Life’s Desperate </w:t>
      </w:r>
      <w:r>
        <w:rPr>
          <w:rFonts w:ascii="Century Gothic" w:hAnsi="Century Gothic"/>
          <w:i/>
          <w:sz w:val="16"/>
        </w:rPr>
        <w:t>Struggle </w:t>
      </w:r>
      <w:r>
        <w:rPr>
          <w:sz w:val="16"/>
        </w:rPr>
        <w:t>(UrbanGrowth NSW People’s Choice Award).</w:t>
      </w:r>
    </w:p>
    <w:p>
      <w:pPr>
        <w:pStyle w:val="BodyText"/>
        <w:spacing w:before="4"/>
        <w:rPr>
          <w:sz w:val="14"/>
        </w:rPr>
      </w:pPr>
    </w:p>
    <w:p>
      <w:pPr>
        <w:pStyle w:val="BodyText"/>
        <w:spacing w:line="249" w:lineRule="auto"/>
        <w:ind w:left="107" w:right="94"/>
      </w:pPr>
      <w:r>
        <w:rPr/>
        <w:t>Quest Campbelltown continued its </w:t>
      </w:r>
      <w:r>
        <w:rPr>
          <w:w w:val="97"/>
        </w:rPr>
        <w:t>sponsorship </w:t>
      </w:r>
      <w:r>
        <w:rPr>
          <w:w w:val="98"/>
        </w:rPr>
        <w:t>for </w:t>
      </w:r>
      <w:r>
        <w:rPr>
          <w:w w:val="97"/>
        </w:rPr>
        <w:t>the </w:t>
      </w:r>
      <w:r>
        <w:rPr>
          <w:w w:val="90"/>
        </w:rPr>
        <w:t>2016 </w:t>
      </w:r>
      <w:r>
        <w:rPr>
          <w:w w:val="95"/>
        </w:rPr>
        <w:t>exhibition, </w:t>
      </w:r>
      <w:r>
        <w:rPr/>
        <w:t>providing accommodation for interstate and international artists. The Gordon Darling Foundation sponsored the education resource kit, which was distributed</w:t>
      </w:r>
    </w:p>
    <w:p>
      <w:pPr>
        <w:pStyle w:val="BodyText"/>
        <w:spacing w:line="249" w:lineRule="auto"/>
        <w:ind w:left="107" w:right="696"/>
      </w:pPr>
      <w:r>
        <w:rPr/>
        <w:t>to</w:t>
      </w:r>
      <w:r>
        <w:rPr>
          <w:spacing w:val="-17"/>
        </w:rPr>
        <w:t> </w:t>
      </w:r>
      <w:r>
        <w:rPr/>
        <w:t>all</w:t>
      </w:r>
      <w:r>
        <w:rPr>
          <w:spacing w:val="-17"/>
        </w:rPr>
        <w:t> </w:t>
      </w:r>
      <w:r>
        <w:rPr/>
        <w:t>local</w:t>
      </w:r>
      <w:r>
        <w:rPr>
          <w:spacing w:val="-17"/>
        </w:rPr>
        <w:t> </w:t>
      </w:r>
      <w:r>
        <w:rPr/>
        <w:t>schools.</w:t>
      </w:r>
      <w:r>
        <w:rPr>
          <w:spacing w:val="-17"/>
        </w:rPr>
        <w:t> </w:t>
      </w:r>
      <w:r>
        <w:rPr/>
        <w:t>It</w:t>
      </w:r>
      <w:r>
        <w:rPr>
          <w:spacing w:val="-17"/>
        </w:rPr>
        <w:t> </w:t>
      </w:r>
      <w:r>
        <w:rPr/>
        <w:t>also</w:t>
      </w:r>
      <w:r>
        <w:rPr>
          <w:spacing w:val="-17"/>
        </w:rPr>
        <w:t> </w:t>
      </w:r>
      <w:r>
        <w:rPr/>
        <w:t>supported artist</w:t>
      </w:r>
      <w:r>
        <w:rPr>
          <w:spacing w:val="-26"/>
        </w:rPr>
        <w:t> </w:t>
      </w:r>
      <w:r>
        <w:rPr>
          <w:spacing w:val="2"/>
        </w:rPr>
        <w:t>talks,</w:t>
      </w:r>
      <w:r>
        <w:rPr>
          <w:spacing w:val="-26"/>
        </w:rPr>
        <w:t> </w:t>
      </w:r>
      <w:r>
        <w:rPr/>
        <w:t>which</w:t>
      </w:r>
      <w:r>
        <w:rPr>
          <w:spacing w:val="-26"/>
        </w:rPr>
        <w:t> </w:t>
      </w:r>
      <w:r>
        <w:rPr/>
        <w:t>were</w:t>
      </w:r>
      <w:r>
        <w:rPr>
          <w:spacing w:val="-26"/>
        </w:rPr>
        <w:t> </w:t>
      </w:r>
      <w:r>
        <w:rPr/>
        <w:t>popular.</w:t>
      </w:r>
    </w:p>
    <w:p>
      <w:pPr>
        <w:pStyle w:val="BodyText"/>
        <w:rPr>
          <w:sz w:val="14"/>
        </w:rPr>
      </w:pPr>
    </w:p>
    <w:p>
      <w:pPr>
        <w:pStyle w:val="BodyText"/>
        <w:spacing w:line="249" w:lineRule="auto"/>
        <w:ind w:left="107" w:right="169"/>
      </w:pPr>
      <w:r>
        <w:rPr/>
        <w:t>This</w:t>
      </w:r>
      <w:r>
        <w:rPr>
          <w:spacing w:val="-18"/>
        </w:rPr>
        <w:t> </w:t>
      </w:r>
      <w:r>
        <w:rPr/>
        <w:t>exhibition</w:t>
      </w:r>
      <w:r>
        <w:rPr>
          <w:spacing w:val="-18"/>
        </w:rPr>
        <w:t> </w:t>
      </w:r>
      <w:r>
        <w:rPr/>
        <w:t>is</w:t>
      </w:r>
      <w:r>
        <w:rPr>
          <w:spacing w:val="-18"/>
        </w:rPr>
        <w:t> </w:t>
      </w:r>
      <w:r>
        <w:rPr/>
        <w:t>a</w:t>
      </w:r>
      <w:r>
        <w:rPr>
          <w:spacing w:val="-18"/>
        </w:rPr>
        <w:t> </w:t>
      </w:r>
      <w:r>
        <w:rPr/>
        <w:t>valuable</w:t>
      </w:r>
      <w:r>
        <w:rPr>
          <w:spacing w:val="-18"/>
        </w:rPr>
        <w:t> </w:t>
      </w:r>
      <w:r>
        <w:rPr/>
        <w:t>educational</w:t>
      </w:r>
      <w:r>
        <w:rPr>
          <w:spacing w:val="-18"/>
        </w:rPr>
        <w:t> </w:t>
      </w:r>
      <w:r>
        <w:rPr/>
        <w:t>and cultural</w:t>
      </w:r>
      <w:r>
        <w:rPr>
          <w:spacing w:val="-21"/>
        </w:rPr>
        <w:t> </w:t>
      </w:r>
      <w:r>
        <w:rPr/>
        <w:t>resource</w:t>
      </w:r>
      <w:r>
        <w:rPr>
          <w:spacing w:val="-21"/>
        </w:rPr>
        <w:t> </w:t>
      </w:r>
      <w:r>
        <w:rPr/>
        <w:t>for</w:t>
      </w:r>
      <w:r>
        <w:rPr>
          <w:spacing w:val="-21"/>
        </w:rPr>
        <w:t> </w:t>
      </w:r>
      <w:r>
        <w:rPr/>
        <w:t>the</w:t>
      </w:r>
      <w:r>
        <w:rPr>
          <w:spacing w:val="-21"/>
        </w:rPr>
        <w:t> </w:t>
      </w:r>
      <w:r>
        <w:rPr/>
        <w:t>community,</w:t>
      </w:r>
      <w:r>
        <w:rPr>
          <w:spacing w:val="-21"/>
        </w:rPr>
        <w:t> </w:t>
      </w:r>
      <w:r>
        <w:rPr/>
        <w:t>and</w:t>
      </w:r>
    </w:p>
    <w:p>
      <w:pPr>
        <w:pStyle w:val="BodyText"/>
        <w:spacing w:line="249" w:lineRule="auto"/>
        <w:ind w:left="107" w:right="13"/>
      </w:pPr>
      <w:r>
        <w:rPr/>
        <w:t>it enhances the campus environment for teaching and learning. The winning work will be</w:t>
      </w:r>
      <w:r>
        <w:rPr>
          <w:spacing w:val="-14"/>
        </w:rPr>
        <w:t> </w:t>
      </w:r>
      <w:r>
        <w:rPr/>
        <w:t>permanently</w:t>
      </w:r>
      <w:r>
        <w:rPr>
          <w:spacing w:val="-14"/>
        </w:rPr>
        <w:t> </w:t>
      </w:r>
      <w:r>
        <w:rPr/>
        <w:t>displayed</w:t>
      </w:r>
      <w:r>
        <w:rPr>
          <w:spacing w:val="-14"/>
        </w:rPr>
        <w:t> </w:t>
      </w:r>
      <w:r>
        <w:rPr/>
        <w:t>alongside</w:t>
      </w:r>
      <w:r>
        <w:rPr>
          <w:spacing w:val="-14"/>
        </w:rPr>
        <w:t> </w:t>
      </w:r>
      <w:r>
        <w:rPr/>
        <w:t>works</w:t>
      </w:r>
      <w:r>
        <w:rPr>
          <w:spacing w:val="-14"/>
        </w:rPr>
        <w:t> </w:t>
      </w:r>
      <w:r>
        <w:rPr/>
        <w:t>by previous winners, which sit in the parklands stretching</w:t>
      </w:r>
      <w:r>
        <w:rPr>
          <w:spacing w:val="-17"/>
        </w:rPr>
        <w:t> </w:t>
      </w:r>
      <w:r>
        <w:rPr/>
        <w:t>between</w:t>
      </w:r>
      <w:r>
        <w:rPr>
          <w:spacing w:val="-17"/>
        </w:rPr>
        <w:t> </w:t>
      </w:r>
      <w:r>
        <w:rPr/>
        <w:t>the</w:t>
      </w:r>
      <w:r>
        <w:rPr>
          <w:spacing w:val="-17"/>
        </w:rPr>
        <w:t> </w:t>
      </w:r>
      <w:r>
        <w:rPr/>
        <w:t>two</w:t>
      </w:r>
      <w:r>
        <w:rPr>
          <w:spacing w:val="-17"/>
        </w:rPr>
        <w:t> </w:t>
      </w:r>
      <w:r>
        <w:rPr/>
        <w:t>main</w:t>
      </w:r>
      <w:r>
        <w:rPr>
          <w:spacing w:val="-17"/>
        </w:rPr>
        <w:t> </w:t>
      </w:r>
      <w:r>
        <w:rPr/>
        <w:t>entrances</w:t>
      </w:r>
      <w:r>
        <w:rPr>
          <w:spacing w:val="-17"/>
        </w:rPr>
        <w:t> </w:t>
      </w:r>
      <w:r>
        <w:rPr/>
        <w:t>of the</w:t>
      </w:r>
      <w:r>
        <w:rPr>
          <w:spacing w:val="-25"/>
        </w:rPr>
        <w:t> </w:t>
      </w:r>
      <w:r>
        <w:rPr/>
        <w:t>Campbelltown</w:t>
      </w:r>
      <w:r>
        <w:rPr>
          <w:spacing w:val="-25"/>
        </w:rPr>
        <w:t> </w:t>
      </w:r>
      <w:r>
        <w:rPr>
          <w:spacing w:val="2"/>
        </w:rPr>
        <w:t>campus.</w:t>
      </w:r>
    </w:p>
    <w:p>
      <w:pPr>
        <w:pStyle w:val="BodyText"/>
        <w:spacing w:before="3"/>
        <w:rPr>
          <w:sz w:val="19"/>
        </w:rPr>
      </w:pPr>
    </w:p>
    <w:p>
      <w:pPr>
        <w:pStyle w:val="Heading7"/>
        <w:ind w:right="335"/>
      </w:pPr>
      <w:r>
        <w:rPr>
          <w:w w:val="95"/>
        </w:rPr>
        <w:t>MARGOT  HARDY GALLERY</w:t>
      </w:r>
    </w:p>
    <w:p>
      <w:pPr>
        <w:pStyle w:val="BodyText"/>
        <w:spacing w:line="249" w:lineRule="auto" w:before="58"/>
        <w:ind w:left="107" w:right="131"/>
      </w:pPr>
      <w:r>
        <w:rPr/>
        <w:t>The Margot Hardy Gallery is dedicated to showcasing artworks by students in local primary and secondary schools, as well as </w:t>
      </w:r>
      <w:r>
        <w:rPr>
          <w:spacing w:val="1"/>
          <w:w w:val="96"/>
        </w:rPr>
        <w:t>projects</w:t>
      </w:r>
      <w:r>
        <w:rPr>
          <w:w w:val="96"/>
        </w:rPr>
        <w:t> </w:t>
      </w:r>
      <w:r>
        <w:rPr>
          <w:spacing w:val="-1"/>
          <w:w w:val="102"/>
        </w:rPr>
        <w:t>by</w:t>
      </w:r>
      <w:r>
        <w:rPr>
          <w:w w:val="102"/>
        </w:rPr>
        <w:t> </w:t>
      </w:r>
      <w:r>
        <w:rPr>
          <w:spacing w:val="1"/>
          <w:w w:val="99"/>
        </w:rPr>
        <w:t>community</w:t>
      </w:r>
      <w:r>
        <w:rPr>
          <w:w w:val="99"/>
        </w:rPr>
        <w:t> </w:t>
      </w:r>
      <w:r>
        <w:rPr>
          <w:spacing w:val="1"/>
          <w:w w:val="94"/>
        </w:rPr>
        <w:t>groups.</w:t>
      </w:r>
      <w:r>
        <w:rPr>
          <w:w w:val="94"/>
        </w:rPr>
        <w:t> </w:t>
      </w:r>
      <w:r>
        <w:rPr>
          <w:spacing w:val="1"/>
          <w:w w:val="80"/>
        </w:rPr>
        <w:t>In</w:t>
      </w:r>
      <w:r>
        <w:rPr>
          <w:w w:val="80"/>
        </w:rPr>
        <w:t> </w:t>
      </w:r>
      <w:r>
        <w:rPr>
          <w:spacing w:val="2"/>
          <w:w w:val="85"/>
        </w:rPr>
        <w:t>2016,</w:t>
      </w:r>
      <w:r>
        <w:rPr>
          <w:w w:val="85"/>
        </w:rPr>
        <w:t> </w:t>
      </w:r>
      <w:r>
        <w:rPr>
          <w:w w:val="97"/>
        </w:rPr>
        <w:t>the </w:t>
      </w:r>
      <w:r>
        <w:rPr/>
        <w:t>gallery</w:t>
      </w:r>
      <w:r>
        <w:rPr>
          <w:spacing w:val="-17"/>
        </w:rPr>
        <w:t> </w:t>
      </w:r>
      <w:r>
        <w:rPr/>
        <w:t>hosted</w:t>
      </w:r>
      <w:r>
        <w:rPr>
          <w:spacing w:val="-17"/>
        </w:rPr>
        <w:t> </w:t>
      </w:r>
      <w:r>
        <w:rPr/>
        <w:t>exhibitions</w:t>
      </w:r>
      <w:r>
        <w:rPr>
          <w:spacing w:val="-17"/>
        </w:rPr>
        <w:t> </w:t>
      </w:r>
      <w:r>
        <w:rPr/>
        <w:t>by</w:t>
      </w:r>
      <w:r>
        <w:rPr>
          <w:spacing w:val="-17"/>
        </w:rPr>
        <w:t> </w:t>
      </w:r>
      <w:r>
        <w:rPr/>
        <w:t>25</w:t>
      </w:r>
      <w:r>
        <w:rPr>
          <w:spacing w:val="-17"/>
        </w:rPr>
        <w:t> </w:t>
      </w:r>
      <w:r>
        <w:rPr/>
        <w:t>local</w:t>
      </w:r>
      <w:r>
        <w:rPr>
          <w:spacing w:val="-17"/>
        </w:rPr>
        <w:t> </w:t>
      </w:r>
      <w:r>
        <w:rPr>
          <w:spacing w:val="2"/>
        </w:rPr>
        <w:t>artists, </w:t>
      </w:r>
      <w:r>
        <w:rPr/>
        <w:t>a</w:t>
      </w:r>
      <w:r>
        <w:rPr>
          <w:spacing w:val="-16"/>
        </w:rPr>
        <w:t> </w:t>
      </w:r>
      <w:r>
        <w:rPr/>
        <w:t>local</w:t>
      </w:r>
      <w:r>
        <w:rPr>
          <w:spacing w:val="-16"/>
        </w:rPr>
        <w:t> </w:t>
      </w:r>
      <w:r>
        <w:rPr/>
        <w:t>community</w:t>
      </w:r>
      <w:r>
        <w:rPr>
          <w:spacing w:val="-16"/>
        </w:rPr>
        <w:t> </w:t>
      </w:r>
      <w:r>
        <w:rPr/>
        <w:t>group,</w:t>
      </w:r>
      <w:r>
        <w:rPr>
          <w:spacing w:val="-16"/>
        </w:rPr>
        <w:t> </w:t>
      </w:r>
      <w:r>
        <w:rPr/>
        <w:t>three</w:t>
      </w:r>
      <w:r>
        <w:rPr>
          <w:spacing w:val="-16"/>
        </w:rPr>
        <w:t> </w:t>
      </w:r>
      <w:r>
        <w:rPr/>
        <w:t>high</w:t>
      </w:r>
      <w:r>
        <w:rPr>
          <w:spacing w:val="-16"/>
        </w:rPr>
        <w:t> </w:t>
      </w:r>
      <w:r>
        <w:rPr/>
        <w:t>schools and three primary schools. The exhibition program</w:t>
      </w:r>
      <w:r>
        <w:rPr>
          <w:spacing w:val="-28"/>
        </w:rPr>
        <w:t> </w:t>
      </w:r>
      <w:r>
        <w:rPr/>
        <w:t>included:</w:t>
      </w:r>
    </w:p>
    <w:p>
      <w:pPr>
        <w:pStyle w:val="BodyText"/>
        <w:spacing w:line="247" w:lineRule="auto" w:before="55"/>
        <w:ind w:left="305" w:right="-3" w:hanging="199"/>
      </w:pPr>
      <w:r>
        <w:rPr>
          <w:rFonts w:ascii="Century Gothic" w:hAnsi="Century Gothic"/>
          <w:b/>
          <w:w w:val="115"/>
        </w:rPr>
        <w:t>≥</w:t>
      </w:r>
      <w:r>
        <w:rPr>
          <w:rFonts w:ascii="Century Gothic" w:hAnsi="Century Gothic"/>
          <w:b/>
          <w:spacing w:val="17"/>
          <w:w w:val="115"/>
        </w:rPr>
        <w:t> </w:t>
      </w:r>
      <w:r>
        <w:rPr/>
        <w:t>‘Listen</w:t>
      </w:r>
      <w:r>
        <w:rPr>
          <w:spacing w:val="-13"/>
        </w:rPr>
        <w:t> </w:t>
      </w:r>
      <w:r>
        <w:rPr/>
        <w:t>to</w:t>
      </w:r>
      <w:r>
        <w:rPr>
          <w:spacing w:val="-13"/>
        </w:rPr>
        <w:t> </w:t>
      </w:r>
      <w:r>
        <w:rPr/>
        <w:t>the</w:t>
      </w:r>
      <w:r>
        <w:rPr>
          <w:spacing w:val="-13"/>
        </w:rPr>
        <w:t> </w:t>
      </w:r>
      <w:r>
        <w:rPr/>
        <w:t>Colour</w:t>
      </w:r>
      <w:r>
        <w:rPr>
          <w:spacing w:val="-13"/>
        </w:rPr>
        <w:t> </w:t>
      </w:r>
      <w:r>
        <w:rPr/>
        <w:t>of</w:t>
      </w:r>
      <w:r>
        <w:rPr>
          <w:spacing w:val="-13"/>
        </w:rPr>
        <w:t> </w:t>
      </w:r>
      <w:r>
        <w:rPr/>
        <w:t>your</w:t>
      </w:r>
      <w:r>
        <w:rPr>
          <w:spacing w:val="-13"/>
        </w:rPr>
        <w:t> </w:t>
      </w:r>
      <w:r>
        <w:rPr/>
        <w:t>Dreams’,</w:t>
      </w:r>
      <w:r>
        <w:rPr>
          <w:spacing w:val="-13"/>
        </w:rPr>
        <w:t> </w:t>
      </w:r>
      <w:r>
        <w:rPr/>
        <w:t>which featured </w:t>
      </w:r>
      <w:r>
        <w:rPr>
          <w:spacing w:val="-4"/>
        </w:rPr>
        <w:t>74 </w:t>
      </w:r>
      <w:r>
        <w:rPr/>
        <w:t>works by 25 students from Nicolle’s Studio of</w:t>
      </w:r>
      <w:r>
        <w:rPr>
          <w:spacing w:val="-29"/>
        </w:rPr>
        <w:t> </w:t>
      </w:r>
      <w:r>
        <w:rPr>
          <w:spacing w:val="2"/>
        </w:rPr>
        <w:t>Art</w:t>
      </w:r>
    </w:p>
    <w:p>
      <w:pPr>
        <w:pStyle w:val="BodyText"/>
        <w:spacing w:line="247" w:lineRule="auto" w:before="70"/>
        <w:ind w:left="305" w:right="19" w:hanging="199"/>
      </w:pPr>
      <w:r>
        <w:rPr/>
        <w:br w:type="column"/>
      </w:r>
      <w:r>
        <w:rPr>
          <w:rFonts w:ascii="Century Gothic" w:hAnsi="Century Gothic"/>
          <w:b/>
          <w:w w:val="115"/>
        </w:rPr>
        <w:t>≥ </w:t>
      </w:r>
      <w:r>
        <w:rPr/>
        <w:t>‘Texture Quality’, which highlighted interdisciplinary mixed-media works by 76 year 7 to year </w:t>
      </w:r>
      <w:r>
        <w:rPr>
          <w:w w:val="95"/>
        </w:rPr>
        <w:t>11 </w:t>
      </w:r>
      <w:r>
        <w:rPr/>
        <w:t>students at Hoxton Park High School</w:t>
      </w:r>
    </w:p>
    <w:p>
      <w:pPr>
        <w:pStyle w:val="BodyText"/>
        <w:spacing w:line="247" w:lineRule="auto" w:before="57"/>
        <w:ind w:left="305" w:right="27" w:hanging="199"/>
      </w:pPr>
      <w:r>
        <w:rPr>
          <w:rFonts w:ascii="Century Gothic" w:hAnsi="Century Gothic"/>
          <w:b/>
          <w:w w:val="115"/>
        </w:rPr>
        <w:t>≥ </w:t>
      </w:r>
      <w:r>
        <w:rPr/>
        <w:t>‘Ned Meets Sidney’, which featured works by 75 kindergarten to year 6 students at St John the Evangelist Catholic Primary School Campbelltown</w:t>
      </w:r>
    </w:p>
    <w:p>
      <w:pPr>
        <w:pStyle w:val="BodyText"/>
        <w:spacing w:line="247" w:lineRule="auto" w:before="57"/>
        <w:ind w:left="305" w:right="98" w:hanging="199"/>
      </w:pPr>
      <w:r>
        <w:rPr>
          <w:rFonts w:ascii="Century Gothic" w:hAnsi="Century Gothic"/>
          <w:b/>
          <w:w w:val="115"/>
        </w:rPr>
        <w:t>≥ </w:t>
      </w:r>
      <w:r>
        <w:rPr/>
        <w:t>‘Our Journey Through Indonesia’, a collection of 83 works by kindergarten to year 6 students at Greenway Park Public School</w:t>
      </w:r>
    </w:p>
    <w:p>
      <w:pPr>
        <w:pStyle w:val="BodyText"/>
        <w:spacing w:line="247" w:lineRule="auto" w:before="57"/>
        <w:ind w:left="305" w:right="209" w:hanging="199"/>
      </w:pPr>
      <w:r>
        <w:rPr>
          <w:rFonts w:ascii="Century Gothic" w:hAnsi="Century Gothic"/>
          <w:b/>
          <w:w w:val="115"/>
        </w:rPr>
        <w:t>≥ </w:t>
      </w:r>
      <w:r>
        <w:rPr/>
        <w:t>‘Canterbury Boys High School Art Exhibition’, which featured works by 65 year 7 to year </w:t>
      </w:r>
      <w:r>
        <w:rPr>
          <w:w w:val="95"/>
        </w:rPr>
        <w:t>11 </w:t>
      </w:r>
      <w:r>
        <w:rPr/>
        <w:t>students</w:t>
      </w:r>
    </w:p>
    <w:p>
      <w:pPr>
        <w:pStyle w:val="BodyText"/>
        <w:spacing w:line="247" w:lineRule="auto" w:before="57"/>
        <w:ind w:left="305" w:hanging="199"/>
        <w:jc w:val="both"/>
      </w:pPr>
      <w:r>
        <w:rPr>
          <w:rFonts w:ascii="Century Gothic" w:hAnsi="Century Gothic"/>
          <w:b/>
          <w:w w:val="115"/>
        </w:rPr>
        <w:t>≥</w:t>
      </w:r>
      <w:r>
        <w:rPr>
          <w:rFonts w:ascii="Century Gothic" w:hAnsi="Century Gothic"/>
          <w:b/>
          <w:spacing w:val="19"/>
          <w:w w:val="115"/>
        </w:rPr>
        <w:t> </w:t>
      </w:r>
      <w:r>
        <w:rPr/>
        <w:t>‘Art</w:t>
      </w:r>
      <w:r>
        <w:rPr>
          <w:spacing w:val="-12"/>
        </w:rPr>
        <w:t> </w:t>
      </w:r>
      <w:r>
        <w:rPr/>
        <w:t>Throughout</w:t>
      </w:r>
      <w:r>
        <w:rPr>
          <w:spacing w:val="-12"/>
        </w:rPr>
        <w:t> </w:t>
      </w:r>
      <w:r>
        <w:rPr/>
        <w:t>Time’,</w:t>
      </w:r>
      <w:r>
        <w:rPr>
          <w:spacing w:val="-12"/>
        </w:rPr>
        <w:t> </w:t>
      </w:r>
      <w:r>
        <w:rPr/>
        <w:t>a</w:t>
      </w:r>
      <w:r>
        <w:rPr>
          <w:spacing w:val="-12"/>
        </w:rPr>
        <w:t> </w:t>
      </w:r>
      <w:r>
        <w:rPr/>
        <w:t>collection</w:t>
      </w:r>
      <w:r>
        <w:rPr>
          <w:spacing w:val="-12"/>
        </w:rPr>
        <w:t> </w:t>
      </w:r>
      <w:r>
        <w:rPr/>
        <w:t>of</w:t>
      </w:r>
      <w:r>
        <w:rPr>
          <w:spacing w:val="-12"/>
        </w:rPr>
        <w:t> </w:t>
      </w:r>
      <w:r>
        <w:rPr/>
        <w:t>works by</w:t>
      </w:r>
      <w:r>
        <w:rPr>
          <w:spacing w:val="-21"/>
        </w:rPr>
        <w:t> </w:t>
      </w:r>
      <w:r>
        <w:rPr/>
        <w:t>80</w:t>
      </w:r>
      <w:r>
        <w:rPr>
          <w:spacing w:val="-21"/>
        </w:rPr>
        <w:t> </w:t>
      </w:r>
      <w:r>
        <w:rPr/>
        <w:t>year</w:t>
      </w:r>
      <w:r>
        <w:rPr>
          <w:spacing w:val="-21"/>
        </w:rPr>
        <w:t> </w:t>
      </w:r>
      <w:r>
        <w:rPr/>
        <w:t>7</w:t>
      </w:r>
      <w:r>
        <w:rPr>
          <w:spacing w:val="-21"/>
        </w:rPr>
        <w:t> </w:t>
      </w:r>
      <w:r>
        <w:rPr/>
        <w:t>to</w:t>
      </w:r>
      <w:r>
        <w:rPr>
          <w:spacing w:val="-21"/>
        </w:rPr>
        <w:t> </w:t>
      </w:r>
      <w:r>
        <w:rPr/>
        <w:t>year</w:t>
      </w:r>
      <w:r>
        <w:rPr>
          <w:spacing w:val="-21"/>
        </w:rPr>
        <w:t> </w:t>
      </w:r>
      <w:r>
        <w:rPr>
          <w:w w:val="95"/>
        </w:rPr>
        <w:t>11</w:t>
      </w:r>
      <w:r>
        <w:rPr>
          <w:spacing w:val="-18"/>
          <w:w w:val="95"/>
        </w:rPr>
        <w:t> </w:t>
      </w:r>
      <w:r>
        <w:rPr/>
        <w:t>students</w:t>
      </w:r>
      <w:r>
        <w:rPr>
          <w:spacing w:val="-21"/>
        </w:rPr>
        <w:t> </w:t>
      </w:r>
      <w:r>
        <w:rPr/>
        <w:t>at</w:t>
      </w:r>
      <w:r>
        <w:rPr>
          <w:spacing w:val="-21"/>
        </w:rPr>
        <w:t> </w:t>
      </w:r>
      <w:r>
        <w:rPr/>
        <w:t>Elizabeth Macarthur High</w:t>
      </w:r>
      <w:r>
        <w:rPr>
          <w:spacing w:val="-24"/>
        </w:rPr>
        <w:t> </w:t>
      </w:r>
      <w:r>
        <w:rPr/>
        <w:t>School</w:t>
      </w:r>
    </w:p>
    <w:p>
      <w:pPr>
        <w:pStyle w:val="BodyText"/>
        <w:spacing w:line="247" w:lineRule="auto" w:before="57"/>
        <w:ind w:left="305" w:right="303" w:hanging="199"/>
        <w:jc w:val="both"/>
      </w:pPr>
      <w:r>
        <w:rPr>
          <w:rFonts w:ascii="Century Gothic" w:hAnsi="Century Gothic"/>
          <w:b/>
          <w:w w:val="115"/>
        </w:rPr>
        <w:t>≥ </w:t>
      </w:r>
      <w:r>
        <w:rPr/>
        <w:t>‘Diverse Creativity’, which highlighted artworks by 55 kindergarten to year 6 students</w:t>
      </w:r>
      <w:r>
        <w:rPr>
          <w:spacing w:val="-13"/>
        </w:rPr>
        <w:t> </w:t>
      </w:r>
      <w:r>
        <w:rPr/>
        <w:t>at</w:t>
      </w:r>
      <w:r>
        <w:rPr>
          <w:spacing w:val="-13"/>
        </w:rPr>
        <w:t> </w:t>
      </w:r>
      <w:r>
        <w:rPr/>
        <w:t>Bossley</w:t>
      </w:r>
      <w:r>
        <w:rPr>
          <w:spacing w:val="-13"/>
        </w:rPr>
        <w:t> </w:t>
      </w:r>
      <w:r>
        <w:rPr/>
        <w:t>Park</w:t>
      </w:r>
      <w:r>
        <w:rPr>
          <w:spacing w:val="-13"/>
        </w:rPr>
        <w:t> </w:t>
      </w:r>
      <w:r>
        <w:rPr/>
        <w:t>Public</w:t>
      </w:r>
      <w:r>
        <w:rPr>
          <w:spacing w:val="-13"/>
        </w:rPr>
        <w:t> </w:t>
      </w:r>
      <w:r>
        <w:rPr/>
        <w:t>School.</w:t>
      </w:r>
    </w:p>
    <w:p>
      <w:pPr>
        <w:pStyle w:val="BodyText"/>
        <w:spacing w:before="2"/>
        <w:rPr>
          <w:sz w:val="14"/>
        </w:rPr>
      </w:pPr>
    </w:p>
    <w:p>
      <w:pPr>
        <w:pStyle w:val="BodyText"/>
        <w:spacing w:line="249" w:lineRule="auto"/>
        <w:ind w:left="107" w:right="116"/>
      </w:pPr>
      <w:r>
        <w:rPr/>
        <w:t>The Margot Hardy Gallery’s exhibition program encourages community groups and</w:t>
      </w:r>
      <w:r>
        <w:rPr>
          <w:spacing w:val="-15"/>
        </w:rPr>
        <w:t> </w:t>
      </w:r>
      <w:r>
        <w:rPr/>
        <w:t>schools</w:t>
      </w:r>
      <w:r>
        <w:rPr>
          <w:spacing w:val="-15"/>
        </w:rPr>
        <w:t> </w:t>
      </w:r>
      <w:r>
        <w:rPr/>
        <w:t>to</w:t>
      </w:r>
      <w:r>
        <w:rPr>
          <w:spacing w:val="-15"/>
        </w:rPr>
        <w:t> </w:t>
      </w:r>
      <w:r>
        <w:rPr/>
        <w:t>promote</w:t>
      </w:r>
      <w:r>
        <w:rPr>
          <w:spacing w:val="-15"/>
        </w:rPr>
        <w:t> </w:t>
      </w:r>
      <w:r>
        <w:rPr/>
        <w:t>their</w:t>
      </w:r>
      <w:r>
        <w:rPr>
          <w:spacing w:val="-15"/>
        </w:rPr>
        <w:t> </w:t>
      </w:r>
      <w:r>
        <w:rPr/>
        <w:t>creativity</w:t>
      </w:r>
      <w:r>
        <w:rPr>
          <w:spacing w:val="-15"/>
        </w:rPr>
        <w:t> </w:t>
      </w:r>
      <w:r>
        <w:rPr/>
        <w:t>–</w:t>
      </w:r>
      <w:r>
        <w:rPr>
          <w:spacing w:val="-15"/>
        </w:rPr>
        <w:t> </w:t>
      </w:r>
      <w:r>
        <w:rPr/>
        <w:t>and sometimes their histories. It also provides a focal point for the issues that interest these community</w:t>
      </w:r>
      <w:r>
        <w:rPr>
          <w:spacing w:val="-16"/>
        </w:rPr>
        <w:t> </w:t>
      </w:r>
      <w:r>
        <w:rPr/>
        <w:t>groups</w:t>
      </w:r>
      <w:r>
        <w:rPr>
          <w:spacing w:val="-16"/>
        </w:rPr>
        <w:t> </w:t>
      </w:r>
      <w:r>
        <w:rPr/>
        <w:t>and</w:t>
      </w:r>
      <w:r>
        <w:rPr>
          <w:spacing w:val="-16"/>
        </w:rPr>
        <w:t> </w:t>
      </w:r>
      <w:r>
        <w:rPr/>
        <w:t>schools.</w:t>
      </w:r>
    </w:p>
    <w:p>
      <w:pPr>
        <w:pStyle w:val="BodyText"/>
        <w:spacing w:before="3"/>
        <w:rPr>
          <w:sz w:val="19"/>
        </w:rPr>
      </w:pPr>
    </w:p>
    <w:p>
      <w:pPr>
        <w:pStyle w:val="Heading7"/>
        <w:spacing w:line="249" w:lineRule="auto"/>
        <w:ind w:right="674"/>
      </w:pPr>
      <w:r>
        <w:rPr>
          <w:w w:val="95"/>
        </w:rPr>
        <w:t>WESTERN SYDNEY UNIVERSITY ART GALLERY</w:t>
      </w:r>
    </w:p>
    <w:p>
      <w:pPr>
        <w:pStyle w:val="BodyText"/>
        <w:spacing w:line="249" w:lineRule="auto" w:before="50"/>
        <w:ind w:left="107" w:right="733"/>
        <w:jc w:val="both"/>
      </w:pPr>
      <w:r>
        <w:rPr/>
        <w:t>The</w:t>
      </w:r>
      <w:r>
        <w:rPr>
          <w:spacing w:val="-15"/>
        </w:rPr>
        <w:t> </w:t>
      </w:r>
      <w:r>
        <w:rPr/>
        <w:t>Western</w:t>
      </w:r>
      <w:r>
        <w:rPr>
          <w:spacing w:val="-15"/>
        </w:rPr>
        <w:t> </w:t>
      </w:r>
      <w:r>
        <w:rPr/>
        <w:t>Sydney</w:t>
      </w:r>
      <w:r>
        <w:rPr>
          <w:spacing w:val="-15"/>
        </w:rPr>
        <w:t> </w:t>
      </w:r>
      <w:r>
        <w:rPr/>
        <w:t>University</w:t>
      </w:r>
      <w:r>
        <w:rPr>
          <w:spacing w:val="-15"/>
        </w:rPr>
        <w:t> </w:t>
      </w:r>
      <w:r>
        <w:rPr>
          <w:spacing w:val="2"/>
        </w:rPr>
        <w:t>Art </w:t>
      </w:r>
      <w:r>
        <w:rPr/>
        <w:t>Gallery,</w:t>
      </w:r>
      <w:r>
        <w:rPr>
          <w:spacing w:val="-15"/>
        </w:rPr>
        <w:t> </w:t>
      </w:r>
      <w:r>
        <w:rPr/>
        <w:t>based</w:t>
      </w:r>
      <w:r>
        <w:rPr>
          <w:spacing w:val="-15"/>
        </w:rPr>
        <w:t> </w:t>
      </w:r>
      <w:r>
        <w:rPr/>
        <w:t>at</w:t>
      </w:r>
      <w:r>
        <w:rPr>
          <w:spacing w:val="-15"/>
        </w:rPr>
        <w:t> </w:t>
      </w:r>
      <w:r>
        <w:rPr/>
        <w:t>Werrington</w:t>
      </w:r>
      <w:r>
        <w:rPr>
          <w:spacing w:val="-15"/>
        </w:rPr>
        <w:t> </w:t>
      </w:r>
      <w:r>
        <w:rPr/>
        <w:t>North in</w:t>
      </w:r>
      <w:r>
        <w:rPr>
          <w:spacing w:val="-25"/>
        </w:rPr>
        <w:t> </w:t>
      </w:r>
      <w:r>
        <w:rPr/>
        <w:t>Penrith,</w:t>
      </w:r>
      <w:r>
        <w:rPr>
          <w:spacing w:val="-25"/>
        </w:rPr>
        <w:t> </w:t>
      </w:r>
      <w:r>
        <w:rPr>
          <w:spacing w:val="2"/>
        </w:rPr>
        <w:t>supports</w:t>
      </w:r>
      <w:r>
        <w:rPr>
          <w:spacing w:val="-25"/>
        </w:rPr>
        <w:t> </w:t>
      </w:r>
      <w:r>
        <w:rPr/>
        <w:t>University</w:t>
      </w:r>
      <w:r>
        <w:rPr>
          <w:spacing w:val="-25"/>
        </w:rPr>
        <w:t> </w:t>
      </w:r>
      <w:r>
        <w:rPr/>
        <w:t>staff,</w:t>
      </w:r>
    </w:p>
    <w:p>
      <w:pPr>
        <w:pStyle w:val="BodyText"/>
        <w:spacing w:line="249" w:lineRule="auto"/>
        <w:ind w:left="107" w:right="547"/>
      </w:pPr>
      <w:r>
        <w:rPr/>
        <w:t>and higher-degree students and their </w:t>
      </w:r>
      <w:r>
        <w:rPr>
          <w:w w:val="93"/>
        </w:rPr>
        <w:t>research. </w:t>
      </w:r>
      <w:r>
        <w:rPr>
          <w:w w:val="94"/>
        </w:rPr>
        <w:t>The </w:t>
      </w:r>
      <w:r>
        <w:rPr>
          <w:w w:val="90"/>
        </w:rPr>
        <w:t>2016 </w:t>
      </w:r>
      <w:r>
        <w:rPr>
          <w:w w:val="97"/>
        </w:rPr>
        <w:t>exhibition </w:t>
      </w:r>
      <w:r>
        <w:rPr>
          <w:w w:val="98"/>
        </w:rPr>
        <w:t>program </w:t>
      </w:r>
      <w:r>
        <w:rPr/>
        <w:t>of five exhibitions included:</w:t>
      </w:r>
    </w:p>
    <w:p>
      <w:pPr>
        <w:pStyle w:val="BodyText"/>
        <w:spacing w:line="247" w:lineRule="auto" w:before="55"/>
        <w:ind w:left="305" w:right="27" w:hanging="199"/>
      </w:pPr>
      <w:r>
        <w:rPr>
          <w:rFonts w:ascii="Century Gothic" w:hAnsi="Century Gothic"/>
          <w:b/>
          <w:w w:val="115"/>
        </w:rPr>
        <w:t>≥ </w:t>
      </w:r>
      <w:r>
        <w:rPr/>
        <w:t>‘Discovery’, which featured works by Liam Benson, Meg Cowell, Brian Robertson and Robyn Stacey from the University’s art collection</w:t>
      </w:r>
    </w:p>
    <w:p>
      <w:pPr>
        <w:pStyle w:val="BodyText"/>
        <w:spacing w:line="244" w:lineRule="auto" w:before="57"/>
        <w:ind w:left="305" w:right="462" w:hanging="199"/>
      </w:pPr>
      <w:r>
        <w:rPr>
          <w:rFonts w:ascii="Century Gothic" w:hAnsi="Century Gothic"/>
          <w:b/>
          <w:w w:val="115"/>
        </w:rPr>
        <w:t>≥</w:t>
      </w:r>
      <w:r>
        <w:rPr>
          <w:rFonts w:ascii="Century Gothic" w:hAnsi="Century Gothic"/>
          <w:b/>
          <w:spacing w:val="-14"/>
          <w:w w:val="115"/>
        </w:rPr>
        <w:t> </w:t>
      </w:r>
      <w:r>
        <w:rPr>
          <w:w w:val="105"/>
        </w:rPr>
        <w:t>‘Water</w:t>
      </w:r>
      <w:r>
        <w:rPr>
          <w:spacing w:val="-32"/>
          <w:w w:val="105"/>
        </w:rPr>
        <w:t> </w:t>
      </w:r>
      <w:r>
        <w:rPr>
          <w:w w:val="105"/>
        </w:rPr>
        <w:t>and</w:t>
      </w:r>
      <w:r>
        <w:rPr>
          <w:spacing w:val="-32"/>
          <w:w w:val="105"/>
        </w:rPr>
        <w:t> </w:t>
      </w:r>
      <w:r>
        <w:rPr>
          <w:w w:val="105"/>
        </w:rPr>
        <w:t>Mountains’,</w:t>
      </w:r>
      <w:r>
        <w:rPr>
          <w:spacing w:val="-32"/>
          <w:w w:val="105"/>
        </w:rPr>
        <w:t> </w:t>
      </w:r>
      <w:r>
        <w:rPr>
          <w:w w:val="105"/>
        </w:rPr>
        <w:t>a</w:t>
      </w:r>
      <w:r>
        <w:rPr>
          <w:spacing w:val="-32"/>
          <w:w w:val="105"/>
        </w:rPr>
        <w:t> </w:t>
      </w:r>
      <w:r>
        <w:rPr>
          <w:w w:val="105"/>
        </w:rPr>
        <w:t>selection</w:t>
      </w:r>
      <w:r>
        <w:rPr>
          <w:spacing w:val="-32"/>
          <w:w w:val="105"/>
        </w:rPr>
        <w:t> </w:t>
      </w:r>
      <w:r>
        <w:rPr>
          <w:w w:val="105"/>
        </w:rPr>
        <w:t>of </w:t>
      </w:r>
      <w:r>
        <w:rPr/>
        <w:t>photographs</w:t>
      </w:r>
      <w:r>
        <w:rPr>
          <w:spacing w:val="-13"/>
        </w:rPr>
        <w:t> </w:t>
      </w:r>
      <w:r>
        <w:rPr/>
        <w:t>by</w:t>
      </w:r>
      <w:r>
        <w:rPr>
          <w:spacing w:val="-13"/>
        </w:rPr>
        <w:t> </w:t>
      </w:r>
      <w:r>
        <w:rPr/>
        <w:t>Yan</w:t>
      </w:r>
      <w:r>
        <w:rPr>
          <w:spacing w:val="-13"/>
        </w:rPr>
        <w:t> </w:t>
      </w:r>
      <w:r>
        <w:rPr/>
        <w:t>Zhang</w:t>
      </w:r>
    </w:p>
    <w:p>
      <w:pPr>
        <w:pStyle w:val="BodyText"/>
        <w:spacing w:line="247" w:lineRule="auto" w:before="58"/>
        <w:ind w:left="305" w:right="19" w:hanging="199"/>
      </w:pPr>
      <w:r>
        <w:rPr>
          <w:rFonts w:ascii="Century Gothic" w:hAnsi="Century Gothic"/>
          <w:b/>
          <w:w w:val="115"/>
        </w:rPr>
        <w:t>≥ </w:t>
      </w:r>
      <w:r>
        <w:rPr/>
        <w:t>‘Getting by in Modernised China’, which featured photographs by Jack Bartlett, Mitchell Cox, Emily Maynard and Dave Cubby</w:t>
      </w:r>
    </w:p>
    <w:p>
      <w:pPr>
        <w:pStyle w:val="BodyText"/>
        <w:spacing w:line="247" w:lineRule="auto" w:before="57"/>
        <w:ind w:left="305" w:right="19" w:hanging="199"/>
      </w:pPr>
      <w:r>
        <w:rPr>
          <w:rFonts w:ascii="Century Gothic" w:hAnsi="Century Gothic"/>
          <w:b/>
          <w:w w:val="115"/>
        </w:rPr>
        <w:t>≥ </w:t>
      </w:r>
      <w:r>
        <w:rPr>
          <w:w w:val="105"/>
        </w:rPr>
        <w:t>‘Refuge’, works by Western Sydney </w:t>
      </w:r>
      <w:r>
        <w:rPr/>
        <w:t>University Bachelor of Design (Visual Communication) students</w:t>
      </w:r>
    </w:p>
    <w:p>
      <w:pPr>
        <w:pStyle w:val="BodyText"/>
        <w:spacing w:before="57"/>
        <w:ind w:left="107"/>
      </w:pPr>
      <w:r>
        <w:rPr>
          <w:rFonts w:ascii="Century Gothic" w:hAnsi="Century Gothic"/>
          <w:b/>
          <w:w w:val="115"/>
        </w:rPr>
        <w:t>≥</w:t>
      </w:r>
      <w:r>
        <w:rPr>
          <w:rFonts w:ascii="Century Gothic" w:hAnsi="Century Gothic"/>
          <w:b/>
          <w:spacing w:val="12"/>
          <w:w w:val="115"/>
        </w:rPr>
        <w:t> </w:t>
      </w:r>
      <w:r>
        <w:rPr>
          <w:spacing w:val="2"/>
        </w:rPr>
        <w:t>‘The</w:t>
      </w:r>
      <w:r>
        <w:rPr>
          <w:spacing w:val="-16"/>
        </w:rPr>
        <w:t> </w:t>
      </w:r>
      <w:r>
        <w:rPr/>
        <w:t>World</w:t>
      </w:r>
      <w:r>
        <w:rPr>
          <w:spacing w:val="-16"/>
        </w:rPr>
        <w:t> </w:t>
      </w:r>
      <w:r>
        <w:rPr/>
        <w:t>We</w:t>
      </w:r>
      <w:r>
        <w:rPr>
          <w:spacing w:val="-16"/>
        </w:rPr>
        <w:t> </w:t>
      </w:r>
      <w:r>
        <w:rPr/>
        <w:t>Live</w:t>
      </w:r>
      <w:r>
        <w:rPr>
          <w:spacing w:val="-16"/>
        </w:rPr>
        <w:t> </w:t>
      </w:r>
      <w:r>
        <w:rPr/>
        <w:t>In’,</w:t>
      </w:r>
      <w:r>
        <w:rPr>
          <w:spacing w:val="-16"/>
        </w:rPr>
        <w:t> </w:t>
      </w:r>
      <w:r>
        <w:rPr/>
        <w:t>which</w:t>
      </w:r>
      <w:r>
        <w:rPr>
          <w:spacing w:val="-16"/>
        </w:rPr>
        <w:t> </w:t>
      </w:r>
      <w:r>
        <w:rPr/>
        <w:t>featured</w:t>
      </w:r>
      <w:r>
        <w:rPr>
          <w:spacing w:val="-16"/>
        </w:rPr>
        <w:t> </w:t>
      </w:r>
      <w:r>
        <w:rPr/>
        <w:t>local</w:t>
      </w:r>
    </w:p>
    <w:p>
      <w:pPr>
        <w:pStyle w:val="BodyText"/>
        <w:spacing w:line="249" w:lineRule="auto" w:before="71"/>
        <w:ind w:left="305" w:right="182"/>
      </w:pPr>
      <w:r>
        <w:rPr/>
        <w:br w:type="column"/>
      </w:r>
      <w:r>
        <w:rPr/>
        <w:t>artists Rebecca Stephenson, Liam Brassil, Kristy Pugliano, Daniella Argenta, Daniel Muscat and Elisha Allison.</w:t>
      </w:r>
    </w:p>
    <w:p>
      <w:pPr>
        <w:pStyle w:val="BodyText"/>
        <w:rPr>
          <w:sz w:val="14"/>
        </w:rPr>
      </w:pPr>
    </w:p>
    <w:p>
      <w:pPr>
        <w:pStyle w:val="BodyText"/>
        <w:spacing w:line="249" w:lineRule="auto"/>
        <w:ind w:left="107" w:right="42"/>
      </w:pPr>
      <w:r>
        <w:rPr/>
        <w:t>All exhibitions had a public education program for presenting art talks to the public.</w:t>
      </w:r>
    </w:p>
    <w:p>
      <w:pPr>
        <w:pStyle w:val="BodyText"/>
        <w:spacing w:before="3"/>
        <w:rPr>
          <w:sz w:val="19"/>
        </w:rPr>
      </w:pPr>
    </w:p>
    <w:p>
      <w:pPr>
        <w:pStyle w:val="Heading7"/>
        <w:ind w:right="0"/>
      </w:pPr>
      <w:r>
        <w:rPr>
          <w:w w:val="95"/>
        </w:rPr>
        <w:t>MARGARET WHITLAM GALLERIES</w:t>
      </w:r>
    </w:p>
    <w:p>
      <w:pPr>
        <w:pStyle w:val="BodyText"/>
        <w:spacing w:line="249" w:lineRule="auto" w:before="58"/>
        <w:ind w:left="107"/>
      </w:pPr>
      <w:r>
        <w:rPr/>
        <w:t>The</w:t>
      </w:r>
      <w:r>
        <w:rPr>
          <w:spacing w:val="-18"/>
        </w:rPr>
        <w:t> </w:t>
      </w:r>
      <w:r>
        <w:rPr/>
        <w:t>Margaret</w:t>
      </w:r>
      <w:r>
        <w:rPr>
          <w:spacing w:val="-18"/>
        </w:rPr>
        <w:t> </w:t>
      </w:r>
      <w:r>
        <w:rPr/>
        <w:t>Whitlam</w:t>
      </w:r>
      <w:r>
        <w:rPr>
          <w:spacing w:val="-18"/>
        </w:rPr>
        <w:t> </w:t>
      </w:r>
      <w:r>
        <w:rPr/>
        <w:t>Galleries</w:t>
      </w:r>
      <w:r>
        <w:rPr>
          <w:spacing w:val="-18"/>
        </w:rPr>
        <w:t> </w:t>
      </w:r>
      <w:r>
        <w:rPr/>
        <w:t>at</w:t>
      </w:r>
      <w:r>
        <w:rPr>
          <w:spacing w:val="-18"/>
        </w:rPr>
        <w:t> </w:t>
      </w:r>
      <w:r>
        <w:rPr/>
        <w:t>the</w:t>
      </w:r>
      <w:r>
        <w:rPr>
          <w:spacing w:val="-18"/>
        </w:rPr>
        <w:t> </w:t>
      </w:r>
      <w:r>
        <w:rPr/>
        <w:t>Female Orphan</w:t>
      </w:r>
      <w:r>
        <w:rPr>
          <w:spacing w:val="-13"/>
        </w:rPr>
        <w:t> </w:t>
      </w:r>
      <w:r>
        <w:rPr/>
        <w:t>School</w:t>
      </w:r>
      <w:r>
        <w:rPr>
          <w:spacing w:val="-13"/>
        </w:rPr>
        <w:t> </w:t>
      </w:r>
      <w:r>
        <w:rPr/>
        <w:t>at</w:t>
      </w:r>
      <w:r>
        <w:rPr>
          <w:spacing w:val="-13"/>
        </w:rPr>
        <w:t> </w:t>
      </w:r>
      <w:r>
        <w:rPr/>
        <w:t>the</w:t>
      </w:r>
      <w:r>
        <w:rPr>
          <w:spacing w:val="-13"/>
        </w:rPr>
        <w:t> </w:t>
      </w:r>
      <w:r>
        <w:rPr/>
        <w:t>Parramatta</w:t>
      </w:r>
      <w:r>
        <w:rPr>
          <w:spacing w:val="-13"/>
        </w:rPr>
        <w:t> </w:t>
      </w:r>
      <w:r>
        <w:rPr/>
        <w:t>campus</w:t>
      </w:r>
    </w:p>
    <w:p>
      <w:pPr>
        <w:pStyle w:val="BodyText"/>
        <w:spacing w:line="249" w:lineRule="auto"/>
        <w:ind w:left="107" w:right="278"/>
      </w:pPr>
      <w:r>
        <w:rPr/>
        <w:t>are predominantly host national touring exhibitions from major cultural institutions. The 2016 exhibition program included:</w:t>
      </w:r>
    </w:p>
    <w:p>
      <w:pPr>
        <w:pStyle w:val="BodyText"/>
        <w:spacing w:before="11"/>
        <w:rPr>
          <w:sz w:val="13"/>
        </w:rPr>
      </w:pPr>
    </w:p>
    <w:p>
      <w:pPr>
        <w:pStyle w:val="BodyText"/>
        <w:spacing w:line="247" w:lineRule="auto"/>
        <w:ind w:left="305" w:right="111" w:hanging="199"/>
      </w:pPr>
      <w:r>
        <w:rPr>
          <w:rFonts w:ascii="Century Gothic" w:hAnsi="Century Gothic"/>
          <w:b/>
          <w:w w:val="115"/>
        </w:rPr>
        <w:t>≥ </w:t>
      </w:r>
      <w:r>
        <w:rPr/>
        <w:t>‘ARTEXPRESS’, a selection of outstanding </w:t>
      </w:r>
      <w:r>
        <w:rPr>
          <w:w w:val="97"/>
        </w:rPr>
        <w:t>works </w:t>
      </w:r>
      <w:r>
        <w:rPr>
          <w:w w:val="102"/>
        </w:rPr>
        <w:t>by </w:t>
      </w:r>
      <w:r>
        <w:rPr>
          <w:w w:val="90"/>
        </w:rPr>
        <w:t>2016 </w:t>
      </w:r>
      <w:r>
        <w:rPr>
          <w:w w:val="101"/>
        </w:rPr>
        <w:t>NSW </w:t>
      </w:r>
      <w:r>
        <w:rPr>
          <w:w w:val="97"/>
        </w:rPr>
        <w:t>Higher </w:t>
      </w:r>
      <w:r>
        <w:rPr>
          <w:w w:val="98"/>
        </w:rPr>
        <w:t>School </w:t>
      </w:r>
      <w:r>
        <w:rPr/>
        <w:t>Certificate visual arts students. This is</w:t>
      </w:r>
    </w:p>
    <w:p>
      <w:pPr>
        <w:pStyle w:val="BodyText"/>
        <w:spacing w:line="249" w:lineRule="auto" w:before="1"/>
        <w:ind w:left="305" w:right="459"/>
      </w:pPr>
      <w:r>
        <w:rPr/>
        <w:t>an initiative of the NSW Department of</w:t>
      </w:r>
      <w:r>
        <w:rPr>
          <w:spacing w:val="-15"/>
        </w:rPr>
        <w:t> </w:t>
      </w:r>
      <w:r>
        <w:rPr/>
        <w:t>Education</w:t>
      </w:r>
      <w:r>
        <w:rPr>
          <w:spacing w:val="-15"/>
        </w:rPr>
        <w:t> </w:t>
      </w:r>
      <w:r>
        <w:rPr/>
        <w:t>and</w:t>
      </w:r>
      <w:r>
        <w:rPr>
          <w:spacing w:val="-15"/>
        </w:rPr>
        <w:t> </w:t>
      </w:r>
      <w:r>
        <w:rPr/>
        <w:t>the</w:t>
      </w:r>
      <w:r>
        <w:rPr>
          <w:spacing w:val="-15"/>
        </w:rPr>
        <w:t> </w:t>
      </w:r>
      <w:r>
        <w:rPr/>
        <w:t>Board</w:t>
      </w:r>
      <w:r>
        <w:rPr>
          <w:spacing w:val="-15"/>
        </w:rPr>
        <w:t> </w:t>
      </w:r>
      <w:r>
        <w:rPr/>
        <w:t>of</w:t>
      </w:r>
      <w:r>
        <w:rPr>
          <w:spacing w:val="-15"/>
        </w:rPr>
        <w:t> </w:t>
      </w:r>
      <w:r>
        <w:rPr/>
        <w:t>Studies, Teaching</w:t>
      </w:r>
      <w:r>
        <w:rPr>
          <w:spacing w:val="-21"/>
        </w:rPr>
        <w:t> </w:t>
      </w:r>
      <w:r>
        <w:rPr/>
        <w:t>and</w:t>
      </w:r>
      <w:r>
        <w:rPr>
          <w:spacing w:val="-21"/>
        </w:rPr>
        <w:t> </w:t>
      </w:r>
      <w:r>
        <w:rPr/>
        <w:t>Educational</w:t>
      </w:r>
      <w:r>
        <w:rPr>
          <w:spacing w:val="-21"/>
        </w:rPr>
        <w:t> </w:t>
      </w:r>
      <w:r>
        <w:rPr/>
        <w:t>Standards</w:t>
      </w:r>
    </w:p>
    <w:p>
      <w:pPr>
        <w:pStyle w:val="BodyText"/>
        <w:spacing w:line="249" w:lineRule="auto"/>
        <w:ind w:left="305" w:right="86"/>
      </w:pPr>
      <w:r>
        <w:rPr/>
        <w:t>NSW, in association with Western Sydney University and The Academy. Educational programs included curator talks for visiting high school students.</w:t>
      </w:r>
    </w:p>
    <w:p>
      <w:pPr>
        <w:pStyle w:val="BodyText"/>
        <w:spacing w:line="247" w:lineRule="auto" w:before="55"/>
        <w:ind w:left="305" w:right="29" w:hanging="199"/>
      </w:pPr>
      <w:r>
        <w:rPr>
          <w:rFonts w:ascii="Century Gothic" w:hAnsi="Century Gothic"/>
          <w:b/>
          <w:w w:val="115"/>
        </w:rPr>
        <w:t>≥ </w:t>
      </w:r>
      <w:r>
        <w:rPr/>
        <w:t>‘The Way of the Reformer: Gough Whitlam in His Century’, which was curated by Guy Betts. This exhibition marked the centenary of Gough Whitlam’s birth, telling his story, and included educational programs and </w:t>
      </w:r>
      <w:r>
        <w:rPr>
          <w:w w:val="95"/>
        </w:rPr>
        <w:t>curator talks.</w:t>
      </w:r>
    </w:p>
    <w:p>
      <w:pPr>
        <w:pStyle w:val="BodyText"/>
        <w:spacing w:line="247" w:lineRule="auto" w:before="57"/>
        <w:ind w:left="305" w:right="204" w:hanging="199"/>
      </w:pPr>
      <w:r>
        <w:rPr>
          <w:rFonts w:ascii="Century Gothic" w:hAnsi="Century Gothic"/>
          <w:b/>
          <w:w w:val="115"/>
        </w:rPr>
        <w:t>≥</w:t>
      </w:r>
      <w:r>
        <w:rPr>
          <w:rFonts w:ascii="Century Gothic" w:hAnsi="Century Gothic"/>
          <w:b/>
          <w:spacing w:val="16"/>
          <w:w w:val="115"/>
        </w:rPr>
        <w:t> </w:t>
      </w:r>
      <w:r>
        <w:rPr>
          <w:spacing w:val="-4"/>
        </w:rPr>
        <w:t>‘A</w:t>
      </w:r>
      <w:r>
        <w:rPr>
          <w:spacing w:val="-14"/>
        </w:rPr>
        <w:t> </w:t>
      </w:r>
      <w:r>
        <w:rPr/>
        <w:t>Sense</w:t>
      </w:r>
      <w:r>
        <w:rPr>
          <w:spacing w:val="-14"/>
        </w:rPr>
        <w:t> </w:t>
      </w:r>
      <w:r>
        <w:rPr/>
        <w:t>of</w:t>
      </w:r>
      <w:r>
        <w:rPr>
          <w:spacing w:val="-14"/>
        </w:rPr>
        <w:t> </w:t>
      </w:r>
      <w:r>
        <w:rPr/>
        <w:t>Place:</w:t>
      </w:r>
      <w:r>
        <w:rPr>
          <w:spacing w:val="-14"/>
        </w:rPr>
        <w:t> </w:t>
      </w:r>
      <w:r>
        <w:rPr/>
        <w:t>The</w:t>
      </w:r>
      <w:r>
        <w:rPr>
          <w:spacing w:val="-14"/>
        </w:rPr>
        <w:t> </w:t>
      </w:r>
      <w:r>
        <w:rPr/>
        <w:t>artist</w:t>
      </w:r>
      <w:r>
        <w:rPr>
          <w:spacing w:val="-14"/>
        </w:rPr>
        <w:t> </w:t>
      </w:r>
      <w:r>
        <w:rPr/>
        <w:t>Greg</w:t>
      </w:r>
      <w:r>
        <w:rPr>
          <w:spacing w:val="-14"/>
        </w:rPr>
        <w:t> </w:t>
      </w:r>
      <w:r>
        <w:rPr/>
        <w:t>Hansell’s Record of History Now’, which the University commissioned to document the Female Orphan School before it was </w:t>
      </w:r>
      <w:r>
        <w:rPr>
          <w:w w:val="95"/>
        </w:rPr>
        <w:t>renovated, </w:t>
      </w:r>
      <w:r>
        <w:rPr>
          <w:spacing w:val="1"/>
          <w:w w:val="97"/>
        </w:rPr>
        <w:t>and</w:t>
      </w:r>
      <w:r>
        <w:rPr>
          <w:w w:val="97"/>
        </w:rPr>
        <w:t> </w:t>
      </w:r>
      <w:r>
        <w:rPr>
          <w:spacing w:val="1"/>
          <w:w w:val="96"/>
        </w:rPr>
        <w:t>again</w:t>
      </w:r>
      <w:r>
        <w:rPr>
          <w:w w:val="96"/>
        </w:rPr>
        <w:t> </w:t>
      </w:r>
      <w:r>
        <w:rPr>
          <w:w w:val="95"/>
        </w:rPr>
        <w:t>in </w:t>
      </w:r>
      <w:r>
        <w:rPr>
          <w:spacing w:val="1"/>
          <w:w w:val="84"/>
        </w:rPr>
        <w:t>2013,</w:t>
      </w:r>
      <w:r>
        <w:rPr>
          <w:w w:val="84"/>
        </w:rPr>
        <w:t> </w:t>
      </w:r>
      <w:r>
        <w:rPr>
          <w:spacing w:val="1"/>
          <w:w w:val="97"/>
        </w:rPr>
        <w:t>when</w:t>
      </w:r>
      <w:r>
        <w:rPr>
          <w:w w:val="97"/>
        </w:rPr>
        <w:t> </w:t>
      </w:r>
      <w:r>
        <w:rPr>
          <w:w w:val="97"/>
        </w:rPr>
        <w:t>the </w:t>
      </w:r>
      <w:r>
        <w:rPr/>
        <w:t>East</w:t>
      </w:r>
      <w:r>
        <w:rPr>
          <w:spacing w:val="-13"/>
        </w:rPr>
        <w:t> </w:t>
      </w:r>
      <w:r>
        <w:rPr/>
        <w:t>and</w:t>
      </w:r>
      <w:r>
        <w:rPr>
          <w:spacing w:val="-13"/>
        </w:rPr>
        <w:t> </w:t>
      </w:r>
      <w:r>
        <w:rPr/>
        <w:t>West</w:t>
      </w:r>
      <w:r>
        <w:rPr>
          <w:spacing w:val="-13"/>
        </w:rPr>
        <w:t> </w:t>
      </w:r>
      <w:r>
        <w:rPr/>
        <w:t>wings</w:t>
      </w:r>
      <w:r>
        <w:rPr>
          <w:spacing w:val="-13"/>
        </w:rPr>
        <w:t> </w:t>
      </w:r>
      <w:r>
        <w:rPr/>
        <w:t>of</w:t>
      </w:r>
      <w:r>
        <w:rPr>
          <w:spacing w:val="-13"/>
        </w:rPr>
        <w:t> </w:t>
      </w:r>
      <w:r>
        <w:rPr/>
        <w:t>the</w:t>
      </w:r>
      <w:r>
        <w:rPr>
          <w:spacing w:val="-13"/>
        </w:rPr>
        <w:t> </w:t>
      </w:r>
      <w:r>
        <w:rPr/>
        <w:t>building</w:t>
      </w:r>
      <w:r>
        <w:rPr>
          <w:spacing w:val="-13"/>
        </w:rPr>
        <w:t> </w:t>
      </w:r>
      <w:r>
        <w:rPr/>
        <w:t>were completed.</w:t>
      </w:r>
      <w:r>
        <w:rPr>
          <w:spacing w:val="-19"/>
        </w:rPr>
        <w:t> </w:t>
      </w:r>
      <w:r>
        <w:rPr/>
        <w:t>The</w:t>
      </w:r>
      <w:r>
        <w:rPr>
          <w:spacing w:val="-19"/>
        </w:rPr>
        <w:t> </w:t>
      </w:r>
      <w:r>
        <w:rPr/>
        <w:t>exhibition</w:t>
      </w:r>
      <w:r>
        <w:rPr>
          <w:spacing w:val="-19"/>
        </w:rPr>
        <w:t> </w:t>
      </w:r>
      <w:r>
        <w:rPr/>
        <w:t>also</w:t>
      </w:r>
      <w:r>
        <w:rPr>
          <w:spacing w:val="-19"/>
        </w:rPr>
        <w:t> </w:t>
      </w:r>
      <w:r>
        <w:rPr/>
        <w:t>explored</w:t>
      </w:r>
    </w:p>
    <w:p>
      <w:pPr>
        <w:pStyle w:val="BodyText"/>
        <w:spacing w:line="249" w:lineRule="auto" w:before="1"/>
        <w:ind w:left="305" w:right="169"/>
      </w:pPr>
      <w:r>
        <w:rPr/>
        <w:t>Mr</w:t>
      </w:r>
      <w:r>
        <w:rPr>
          <w:spacing w:val="-18"/>
        </w:rPr>
        <w:t> </w:t>
      </w:r>
      <w:r>
        <w:rPr/>
        <w:t>Hansell’s</w:t>
      </w:r>
      <w:r>
        <w:rPr>
          <w:spacing w:val="-18"/>
        </w:rPr>
        <w:t> </w:t>
      </w:r>
      <w:r>
        <w:rPr/>
        <w:t>broader</w:t>
      </w:r>
      <w:r>
        <w:rPr>
          <w:spacing w:val="-18"/>
        </w:rPr>
        <w:t> </w:t>
      </w:r>
      <w:r>
        <w:rPr>
          <w:spacing w:val="2"/>
        </w:rPr>
        <w:t>arts</w:t>
      </w:r>
      <w:r>
        <w:rPr>
          <w:spacing w:val="-18"/>
        </w:rPr>
        <w:t> </w:t>
      </w:r>
      <w:r>
        <w:rPr/>
        <w:t>practice,</w:t>
      </w:r>
      <w:r>
        <w:rPr>
          <w:spacing w:val="-18"/>
        </w:rPr>
        <w:t> </w:t>
      </w:r>
      <w:r>
        <w:rPr/>
        <w:t>from</w:t>
      </w:r>
      <w:r>
        <w:rPr>
          <w:spacing w:val="-18"/>
        </w:rPr>
        <w:t> </w:t>
      </w:r>
      <w:r>
        <w:rPr/>
        <w:t>his handmade pastels produced from rocks and clay, to the influence of </w:t>
      </w:r>
      <w:r>
        <w:rPr>
          <w:spacing w:val="2"/>
        </w:rPr>
        <w:t>artists </w:t>
      </w:r>
      <w:r>
        <w:rPr/>
        <w:t>in his personal</w:t>
      </w:r>
      <w:r>
        <w:rPr>
          <w:spacing w:val="-19"/>
        </w:rPr>
        <w:t> </w:t>
      </w:r>
      <w:r>
        <w:rPr>
          <w:spacing w:val="2"/>
        </w:rPr>
        <w:t>art</w:t>
      </w:r>
      <w:r>
        <w:rPr>
          <w:spacing w:val="-19"/>
        </w:rPr>
        <w:t> </w:t>
      </w:r>
      <w:r>
        <w:rPr/>
        <w:t>collection.</w:t>
      </w:r>
      <w:r>
        <w:rPr>
          <w:spacing w:val="-19"/>
        </w:rPr>
        <w:t> </w:t>
      </w:r>
      <w:r>
        <w:rPr/>
        <w:t>This</w:t>
      </w:r>
      <w:r>
        <w:rPr>
          <w:spacing w:val="-19"/>
        </w:rPr>
        <w:t> </w:t>
      </w:r>
      <w:r>
        <w:rPr/>
        <w:t>exhibition</w:t>
      </w:r>
    </w:p>
    <w:p>
      <w:pPr>
        <w:pStyle w:val="BodyText"/>
        <w:spacing w:line="249" w:lineRule="auto"/>
        <w:ind w:left="305" w:right="181"/>
      </w:pPr>
      <w:r>
        <w:rPr/>
        <w:t>was curated by the University Art Curator and included education programs and artist talks presented to the public.</w:t>
      </w:r>
    </w:p>
    <w:p>
      <w:pPr>
        <w:pStyle w:val="BodyText"/>
        <w:spacing w:before="3"/>
        <w:rPr>
          <w:sz w:val="19"/>
        </w:rPr>
      </w:pPr>
    </w:p>
    <w:p>
      <w:pPr>
        <w:pStyle w:val="Heading7"/>
        <w:spacing w:line="249" w:lineRule="auto"/>
        <w:ind w:right="773"/>
      </w:pPr>
      <w:r>
        <w:rPr/>
        <w:t>AUSTRALIA-CHINA INSTITUTE FOR ART AND CULTURE GALLERY</w:t>
      </w:r>
    </w:p>
    <w:p>
      <w:pPr>
        <w:pStyle w:val="BodyText"/>
        <w:spacing w:line="249" w:lineRule="auto" w:before="50"/>
        <w:ind w:left="107" w:right="249"/>
      </w:pPr>
      <w:r>
        <w:rPr/>
        <w:t>The Australia-China Institute for Art and </w:t>
      </w:r>
      <w:r>
        <w:rPr>
          <w:w w:val="97"/>
        </w:rPr>
        <w:t>Culture </w:t>
      </w:r>
      <w:r>
        <w:rPr>
          <w:w w:val="97"/>
        </w:rPr>
        <w:t>Gallery </w:t>
      </w:r>
      <w:r>
        <w:rPr>
          <w:w w:val="98"/>
        </w:rPr>
        <w:t>opened </w:t>
      </w:r>
      <w:r>
        <w:rPr>
          <w:w w:val="95"/>
        </w:rPr>
        <w:t>in </w:t>
      </w:r>
      <w:r>
        <w:rPr>
          <w:w w:val="90"/>
        </w:rPr>
        <w:t>2016 </w:t>
      </w:r>
      <w:r>
        <w:rPr>
          <w:w w:val="100"/>
        </w:rPr>
        <w:t>August </w:t>
      </w:r>
      <w:r>
        <w:rPr>
          <w:w w:val="98"/>
        </w:rPr>
        <w:t>on </w:t>
      </w:r>
      <w:r>
        <w:rPr/>
        <w:t>the University’s Parramatta campus. Its inaugural exhibition “Between the Village and the Metropolis” was co-curated by the University Art Curator and Mr David Cubby.</w:t>
      </w:r>
    </w:p>
    <w:p>
      <w:pPr>
        <w:spacing w:after="0" w:line="249" w:lineRule="auto"/>
        <w:sectPr>
          <w:type w:val="continuous"/>
          <w:pgSz w:w="11910" w:h="16840"/>
          <w:pgMar w:top="1580" w:bottom="280" w:left="800" w:right="800"/>
          <w:cols w:num="3" w:equalWidth="0">
            <w:col w:w="3302" w:space="137"/>
            <w:col w:w="3310" w:space="129"/>
            <w:col w:w="3432"/>
          </w:cols>
        </w:sectPr>
      </w:pPr>
    </w:p>
    <w:p>
      <w:pPr>
        <w:pStyle w:val="BodyText"/>
        <w:spacing w:before="9"/>
        <w:rPr>
          <w:sz w:val="28"/>
        </w:rPr>
      </w:pPr>
    </w:p>
    <w:p>
      <w:pPr>
        <w:pStyle w:val="Heading2"/>
        <w:spacing w:line="240" w:lineRule="auto" w:before="27"/>
        <w:ind w:right="6763"/>
        <w:rPr>
          <w:b w:val="0"/>
        </w:rPr>
      </w:pPr>
      <w:bookmarkStart w:name="_TOC_250028" w:id="26"/>
      <w:bookmarkEnd w:id="26"/>
      <w:r>
        <w:rPr>
          <w:b w:val="0"/>
        </w:rPr>
        <w:t>Research</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5"/>
        </w:rPr>
      </w:pPr>
    </w:p>
    <w:p>
      <w:pPr>
        <w:spacing w:after="0"/>
        <w:rPr>
          <w:rFonts w:ascii="Chronicle Text G1"/>
          <w:sz w:val="25"/>
        </w:rPr>
        <w:sectPr>
          <w:pgSz w:w="11910" w:h="16840"/>
          <w:pgMar w:header="496" w:footer="472" w:top="680" w:bottom="660" w:left="800" w:right="800"/>
        </w:sectPr>
      </w:pPr>
    </w:p>
    <w:p>
      <w:pPr>
        <w:pStyle w:val="Heading5"/>
        <w:spacing w:line="260" w:lineRule="exact" w:before="87"/>
        <w:ind w:right="527"/>
      </w:pPr>
      <w:bookmarkStart w:name="_TOC_250027" w:id="27"/>
      <w:bookmarkEnd w:id="27"/>
      <w:r>
        <w:rPr>
          <w:w w:val="95"/>
        </w:rPr>
        <w:t>RESEARCH STRATEGY AND PERFORMANCE</w:t>
      </w:r>
    </w:p>
    <w:p>
      <w:pPr>
        <w:pStyle w:val="BodyText"/>
        <w:spacing w:line="247" w:lineRule="auto" w:before="101"/>
        <w:ind w:left="107" w:right="178"/>
      </w:pPr>
      <w:r>
        <w:rPr/>
        <w:t>The Research and Development Division pursues the strategies outlined in the </w:t>
      </w:r>
      <w:r>
        <w:rPr>
          <w:rFonts w:ascii="Century Gothic" w:hAnsi="Century Gothic"/>
          <w:i/>
          <w:w w:val="88"/>
        </w:rPr>
        <w:t>Research </w:t>
      </w:r>
      <w:r>
        <w:rPr>
          <w:rFonts w:ascii="Century Gothic" w:hAnsi="Century Gothic"/>
          <w:i/>
          <w:w w:val="80"/>
        </w:rPr>
        <w:t>and </w:t>
      </w:r>
      <w:r>
        <w:rPr>
          <w:rFonts w:ascii="Century Gothic" w:hAnsi="Century Gothic"/>
          <w:i/>
          <w:w w:val="85"/>
        </w:rPr>
        <w:t>Development </w:t>
      </w:r>
      <w:r>
        <w:rPr>
          <w:rFonts w:ascii="Century Gothic" w:hAnsi="Century Gothic"/>
          <w:i/>
          <w:w w:val="87"/>
        </w:rPr>
        <w:t>2015–2017 </w:t>
      </w:r>
      <w:r>
        <w:rPr>
          <w:w w:val="91"/>
        </w:rPr>
        <w:t>plan. </w:t>
      </w:r>
      <w:r>
        <w:rPr/>
        <w:t>These strategies seek to diversify the mix of research income for Western Sydney</w:t>
      </w:r>
    </w:p>
    <w:p>
      <w:pPr>
        <w:pStyle w:val="BodyText"/>
        <w:spacing w:line="249" w:lineRule="auto" w:before="1"/>
        <w:ind w:left="107" w:right="-2"/>
      </w:pPr>
      <w:r>
        <w:rPr/>
        <w:t>University, while improving the quality of the University’s</w:t>
      </w:r>
      <w:r>
        <w:rPr>
          <w:spacing w:val="-20"/>
        </w:rPr>
        <w:t> </w:t>
      </w:r>
      <w:r>
        <w:rPr/>
        <w:t>research</w:t>
      </w:r>
      <w:r>
        <w:rPr>
          <w:spacing w:val="-20"/>
        </w:rPr>
        <w:t> </w:t>
      </w:r>
      <w:r>
        <w:rPr/>
        <w:t>and</w:t>
      </w:r>
      <w:r>
        <w:rPr>
          <w:spacing w:val="-20"/>
        </w:rPr>
        <w:t> </w:t>
      </w:r>
      <w:r>
        <w:rPr/>
        <w:t>extending</w:t>
      </w:r>
      <w:r>
        <w:rPr>
          <w:spacing w:val="-20"/>
        </w:rPr>
        <w:t> </w:t>
      </w:r>
      <w:r>
        <w:rPr/>
        <w:t>its</w:t>
      </w:r>
      <w:r>
        <w:rPr>
          <w:spacing w:val="-20"/>
        </w:rPr>
        <w:t> </w:t>
      </w:r>
      <w:r>
        <w:rPr/>
        <w:t>impact.</w:t>
      </w:r>
    </w:p>
    <w:p>
      <w:pPr>
        <w:pStyle w:val="BodyText"/>
        <w:rPr>
          <w:sz w:val="14"/>
        </w:rPr>
      </w:pPr>
    </w:p>
    <w:p>
      <w:pPr>
        <w:pStyle w:val="BodyText"/>
        <w:spacing w:line="249" w:lineRule="auto"/>
        <w:ind w:left="107" w:right="280"/>
      </w:pPr>
      <w:r>
        <w:rPr/>
        <w:t>Government funding for research is increasingly redirected toward industry engagement.</w:t>
      </w:r>
      <w:r>
        <w:rPr>
          <w:spacing w:val="-25"/>
        </w:rPr>
        <w:t> </w:t>
      </w:r>
      <w:r>
        <w:rPr/>
        <w:t>Over</w:t>
      </w:r>
      <w:r>
        <w:rPr>
          <w:spacing w:val="-25"/>
        </w:rPr>
        <w:t> </w:t>
      </w:r>
      <w:r>
        <w:rPr/>
        <w:t>the</w:t>
      </w:r>
      <w:r>
        <w:rPr>
          <w:spacing w:val="-25"/>
        </w:rPr>
        <w:t> </w:t>
      </w:r>
      <w:r>
        <w:rPr/>
        <w:t>past</w:t>
      </w:r>
      <w:r>
        <w:rPr>
          <w:spacing w:val="-25"/>
        </w:rPr>
        <w:t> </w:t>
      </w:r>
      <w:r>
        <w:rPr/>
        <w:t>18</w:t>
      </w:r>
      <w:r>
        <w:rPr>
          <w:spacing w:val="-25"/>
        </w:rPr>
        <w:t> </w:t>
      </w:r>
      <w:r>
        <w:rPr/>
        <w:t>months,</w:t>
      </w:r>
      <w:r>
        <w:rPr>
          <w:spacing w:val="-25"/>
        </w:rPr>
        <w:t> </w:t>
      </w:r>
      <w:r>
        <w:rPr/>
        <w:t>the Australian Council of Learned Academies (ACOLA)</w:t>
      </w:r>
      <w:r>
        <w:rPr>
          <w:spacing w:val="-17"/>
        </w:rPr>
        <w:t> </w:t>
      </w:r>
      <w:r>
        <w:rPr/>
        <w:t>review</w:t>
      </w:r>
      <w:r>
        <w:rPr>
          <w:spacing w:val="-17"/>
        </w:rPr>
        <w:t> </w:t>
      </w:r>
      <w:r>
        <w:rPr/>
        <w:t>of</w:t>
      </w:r>
      <w:r>
        <w:rPr>
          <w:spacing w:val="-17"/>
        </w:rPr>
        <w:t> </w:t>
      </w:r>
      <w:r>
        <w:rPr/>
        <w:t>Research</w:t>
      </w:r>
      <w:r>
        <w:rPr>
          <w:spacing w:val="-17"/>
        </w:rPr>
        <w:t> </w:t>
      </w:r>
      <w:r>
        <w:rPr/>
        <w:t>Training,</w:t>
      </w:r>
      <w:r>
        <w:rPr>
          <w:spacing w:val="-17"/>
        </w:rPr>
        <w:t> </w:t>
      </w:r>
      <w:r>
        <w:rPr/>
        <w:t>the Watt Review of Research Funding, and the Australian Government’s National Innovation and Science Agenda have all incentivised</w:t>
      </w:r>
      <w:r>
        <w:rPr>
          <w:spacing w:val="-15"/>
        </w:rPr>
        <w:t> </w:t>
      </w:r>
      <w:r>
        <w:rPr/>
        <w:t>engagement</w:t>
      </w:r>
      <w:r>
        <w:rPr>
          <w:spacing w:val="-15"/>
        </w:rPr>
        <w:t> </w:t>
      </w:r>
      <w:r>
        <w:rPr/>
        <w:t>with</w:t>
      </w:r>
      <w:r>
        <w:rPr>
          <w:spacing w:val="-15"/>
        </w:rPr>
        <w:t> </w:t>
      </w:r>
      <w:r>
        <w:rPr/>
        <w:t>industry</w:t>
      </w:r>
    </w:p>
    <w:p>
      <w:pPr>
        <w:pStyle w:val="BodyText"/>
        <w:spacing w:line="192" w:lineRule="exact"/>
        <w:ind w:left="107" w:right="-2"/>
      </w:pPr>
      <w:r>
        <w:rPr/>
        <w:t>across every corner of the research system.</w:t>
      </w:r>
    </w:p>
    <w:p>
      <w:pPr>
        <w:pStyle w:val="BodyText"/>
        <w:spacing w:before="7"/>
        <w:rPr>
          <w:sz w:val="14"/>
        </w:rPr>
      </w:pPr>
    </w:p>
    <w:p>
      <w:pPr>
        <w:pStyle w:val="BodyText"/>
        <w:spacing w:line="249" w:lineRule="auto" w:before="1"/>
        <w:ind w:left="107" w:right="99"/>
      </w:pPr>
      <w:r>
        <w:rPr/>
        <w:t>The existing research strategy has done much to prepare the University for these changes. Year-to-date figures at September </w:t>
      </w:r>
      <w:r>
        <w:rPr>
          <w:w w:val="90"/>
        </w:rPr>
        <w:t>2016 </w:t>
      </w:r>
      <w:r>
        <w:rPr>
          <w:w w:val="98"/>
        </w:rPr>
        <w:t>show </w:t>
      </w:r>
      <w:r>
        <w:rPr>
          <w:w w:val="95"/>
        </w:rPr>
        <w:t>an </w:t>
      </w:r>
      <w:r>
        <w:rPr>
          <w:w w:val="96"/>
        </w:rPr>
        <w:t>increase </w:t>
      </w:r>
      <w:r>
        <w:rPr>
          <w:w w:val="95"/>
        </w:rPr>
        <w:t>in </w:t>
      </w:r>
      <w:r>
        <w:rPr>
          <w:w w:val="98"/>
        </w:rPr>
        <w:t>consulting </w:t>
      </w:r>
      <w:r>
        <w:rPr>
          <w:w w:val="98"/>
        </w:rPr>
        <w:t>income</w:t>
      </w:r>
    </w:p>
    <w:p>
      <w:pPr>
        <w:pStyle w:val="BodyText"/>
        <w:spacing w:line="249" w:lineRule="auto"/>
        <w:ind w:left="107" w:right="215"/>
      </w:pPr>
      <w:r>
        <w:rPr/>
        <w:t>– a key marker of industry engagement. Consulting</w:t>
      </w:r>
      <w:r>
        <w:rPr>
          <w:spacing w:val="-15"/>
        </w:rPr>
        <w:t> </w:t>
      </w:r>
      <w:r>
        <w:rPr/>
        <w:t>income</w:t>
      </w:r>
      <w:r>
        <w:rPr>
          <w:spacing w:val="-15"/>
        </w:rPr>
        <w:t> </w:t>
      </w:r>
      <w:r>
        <w:rPr/>
        <w:t>from</w:t>
      </w:r>
      <w:r>
        <w:rPr>
          <w:spacing w:val="-15"/>
        </w:rPr>
        <w:t> </w:t>
      </w:r>
      <w:r>
        <w:rPr/>
        <w:t>research</w:t>
      </w:r>
      <w:r>
        <w:rPr>
          <w:spacing w:val="-15"/>
        </w:rPr>
        <w:t> </w:t>
      </w:r>
      <w:r>
        <w:rPr/>
        <w:t>activities increased 60 per cent from $2.16 million </w:t>
      </w:r>
      <w:r>
        <w:rPr>
          <w:spacing w:val="1"/>
          <w:w w:val="90"/>
        </w:rPr>
        <w:t>(2015</w:t>
      </w:r>
      <w:r>
        <w:rPr>
          <w:w w:val="90"/>
        </w:rPr>
        <w:t> </w:t>
      </w:r>
      <w:r>
        <w:rPr>
          <w:spacing w:val="1"/>
          <w:w w:val="96"/>
        </w:rPr>
        <w:t>full</w:t>
      </w:r>
      <w:r>
        <w:rPr>
          <w:w w:val="96"/>
        </w:rPr>
        <w:t> </w:t>
      </w:r>
      <w:r>
        <w:rPr>
          <w:spacing w:val="-1"/>
          <w:w w:val="96"/>
        </w:rPr>
        <w:t>year)</w:t>
      </w:r>
      <w:r>
        <w:rPr>
          <w:w w:val="96"/>
        </w:rPr>
        <w:t> </w:t>
      </w:r>
      <w:r>
        <w:rPr>
          <w:spacing w:val="-1"/>
          <w:w w:val="101"/>
        </w:rPr>
        <w:t>to</w:t>
      </w:r>
      <w:r>
        <w:rPr>
          <w:w w:val="101"/>
        </w:rPr>
        <w:t> </w:t>
      </w:r>
      <w:r>
        <w:rPr>
          <w:spacing w:val="3"/>
          <w:w w:val="93"/>
        </w:rPr>
        <w:t>$3.44</w:t>
      </w:r>
      <w:r>
        <w:rPr>
          <w:w w:val="93"/>
        </w:rPr>
        <w:t> </w:t>
      </w:r>
      <w:r>
        <w:rPr>
          <w:w w:val="96"/>
        </w:rPr>
        <w:t>million </w:t>
      </w:r>
      <w:r>
        <w:rPr>
          <w:spacing w:val="1"/>
          <w:w w:val="91"/>
        </w:rPr>
        <w:t>(2016</w:t>
      </w:r>
      <w:r>
        <w:rPr>
          <w:w w:val="91"/>
        </w:rPr>
        <w:t> </w:t>
      </w:r>
      <w:r>
        <w:rPr>
          <w:w w:val="97"/>
        </w:rPr>
        <w:t>year </w:t>
      </w:r>
      <w:r>
        <w:rPr/>
        <w:t>to date). This rapidly growing area in the research income portfolio reflects capacity investments</w:t>
      </w:r>
      <w:r>
        <w:rPr>
          <w:spacing w:val="-22"/>
        </w:rPr>
        <w:t> </w:t>
      </w:r>
      <w:r>
        <w:rPr/>
        <w:t>made</w:t>
      </w:r>
      <w:r>
        <w:rPr>
          <w:spacing w:val="-22"/>
        </w:rPr>
        <w:t> </w:t>
      </w:r>
      <w:r>
        <w:rPr/>
        <w:t>under</w:t>
      </w:r>
      <w:r>
        <w:rPr>
          <w:spacing w:val="-22"/>
        </w:rPr>
        <w:t> </w:t>
      </w:r>
      <w:r>
        <w:rPr/>
        <w:t>the</w:t>
      </w:r>
      <w:r>
        <w:rPr>
          <w:spacing w:val="-22"/>
        </w:rPr>
        <w:t> </w:t>
      </w:r>
      <w:r>
        <w:rPr/>
        <w:t>research</w:t>
      </w:r>
      <w:r>
        <w:rPr>
          <w:spacing w:val="-22"/>
        </w:rPr>
        <w:t> </w:t>
      </w:r>
      <w:r>
        <w:rPr/>
        <w:t>plan.</w:t>
      </w:r>
    </w:p>
    <w:p>
      <w:pPr>
        <w:pStyle w:val="BodyText"/>
        <w:rPr>
          <w:sz w:val="14"/>
        </w:rPr>
      </w:pPr>
    </w:p>
    <w:p>
      <w:pPr>
        <w:pStyle w:val="BodyText"/>
        <w:spacing w:line="249" w:lineRule="auto"/>
        <w:ind w:left="107" w:right="58"/>
      </w:pPr>
      <w:r>
        <w:rPr>
          <w:w w:val="94"/>
        </w:rPr>
        <w:t>The </w:t>
      </w:r>
      <w:r>
        <w:rPr>
          <w:w w:val="97"/>
        </w:rPr>
        <w:t>University’s </w:t>
      </w:r>
      <w:r>
        <w:rPr>
          <w:w w:val="96"/>
        </w:rPr>
        <w:t>results </w:t>
      </w:r>
      <w:r>
        <w:rPr>
          <w:w w:val="95"/>
        </w:rPr>
        <w:t>in </w:t>
      </w:r>
      <w:r>
        <w:rPr>
          <w:w w:val="97"/>
        </w:rPr>
        <w:t>the </w:t>
      </w:r>
      <w:r>
        <w:rPr>
          <w:w w:val="88"/>
        </w:rPr>
        <w:t>2015 </w:t>
      </w:r>
      <w:r>
        <w:rPr>
          <w:w w:val="98"/>
        </w:rPr>
        <w:t>Excellence </w:t>
      </w:r>
      <w:r>
        <w:rPr/>
        <w:t>in Research for Australia (ERA) assessment </w:t>
      </w:r>
      <w:r>
        <w:rPr>
          <w:w w:val="96"/>
        </w:rPr>
        <w:t>released </w:t>
      </w:r>
      <w:r>
        <w:rPr>
          <w:w w:val="95"/>
        </w:rPr>
        <w:t>in </w:t>
      </w:r>
      <w:r>
        <w:rPr>
          <w:w w:val="90"/>
        </w:rPr>
        <w:t>2016 </w:t>
      </w:r>
      <w:r>
        <w:rPr>
          <w:w w:val="97"/>
        </w:rPr>
        <w:t>were </w:t>
      </w:r>
      <w:r>
        <w:rPr>
          <w:w w:val="97"/>
        </w:rPr>
        <w:t>its </w:t>
      </w:r>
      <w:r>
        <w:rPr>
          <w:w w:val="98"/>
        </w:rPr>
        <w:t>best </w:t>
      </w:r>
      <w:r>
        <w:rPr>
          <w:w w:val="97"/>
        </w:rPr>
        <w:t>since </w:t>
      </w:r>
      <w:r>
        <w:rPr>
          <w:w w:val="96"/>
        </w:rPr>
        <w:t>these </w:t>
      </w:r>
      <w:r>
        <w:rPr/>
        <w:t>assessments began. This continues a trend</w:t>
      </w:r>
    </w:p>
    <w:p>
      <w:pPr>
        <w:pStyle w:val="BodyText"/>
        <w:spacing w:line="249" w:lineRule="auto"/>
        <w:ind w:left="107" w:right="174"/>
      </w:pPr>
      <w:r>
        <w:rPr/>
        <w:t>of steady improvement for the University across all three </w:t>
      </w:r>
      <w:r>
        <w:rPr>
          <w:spacing w:val="2"/>
        </w:rPr>
        <w:t>ERA </w:t>
      </w:r>
      <w:r>
        <w:rPr/>
        <w:t>rounds, in the context of a rising sector. Over one-third of the </w:t>
      </w:r>
      <w:r>
        <w:rPr>
          <w:spacing w:val="1"/>
          <w:w w:val="96"/>
        </w:rPr>
        <w:t>units</w:t>
      </w:r>
      <w:r>
        <w:rPr>
          <w:w w:val="96"/>
        </w:rPr>
        <w:t> </w:t>
      </w:r>
      <w:r>
        <w:rPr>
          <w:w w:val="99"/>
        </w:rPr>
        <w:t>of </w:t>
      </w:r>
      <w:r>
        <w:rPr>
          <w:w w:val="97"/>
        </w:rPr>
        <w:t>evaluation </w:t>
      </w:r>
      <w:r>
        <w:rPr>
          <w:spacing w:val="2"/>
          <w:w w:val="96"/>
        </w:rPr>
        <w:t>assessed</w:t>
      </w:r>
      <w:r>
        <w:rPr>
          <w:w w:val="96"/>
        </w:rPr>
        <w:t> </w:t>
      </w:r>
      <w:r>
        <w:rPr>
          <w:w w:val="95"/>
        </w:rPr>
        <w:t>in </w:t>
      </w:r>
      <w:r>
        <w:rPr>
          <w:spacing w:val="2"/>
          <w:w w:val="104"/>
        </w:rPr>
        <w:t>ERA</w:t>
      </w:r>
      <w:r>
        <w:rPr>
          <w:w w:val="104"/>
        </w:rPr>
        <w:t> </w:t>
      </w:r>
      <w:r>
        <w:rPr>
          <w:spacing w:val="1"/>
          <w:w w:val="88"/>
        </w:rPr>
        <w:t>2015</w:t>
      </w:r>
      <w:r>
        <w:rPr>
          <w:w w:val="88"/>
        </w:rPr>
        <w:t> </w:t>
      </w:r>
      <w:r>
        <w:rPr>
          <w:w w:val="99"/>
        </w:rPr>
        <w:t>improved </w:t>
      </w:r>
      <w:r>
        <w:rPr>
          <w:w w:val="95"/>
        </w:rPr>
        <w:t>in </w:t>
      </w:r>
      <w:r>
        <w:rPr>
          <w:spacing w:val="1"/>
          <w:w w:val="98"/>
        </w:rPr>
        <w:t>comparison</w:t>
      </w:r>
      <w:r>
        <w:rPr>
          <w:w w:val="98"/>
        </w:rPr>
        <w:t> </w:t>
      </w:r>
      <w:r>
        <w:rPr>
          <w:spacing w:val="-1"/>
          <w:w w:val="101"/>
        </w:rPr>
        <w:t>to</w:t>
      </w:r>
      <w:r>
        <w:rPr>
          <w:w w:val="101"/>
        </w:rPr>
        <w:t> </w:t>
      </w:r>
      <w:r>
        <w:rPr>
          <w:spacing w:val="2"/>
          <w:w w:val="104"/>
        </w:rPr>
        <w:t>ERA</w:t>
      </w:r>
      <w:r>
        <w:rPr>
          <w:w w:val="104"/>
        </w:rPr>
        <w:t> </w:t>
      </w:r>
      <w:r>
        <w:rPr>
          <w:spacing w:val="1"/>
          <w:w w:val="84"/>
        </w:rPr>
        <w:t>2012.</w:t>
      </w:r>
      <w:r>
        <w:rPr>
          <w:w w:val="84"/>
        </w:rPr>
        <w:t> </w:t>
      </w:r>
      <w:r>
        <w:rPr>
          <w:spacing w:val="1"/>
          <w:w w:val="94"/>
        </w:rPr>
        <w:t>The</w:t>
      </w:r>
      <w:r>
        <w:rPr>
          <w:w w:val="94"/>
        </w:rPr>
        <w:t> </w:t>
      </w:r>
      <w:r>
        <w:rPr/>
        <w:t>University</w:t>
      </w:r>
      <w:r>
        <w:rPr>
          <w:spacing w:val="-14"/>
        </w:rPr>
        <w:t> </w:t>
      </w:r>
      <w:r>
        <w:rPr/>
        <w:t>increased</w:t>
      </w:r>
      <w:r>
        <w:rPr>
          <w:spacing w:val="-14"/>
        </w:rPr>
        <w:t> </w:t>
      </w:r>
      <w:r>
        <w:rPr/>
        <w:t>its</w:t>
      </w:r>
      <w:r>
        <w:rPr>
          <w:spacing w:val="-14"/>
        </w:rPr>
        <w:t> </w:t>
      </w:r>
      <w:r>
        <w:rPr/>
        <w:t>number</w:t>
      </w:r>
      <w:r>
        <w:rPr>
          <w:spacing w:val="-14"/>
        </w:rPr>
        <w:t> </w:t>
      </w:r>
      <w:r>
        <w:rPr/>
        <w:t>of</w:t>
      </w:r>
      <w:r>
        <w:rPr>
          <w:spacing w:val="-14"/>
        </w:rPr>
        <w:t> </w:t>
      </w:r>
      <w:r>
        <w:rPr/>
        <w:t>Fields</w:t>
      </w:r>
      <w:r>
        <w:rPr>
          <w:spacing w:val="-14"/>
        </w:rPr>
        <w:t> </w:t>
      </w:r>
      <w:r>
        <w:rPr/>
        <w:t>of Research (FOR) rated </w:t>
      </w:r>
      <w:r>
        <w:rPr>
          <w:spacing w:val="2"/>
        </w:rPr>
        <w:t>ERA </w:t>
      </w:r>
      <w:r>
        <w:rPr/>
        <w:t>5 (‘well above world</w:t>
      </w:r>
      <w:r>
        <w:rPr>
          <w:spacing w:val="-20"/>
        </w:rPr>
        <w:t> </w:t>
      </w:r>
      <w:r>
        <w:rPr/>
        <w:t>standard’)</w:t>
      </w:r>
      <w:r>
        <w:rPr>
          <w:spacing w:val="-20"/>
        </w:rPr>
        <w:t> </w:t>
      </w:r>
      <w:r>
        <w:rPr/>
        <w:t>to</w:t>
      </w:r>
      <w:r>
        <w:rPr>
          <w:spacing w:val="-20"/>
        </w:rPr>
        <w:t> </w:t>
      </w:r>
      <w:r>
        <w:rPr>
          <w:spacing w:val="2"/>
        </w:rPr>
        <w:t>11,</w:t>
      </w:r>
      <w:r>
        <w:rPr>
          <w:spacing w:val="-20"/>
        </w:rPr>
        <w:t> </w:t>
      </w:r>
      <w:r>
        <w:rPr/>
        <w:t>while</w:t>
      </w:r>
      <w:r>
        <w:rPr>
          <w:spacing w:val="-20"/>
        </w:rPr>
        <w:t> </w:t>
      </w:r>
      <w:r>
        <w:rPr/>
        <w:t>80</w:t>
      </w:r>
      <w:r>
        <w:rPr>
          <w:spacing w:val="-20"/>
        </w:rPr>
        <w:t> </w:t>
      </w:r>
      <w:r>
        <w:rPr/>
        <w:t>per</w:t>
      </w:r>
      <w:r>
        <w:rPr>
          <w:spacing w:val="-20"/>
        </w:rPr>
        <w:t> </w:t>
      </w:r>
      <w:r>
        <w:rPr/>
        <w:t>cent</w:t>
      </w:r>
      <w:r>
        <w:rPr>
          <w:spacing w:val="-20"/>
        </w:rPr>
        <w:t> </w:t>
      </w:r>
      <w:r>
        <w:rPr/>
        <w:t>of the</w:t>
      </w:r>
      <w:r>
        <w:rPr>
          <w:spacing w:val="-19"/>
        </w:rPr>
        <w:t> </w:t>
      </w:r>
      <w:r>
        <w:rPr/>
        <w:t>University’s</w:t>
      </w:r>
      <w:r>
        <w:rPr>
          <w:spacing w:val="-19"/>
        </w:rPr>
        <w:t> </w:t>
      </w:r>
      <w:r>
        <w:rPr/>
        <w:t>research</w:t>
      </w:r>
      <w:r>
        <w:rPr>
          <w:spacing w:val="-19"/>
        </w:rPr>
        <w:t> </w:t>
      </w:r>
      <w:r>
        <w:rPr/>
        <w:t>was</w:t>
      </w:r>
      <w:r>
        <w:rPr>
          <w:spacing w:val="-19"/>
        </w:rPr>
        <w:t> </w:t>
      </w:r>
      <w:r>
        <w:rPr/>
        <w:t>rated</w:t>
      </w:r>
      <w:r>
        <w:rPr>
          <w:spacing w:val="-19"/>
        </w:rPr>
        <w:t> </w:t>
      </w:r>
      <w:r>
        <w:rPr/>
        <w:t>as</w:t>
      </w:r>
      <w:r>
        <w:rPr>
          <w:spacing w:val="-19"/>
        </w:rPr>
        <w:t> </w:t>
      </w:r>
      <w:r>
        <w:rPr/>
        <w:t>being</w:t>
      </w:r>
    </w:p>
    <w:p>
      <w:pPr>
        <w:pStyle w:val="BodyText"/>
        <w:spacing w:line="249" w:lineRule="auto"/>
        <w:ind w:left="107" w:right="-2"/>
      </w:pPr>
      <w:r>
        <w:rPr/>
        <w:t>at</w:t>
      </w:r>
      <w:r>
        <w:rPr>
          <w:spacing w:val="-17"/>
        </w:rPr>
        <w:t> </w:t>
      </w:r>
      <w:r>
        <w:rPr/>
        <w:t>or</w:t>
      </w:r>
      <w:r>
        <w:rPr>
          <w:spacing w:val="-17"/>
        </w:rPr>
        <w:t> </w:t>
      </w:r>
      <w:r>
        <w:rPr/>
        <w:t>above</w:t>
      </w:r>
      <w:r>
        <w:rPr>
          <w:spacing w:val="-17"/>
        </w:rPr>
        <w:t> </w:t>
      </w:r>
      <w:r>
        <w:rPr/>
        <w:t>the</w:t>
      </w:r>
      <w:r>
        <w:rPr>
          <w:spacing w:val="-17"/>
        </w:rPr>
        <w:t> </w:t>
      </w:r>
      <w:r>
        <w:rPr/>
        <w:t>world</w:t>
      </w:r>
      <w:r>
        <w:rPr>
          <w:spacing w:val="-17"/>
        </w:rPr>
        <w:t> </w:t>
      </w:r>
      <w:r>
        <w:rPr/>
        <w:t>standard.</w:t>
      </w:r>
      <w:r>
        <w:rPr>
          <w:spacing w:val="-17"/>
        </w:rPr>
        <w:t> </w:t>
      </w:r>
      <w:r>
        <w:rPr/>
        <w:t>The</w:t>
      </w:r>
      <w:r>
        <w:rPr>
          <w:spacing w:val="-17"/>
        </w:rPr>
        <w:t> </w:t>
      </w:r>
      <w:r>
        <w:rPr/>
        <w:t>Division’s increasing</w:t>
      </w:r>
      <w:r>
        <w:rPr>
          <w:spacing w:val="-17"/>
        </w:rPr>
        <w:t> </w:t>
      </w:r>
      <w:r>
        <w:rPr/>
        <w:t>focus</w:t>
      </w:r>
      <w:r>
        <w:rPr>
          <w:spacing w:val="-17"/>
        </w:rPr>
        <w:t> </w:t>
      </w:r>
      <w:r>
        <w:rPr/>
        <w:t>on</w:t>
      </w:r>
      <w:r>
        <w:rPr>
          <w:spacing w:val="-17"/>
        </w:rPr>
        <w:t> </w:t>
      </w:r>
      <w:r>
        <w:rPr/>
        <w:t>quality</w:t>
      </w:r>
      <w:r>
        <w:rPr>
          <w:spacing w:val="-17"/>
        </w:rPr>
        <w:t> </w:t>
      </w:r>
      <w:r>
        <w:rPr/>
        <w:t>rather</w:t>
      </w:r>
      <w:r>
        <w:rPr>
          <w:spacing w:val="-17"/>
        </w:rPr>
        <w:t> </w:t>
      </w:r>
      <w:r>
        <w:rPr/>
        <w:t>than</w:t>
      </w:r>
      <w:r>
        <w:rPr>
          <w:spacing w:val="-17"/>
        </w:rPr>
        <w:t> </w:t>
      </w:r>
      <w:r>
        <w:rPr/>
        <w:t>volume of</w:t>
      </w:r>
      <w:r>
        <w:rPr>
          <w:spacing w:val="-19"/>
        </w:rPr>
        <w:t> </w:t>
      </w:r>
      <w:r>
        <w:rPr/>
        <w:t>publications</w:t>
      </w:r>
      <w:r>
        <w:rPr>
          <w:spacing w:val="-19"/>
        </w:rPr>
        <w:t> </w:t>
      </w:r>
      <w:r>
        <w:rPr/>
        <w:t>will</w:t>
      </w:r>
      <w:r>
        <w:rPr>
          <w:spacing w:val="-19"/>
        </w:rPr>
        <w:t> </w:t>
      </w:r>
      <w:r>
        <w:rPr/>
        <w:t>continue</w:t>
      </w:r>
      <w:r>
        <w:rPr>
          <w:spacing w:val="-19"/>
        </w:rPr>
        <w:t> </w:t>
      </w:r>
      <w:r>
        <w:rPr/>
        <w:t>this</w:t>
      </w:r>
      <w:r>
        <w:rPr>
          <w:spacing w:val="-19"/>
        </w:rPr>
        <w:t> </w:t>
      </w:r>
      <w:r>
        <w:rPr/>
        <w:t>upward</w:t>
      </w:r>
      <w:r>
        <w:rPr>
          <w:spacing w:val="-19"/>
        </w:rPr>
        <w:t> </w:t>
      </w:r>
      <w:r>
        <w:rPr/>
        <w:t>trend.</w:t>
      </w:r>
    </w:p>
    <w:p>
      <w:pPr>
        <w:pStyle w:val="BodyText"/>
        <w:rPr>
          <w:sz w:val="14"/>
        </w:rPr>
      </w:pPr>
    </w:p>
    <w:p>
      <w:pPr>
        <w:pStyle w:val="BodyText"/>
        <w:spacing w:line="249" w:lineRule="auto"/>
        <w:ind w:left="107" w:right="346"/>
        <w:jc w:val="both"/>
      </w:pPr>
      <w:r>
        <w:rPr/>
        <w:t>A</w:t>
      </w:r>
      <w:r>
        <w:rPr>
          <w:spacing w:val="-15"/>
        </w:rPr>
        <w:t> </w:t>
      </w:r>
      <w:r>
        <w:rPr/>
        <w:t>national</w:t>
      </w:r>
      <w:r>
        <w:rPr>
          <w:spacing w:val="-15"/>
        </w:rPr>
        <w:t> </w:t>
      </w:r>
      <w:r>
        <w:rPr/>
        <w:t>scheme</w:t>
      </w:r>
      <w:r>
        <w:rPr>
          <w:spacing w:val="-15"/>
        </w:rPr>
        <w:t> </w:t>
      </w:r>
      <w:r>
        <w:rPr/>
        <w:t>to</w:t>
      </w:r>
      <w:r>
        <w:rPr>
          <w:spacing w:val="-15"/>
        </w:rPr>
        <w:t> </w:t>
      </w:r>
      <w:r>
        <w:rPr/>
        <w:t>measure</w:t>
      </w:r>
      <w:r>
        <w:rPr>
          <w:spacing w:val="-15"/>
        </w:rPr>
        <w:t> </w:t>
      </w:r>
      <w:r>
        <w:rPr/>
        <w:t>the</w:t>
      </w:r>
      <w:r>
        <w:rPr>
          <w:spacing w:val="-15"/>
        </w:rPr>
        <w:t> </w:t>
      </w:r>
      <w:r>
        <w:rPr/>
        <w:t>impact of</w:t>
      </w:r>
      <w:r>
        <w:rPr>
          <w:spacing w:val="-16"/>
        </w:rPr>
        <w:t> </w:t>
      </w:r>
      <w:r>
        <w:rPr/>
        <w:t>the</w:t>
      </w:r>
      <w:r>
        <w:rPr>
          <w:spacing w:val="-16"/>
        </w:rPr>
        <w:t> </w:t>
      </w:r>
      <w:r>
        <w:rPr/>
        <w:t>University’s</w:t>
      </w:r>
      <w:r>
        <w:rPr>
          <w:spacing w:val="-16"/>
        </w:rPr>
        <w:t> </w:t>
      </w:r>
      <w:r>
        <w:rPr/>
        <w:t>research</w:t>
      </w:r>
      <w:r>
        <w:rPr>
          <w:spacing w:val="-16"/>
        </w:rPr>
        <w:t> </w:t>
      </w:r>
      <w:r>
        <w:rPr/>
        <w:t>will</w:t>
      </w:r>
      <w:r>
        <w:rPr>
          <w:spacing w:val="-16"/>
        </w:rPr>
        <w:t> </w:t>
      </w:r>
      <w:r>
        <w:rPr/>
        <w:t>be</w:t>
      </w:r>
      <w:r>
        <w:rPr>
          <w:spacing w:val="-16"/>
        </w:rPr>
        <w:t> </w:t>
      </w:r>
      <w:r>
        <w:rPr/>
        <w:t>piloted </w:t>
      </w:r>
      <w:r>
        <w:rPr>
          <w:w w:val="95"/>
        </w:rPr>
        <w:t>in</w:t>
      </w:r>
      <w:r>
        <w:rPr>
          <w:spacing w:val="-1"/>
          <w:w w:val="95"/>
        </w:rPr>
        <w:t> </w:t>
      </w:r>
      <w:r>
        <w:rPr>
          <w:spacing w:val="2"/>
          <w:w w:val="85"/>
        </w:rPr>
        <w:t>2018.</w:t>
      </w:r>
    </w:p>
    <w:p>
      <w:pPr>
        <w:pStyle w:val="BodyText"/>
        <w:spacing w:line="249" w:lineRule="auto" w:before="71"/>
        <w:ind w:left="107" w:right="-8"/>
      </w:pPr>
      <w:r>
        <w:rPr/>
        <w:br w:type="column"/>
      </w:r>
      <w:r>
        <w:rPr/>
        <w:t>Activities such as providing online training modules and rolling out research impact templates have prepared University staff members for the impending assessment. Senior</w:t>
      </w:r>
      <w:r>
        <w:rPr>
          <w:spacing w:val="-20"/>
        </w:rPr>
        <w:t> </w:t>
      </w:r>
      <w:r>
        <w:rPr/>
        <w:t>members</w:t>
      </w:r>
      <w:r>
        <w:rPr>
          <w:spacing w:val="-20"/>
        </w:rPr>
        <w:t> </w:t>
      </w:r>
      <w:r>
        <w:rPr/>
        <w:t>of</w:t>
      </w:r>
      <w:r>
        <w:rPr>
          <w:spacing w:val="-20"/>
        </w:rPr>
        <w:t> </w:t>
      </w:r>
      <w:r>
        <w:rPr/>
        <w:t>the</w:t>
      </w:r>
      <w:r>
        <w:rPr>
          <w:spacing w:val="-20"/>
        </w:rPr>
        <w:t> </w:t>
      </w:r>
      <w:r>
        <w:rPr/>
        <w:t>Research</w:t>
      </w:r>
      <w:r>
        <w:rPr>
          <w:spacing w:val="-20"/>
        </w:rPr>
        <w:t> </w:t>
      </w:r>
      <w:r>
        <w:rPr/>
        <w:t>Engagement,</w:t>
      </w:r>
    </w:p>
    <w:p>
      <w:pPr>
        <w:pStyle w:val="BodyText"/>
        <w:spacing w:line="249" w:lineRule="auto"/>
        <w:ind w:left="107" w:right="18"/>
      </w:pPr>
      <w:r>
        <w:rPr/>
        <w:t>Development and Innovation (REDI) team are upskilling frontline research development and business development staffers to</w:t>
      </w:r>
    </w:p>
    <w:p>
      <w:pPr>
        <w:pStyle w:val="BodyText"/>
        <w:spacing w:line="249" w:lineRule="auto"/>
        <w:ind w:left="107" w:right="142"/>
      </w:pPr>
      <w:r>
        <w:rPr/>
        <w:t>help academics understand the new emphasis on enhancing research impact.</w:t>
      </w:r>
    </w:p>
    <w:p>
      <w:pPr>
        <w:pStyle w:val="BodyText"/>
        <w:rPr>
          <w:sz w:val="14"/>
        </w:rPr>
      </w:pPr>
    </w:p>
    <w:p>
      <w:pPr>
        <w:pStyle w:val="BodyText"/>
        <w:spacing w:line="249" w:lineRule="auto"/>
        <w:ind w:left="107" w:right="-2"/>
      </w:pPr>
      <w:r>
        <w:rPr/>
        <w:t>Better industry connections open pathways for the University’s researchers to enhance </w:t>
      </w:r>
      <w:r>
        <w:rPr>
          <w:w w:val="97"/>
        </w:rPr>
        <w:t>the </w:t>
      </w:r>
      <w:r>
        <w:rPr>
          <w:w w:val="96"/>
        </w:rPr>
        <w:t>reach </w:t>
      </w:r>
      <w:r>
        <w:rPr>
          <w:w w:val="97"/>
        </w:rPr>
        <w:t>and </w:t>
      </w:r>
      <w:r>
        <w:rPr>
          <w:w w:val="96"/>
        </w:rPr>
        <w:t>influence </w:t>
      </w:r>
      <w:r>
        <w:rPr>
          <w:w w:val="99"/>
        </w:rPr>
        <w:t>of </w:t>
      </w:r>
      <w:r>
        <w:rPr>
          <w:w w:val="97"/>
        </w:rPr>
        <w:t>their </w:t>
      </w:r>
      <w:r>
        <w:rPr>
          <w:w w:val="92"/>
        </w:rPr>
        <w:t>work. </w:t>
      </w:r>
      <w:r>
        <w:rPr>
          <w:w w:val="90"/>
        </w:rPr>
        <w:t>2016 </w:t>
      </w:r>
      <w:r>
        <w:rPr/>
        <w:t>marked the third annual Research Week,</w:t>
      </w:r>
    </w:p>
    <w:p>
      <w:pPr>
        <w:pStyle w:val="BodyText"/>
        <w:spacing w:line="249" w:lineRule="auto"/>
        <w:ind w:left="107" w:right="9"/>
      </w:pPr>
      <w:r>
        <w:rPr/>
        <w:t>an opportunity for industry, business and government representatives to join with staff members, students and the community in attending a range of collaborative events.</w:t>
      </w:r>
    </w:p>
    <w:p>
      <w:pPr>
        <w:pStyle w:val="BodyText"/>
        <w:spacing w:line="249" w:lineRule="auto"/>
        <w:ind w:left="107" w:right="132"/>
      </w:pPr>
      <w:r>
        <w:rPr/>
        <w:t>Research</w:t>
      </w:r>
      <w:r>
        <w:rPr>
          <w:spacing w:val="-27"/>
        </w:rPr>
        <w:t> </w:t>
      </w:r>
      <w:r>
        <w:rPr/>
        <w:t>Week</w:t>
      </w:r>
      <w:r>
        <w:rPr>
          <w:spacing w:val="-27"/>
        </w:rPr>
        <w:t> </w:t>
      </w:r>
      <w:r>
        <w:rPr/>
        <w:t>events</w:t>
      </w:r>
      <w:r>
        <w:rPr>
          <w:spacing w:val="-27"/>
        </w:rPr>
        <w:t> </w:t>
      </w:r>
      <w:r>
        <w:rPr/>
        <w:t>drew</w:t>
      </w:r>
      <w:r>
        <w:rPr>
          <w:spacing w:val="-27"/>
        </w:rPr>
        <w:t> </w:t>
      </w:r>
      <w:r>
        <w:rPr>
          <w:spacing w:val="2"/>
        </w:rPr>
        <w:t>1,265</w:t>
      </w:r>
      <w:r>
        <w:rPr>
          <w:spacing w:val="-27"/>
        </w:rPr>
        <w:t> </w:t>
      </w:r>
      <w:r>
        <w:rPr/>
        <w:t>attendees </w:t>
      </w:r>
      <w:r>
        <w:rPr>
          <w:w w:val="95"/>
        </w:rPr>
        <w:t>in </w:t>
      </w:r>
      <w:r>
        <w:rPr>
          <w:spacing w:val="2"/>
          <w:w w:val="85"/>
        </w:rPr>
        <w:t>2016,</w:t>
      </w:r>
      <w:r>
        <w:rPr>
          <w:w w:val="85"/>
        </w:rPr>
        <w:t> </w:t>
      </w:r>
      <w:r>
        <w:rPr>
          <w:w w:val="97"/>
        </w:rPr>
        <w:t>many </w:t>
      </w:r>
      <w:r>
        <w:rPr>
          <w:w w:val="99"/>
        </w:rPr>
        <w:t>of </w:t>
      </w:r>
      <w:r>
        <w:rPr>
          <w:spacing w:val="1"/>
          <w:w w:val="98"/>
        </w:rPr>
        <w:t>whom</w:t>
      </w:r>
      <w:r>
        <w:rPr>
          <w:w w:val="98"/>
        </w:rPr>
        <w:t> </w:t>
      </w:r>
      <w:r>
        <w:rPr>
          <w:spacing w:val="1"/>
          <w:w w:val="98"/>
        </w:rPr>
        <w:t>participated</w:t>
      </w:r>
      <w:r>
        <w:rPr>
          <w:w w:val="98"/>
        </w:rPr>
        <w:t> </w:t>
      </w:r>
      <w:r>
        <w:rPr>
          <w:w w:val="95"/>
        </w:rPr>
        <w:t>in </w:t>
      </w:r>
      <w:r>
        <w:rPr>
          <w:w w:val="97"/>
        </w:rPr>
        <w:t>the </w:t>
      </w:r>
      <w:r>
        <w:rPr/>
        <w:t>prestigious Research </w:t>
      </w:r>
      <w:r>
        <w:rPr>
          <w:spacing w:val="2"/>
        </w:rPr>
        <w:t>Impact </w:t>
      </w:r>
      <w:r>
        <w:rPr/>
        <w:t>Competition. Profile-raising activities like Research Week underpin</w:t>
      </w:r>
      <w:r>
        <w:rPr>
          <w:spacing w:val="-18"/>
        </w:rPr>
        <w:t> </w:t>
      </w:r>
      <w:r>
        <w:rPr/>
        <w:t>the</w:t>
      </w:r>
      <w:r>
        <w:rPr>
          <w:spacing w:val="-18"/>
        </w:rPr>
        <w:t> </w:t>
      </w:r>
      <w:r>
        <w:rPr/>
        <w:t>Division’s</w:t>
      </w:r>
      <w:r>
        <w:rPr>
          <w:spacing w:val="-18"/>
        </w:rPr>
        <w:t> </w:t>
      </w:r>
      <w:r>
        <w:rPr/>
        <w:t>broader</w:t>
      </w:r>
      <w:r>
        <w:rPr>
          <w:spacing w:val="-18"/>
        </w:rPr>
        <w:t> </w:t>
      </w:r>
      <w:r>
        <w:rPr/>
        <w:t>engagement work,</w:t>
      </w:r>
      <w:r>
        <w:rPr>
          <w:spacing w:val="-16"/>
        </w:rPr>
        <w:t> </w:t>
      </w:r>
      <w:r>
        <w:rPr/>
        <w:t>building</w:t>
      </w:r>
      <w:r>
        <w:rPr>
          <w:spacing w:val="-16"/>
        </w:rPr>
        <w:t> </w:t>
      </w:r>
      <w:r>
        <w:rPr/>
        <w:t>recognition</w:t>
      </w:r>
      <w:r>
        <w:rPr>
          <w:spacing w:val="-16"/>
        </w:rPr>
        <w:t> </w:t>
      </w:r>
      <w:r>
        <w:rPr/>
        <w:t>of</w:t>
      </w:r>
      <w:r>
        <w:rPr>
          <w:spacing w:val="-16"/>
        </w:rPr>
        <w:t> </w:t>
      </w:r>
      <w:r>
        <w:rPr/>
        <w:t>the</w:t>
      </w:r>
      <w:r>
        <w:rPr>
          <w:spacing w:val="-16"/>
        </w:rPr>
        <w:t> </w:t>
      </w:r>
      <w:r>
        <w:rPr/>
        <w:t>University’s research</w:t>
      </w:r>
      <w:r>
        <w:rPr>
          <w:spacing w:val="-19"/>
        </w:rPr>
        <w:t> </w:t>
      </w:r>
      <w:r>
        <w:rPr/>
        <w:t>in</w:t>
      </w:r>
      <w:r>
        <w:rPr>
          <w:spacing w:val="-19"/>
        </w:rPr>
        <w:t> </w:t>
      </w:r>
      <w:r>
        <w:rPr/>
        <w:t>a</w:t>
      </w:r>
      <w:r>
        <w:rPr>
          <w:spacing w:val="-19"/>
        </w:rPr>
        <w:t> </w:t>
      </w:r>
      <w:r>
        <w:rPr/>
        <w:t>way</w:t>
      </w:r>
      <w:r>
        <w:rPr>
          <w:spacing w:val="-19"/>
        </w:rPr>
        <w:t> </w:t>
      </w:r>
      <w:r>
        <w:rPr/>
        <w:t>that</w:t>
      </w:r>
      <w:r>
        <w:rPr>
          <w:spacing w:val="-19"/>
        </w:rPr>
        <w:t> </w:t>
      </w:r>
      <w:r>
        <w:rPr/>
        <w:t>helps</w:t>
      </w:r>
      <w:r>
        <w:rPr>
          <w:spacing w:val="-19"/>
        </w:rPr>
        <w:t> </w:t>
      </w:r>
      <w:r>
        <w:rPr/>
        <w:t>researchers</w:t>
      </w:r>
      <w:r>
        <w:rPr>
          <w:spacing w:val="-19"/>
        </w:rPr>
        <w:t> </w:t>
      </w:r>
      <w:r>
        <w:rPr/>
        <w:t>find and</w:t>
      </w:r>
      <w:r>
        <w:rPr>
          <w:spacing w:val="-24"/>
        </w:rPr>
        <w:t> </w:t>
      </w:r>
      <w:r>
        <w:rPr/>
        <w:t>engage</w:t>
      </w:r>
      <w:r>
        <w:rPr>
          <w:spacing w:val="-24"/>
        </w:rPr>
        <w:t> </w:t>
      </w:r>
      <w:r>
        <w:rPr/>
        <w:t>community</w:t>
      </w:r>
      <w:r>
        <w:rPr>
          <w:spacing w:val="-24"/>
        </w:rPr>
        <w:t> </w:t>
      </w:r>
      <w:r>
        <w:rPr/>
        <w:t>research</w:t>
      </w:r>
      <w:r>
        <w:rPr>
          <w:spacing w:val="-24"/>
        </w:rPr>
        <w:t> </w:t>
      </w:r>
      <w:r>
        <w:rPr>
          <w:spacing w:val="2"/>
        </w:rPr>
        <w:t>partners.</w:t>
      </w:r>
    </w:p>
    <w:p>
      <w:pPr>
        <w:pStyle w:val="BodyText"/>
        <w:rPr>
          <w:sz w:val="14"/>
        </w:rPr>
      </w:pPr>
    </w:p>
    <w:p>
      <w:pPr>
        <w:pStyle w:val="BodyText"/>
        <w:spacing w:line="249" w:lineRule="auto"/>
        <w:ind w:left="107" w:right="187"/>
      </w:pPr>
      <w:r>
        <w:rPr>
          <w:spacing w:val="1"/>
          <w:w w:val="80"/>
        </w:rPr>
        <w:t>In</w:t>
      </w:r>
      <w:r>
        <w:rPr>
          <w:w w:val="80"/>
        </w:rPr>
        <w:t> </w:t>
      </w:r>
      <w:r>
        <w:rPr>
          <w:spacing w:val="2"/>
          <w:w w:val="85"/>
        </w:rPr>
        <w:t>2016,</w:t>
      </w:r>
      <w:r>
        <w:rPr>
          <w:w w:val="85"/>
        </w:rPr>
        <w:t> </w:t>
      </w:r>
      <w:r>
        <w:rPr>
          <w:w w:val="97"/>
        </w:rPr>
        <w:t>the </w:t>
      </w:r>
      <w:r>
        <w:rPr>
          <w:w w:val="97"/>
        </w:rPr>
        <w:t>Division </w:t>
      </w:r>
      <w:r>
        <w:rPr>
          <w:spacing w:val="1"/>
          <w:w w:val="99"/>
        </w:rPr>
        <w:t>appointed</w:t>
      </w:r>
      <w:r>
        <w:rPr>
          <w:w w:val="99"/>
        </w:rPr>
        <w:t> </w:t>
      </w:r>
      <w:r>
        <w:rPr>
          <w:w w:val="96"/>
        </w:rPr>
        <w:t>seven </w:t>
      </w:r>
      <w:r>
        <w:rPr/>
        <w:t>Research</w:t>
      </w:r>
      <w:r>
        <w:rPr>
          <w:spacing w:val="-17"/>
        </w:rPr>
        <w:t> </w:t>
      </w:r>
      <w:r>
        <w:rPr/>
        <w:t>Theme</w:t>
      </w:r>
      <w:r>
        <w:rPr>
          <w:spacing w:val="-17"/>
        </w:rPr>
        <w:t> </w:t>
      </w:r>
      <w:r>
        <w:rPr/>
        <w:t>Champions</w:t>
      </w:r>
      <w:r>
        <w:rPr>
          <w:spacing w:val="-17"/>
        </w:rPr>
        <w:t> </w:t>
      </w:r>
      <w:r>
        <w:rPr/>
        <w:t>across</w:t>
      </w:r>
      <w:r>
        <w:rPr>
          <w:spacing w:val="-17"/>
        </w:rPr>
        <w:t> </w:t>
      </w:r>
      <w:r>
        <w:rPr/>
        <w:t>its</w:t>
      </w:r>
      <w:r>
        <w:rPr>
          <w:spacing w:val="-17"/>
        </w:rPr>
        <w:t> </w:t>
      </w:r>
      <w:r>
        <w:rPr/>
        <w:t>four research themes. These Champions will lead the development of an overarching vision for the research themes, improving income diversity; developing flexible, interdisciplinary, team-based research projects; and increasing research quality and</w:t>
      </w:r>
      <w:r>
        <w:rPr>
          <w:spacing w:val="-19"/>
        </w:rPr>
        <w:t> </w:t>
      </w:r>
      <w:r>
        <w:rPr/>
        <w:t>impact</w:t>
      </w:r>
      <w:r>
        <w:rPr>
          <w:spacing w:val="-19"/>
        </w:rPr>
        <w:t> </w:t>
      </w:r>
      <w:r>
        <w:rPr/>
        <w:t>in</w:t>
      </w:r>
      <w:r>
        <w:rPr>
          <w:spacing w:val="-19"/>
        </w:rPr>
        <w:t> </w:t>
      </w:r>
      <w:r>
        <w:rPr/>
        <w:t>complex</w:t>
      </w:r>
      <w:r>
        <w:rPr>
          <w:spacing w:val="-19"/>
        </w:rPr>
        <w:t> </w:t>
      </w:r>
      <w:r>
        <w:rPr/>
        <w:t>research</w:t>
      </w:r>
      <w:r>
        <w:rPr>
          <w:spacing w:val="-19"/>
        </w:rPr>
        <w:t> </w:t>
      </w:r>
      <w:r>
        <w:rPr/>
        <w:t>areas.</w:t>
      </w:r>
      <w:r>
        <w:rPr>
          <w:spacing w:val="-19"/>
        </w:rPr>
        <w:t> </w:t>
      </w:r>
      <w:r>
        <w:rPr/>
        <w:t>They will</w:t>
      </w:r>
      <w:r>
        <w:rPr>
          <w:spacing w:val="-13"/>
        </w:rPr>
        <w:t> </w:t>
      </w:r>
      <w:r>
        <w:rPr/>
        <w:t>also</w:t>
      </w:r>
      <w:r>
        <w:rPr>
          <w:spacing w:val="-13"/>
        </w:rPr>
        <w:t> </w:t>
      </w:r>
      <w:r>
        <w:rPr/>
        <w:t>provide</w:t>
      </w:r>
      <w:r>
        <w:rPr>
          <w:spacing w:val="-13"/>
        </w:rPr>
        <w:t> </w:t>
      </w:r>
      <w:r>
        <w:rPr/>
        <w:t>best-practice</w:t>
      </w:r>
      <w:r>
        <w:rPr>
          <w:spacing w:val="-13"/>
        </w:rPr>
        <w:t> </w:t>
      </w:r>
      <w:r>
        <w:rPr/>
        <w:t>leadership</w:t>
      </w:r>
    </w:p>
    <w:p>
      <w:pPr>
        <w:pStyle w:val="BodyText"/>
        <w:spacing w:line="249" w:lineRule="auto"/>
        <w:ind w:left="107" w:right="207"/>
      </w:pPr>
      <w:r>
        <w:rPr/>
        <w:t>in industry-engaged research to help build the University’s engagement capacity.</w:t>
      </w:r>
    </w:p>
    <w:p>
      <w:pPr>
        <w:pStyle w:val="BodyText"/>
        <w:rPr>
          <w:sz w:val="14"/>
        </w:rPr>
      </w:pPr>
    </w:p>
    <w:p>
      <w:pPr>
        <w:pStyle w:val="BodyText"/>
        <w:spacing w:line="249" w:lineRule="auto"/>
        <w:ind w:left="107" w:right="10"/>
      </w:pPr>
      <w:r>
        <w:rPr/>
        <w:t>The University has conducted a detailed performance review of the Division’s ongoing activities to improve its income diversity, research quality and research impact. The review assessed performance against the </w:t>
      </w:r>
      <w:r>
        <w:rPr>
          <w:w w:val="84"/>
        </w:rPr>
        <w:t>2015–17 </w:t>
      </w:r>
      <w:r>
        <w:rPr>
          <w:w w:val="96"/>
        </w:rPr>
        <w:t>research </w:t>
      </w:r>
      <w:r>
        <w:rPr>
          <w:w w:val="97"/>
        </w:rPr>
        <w:t>plan </w:t>
      </w:r>
      <w:r>
        <w:rPr>
          <w:w w:val="101"/>
        </w:rPr>
        <w:t>to </w:t>
      </w:r>
      <w:r>
        <w:rPr>
          <w:w w:val="98"/>
        </w:rPr>
        <w:t>identify </w:t>
      </w:r>
      <w:r>
        <w:rPr>
          <w:w w:val="97"/>
        </w:rPr>
        <w:t>any </w:t>
      </w:r>
      <w:r>
        <w:rPr>
          <w:w w:val="98"/>
        </w:rPr>
        <w:t>gaps</w:t>
      </w:r>
    </w:p>
    <w:p>
      <w:pPr>
        <w:pStyle w:val="BodyText"/>
        <w:spacing w:line="249" w:lineRule="auto"/>
        <w:ind w:left="107" w:right="87"/>
      </w:pPr>
      <w:r>
        <w:rPr/>
        <w:t>in addressing the Government’s priorities. Continuing improvements in the University’s performance and close monitoring of</w:t>
      </w:r>
    </w:p>
    <w:p>
      <w:pPr>
        <w:pStyle w:val="BodyText"/>
        <w:spacing w:line="249" w:lineRule="auto"/>
        <w:ind w:left="107" w:right="448"/>
      </w:pPr>
      <w:r>
        <w:rPr/>
        <w:t>its strategic activities will ensure the upward trajectory of its research work.</w:t>
      </w:r>
    </w:p>
    <w:p>
      <w:pPr>
        <w:pStyle w:val="Heading7"/>
        <w:spacing w:before="77"/>
        <w:ind w:right="460"/>
      </w:pPr>
      <w:r>
        <w:rPr>
          <w:b w:val="0"/>
        </w:rPr>
        <w:br w:type="column"/>
      </w:r>
      <w:r>
        <w:rPr>
          <w:w w:val="95"/>
        </w:rPr>
        <w:t>COMPETITIVE FUNDING</w:t>
      </w:r>
    </w:p>
    <w:p>
      <w:pPr>
        <w:pStyle w:val="BodyText"/>
        <w:spacing w:line="249" w:lineRule="auto" w:before="58"/>
        <w:ind w:left="107" w:right="352"/>
      </w:pPr>
      <w:r>
        <w:rPr>
          <w:w w:val="80"/>
        </w:rPr>
        <w:t>In </w:t>
      </w:r>
      <w:r>
        <w:rPr>
          <w:w w:val="85"/>
        </w:rPr>
        <w:t>2016, </w:t>
      </w:r>
      <w:r>
        <w:rPr>
          <w:w w:val="98"/>
        </w:rPr>
        <w:t>Western </w:t>
      </w:r>
      <w:r>
        <w:rPr>
          <w:w w:val="99"/>
        </w:rPr>
        <w:t>Sydney </w:t>
      </w:r>
      <w:r>
        <w:rPr>
          <w:w w:val="97"/>
        </w:rPr>
        <w:t>University </w:t>
      </w:r>
      <w:r>
        <w:rPr>
          <w:w w:val="98"/>
        </w:rPr>
        <w:t>received </w:t>
      </w:r>
      <w:r>
        <w:rPr>
          <w:w w:val="82"/>
        </w:rPr>
        <w:t>10 </w:t>
      </w:r>
      <w:r>
        <w:rPr>
          <w:w w:val="97"/>
        </w:rPr>
        <w:t>Australian </w:t>
      </w:r>
      <w:r>
        <w:rPr>
          <w:w w:val="96"/>
        </w:rPr>
        <w:t>Research </w:t>
      </w:r>
      <w:r>
        <w:rPr>
          <w:w w:val="98"/>
        </w:rPr>
        <w:t>Council </w:t>
      </w:r>
      <w:r>
        <w:rPr/>
        <w:t>(ARC) Discovery Projects grants, one ARC Discovery Early Career Researcher Award (DECRA) and one Future Fellowship,</w:t>
      </w:r>
    </w:p>
    <w:p>
      <w:pPr>
        <w:pStyle w:val="BodyText"/>
        <w:spacing w:line="192" w:lineRule="exact"/>
        <w:ind w:left="107" w:right="460"/>
      </w:pPr>
      <w:r>
        <w:rPr>
          <w:w w:val="98"/>
        </w:rPr>
        <w:t>f</w:t>
      </w:r>
      <w:r>
        <w:rPr>
          <w:spacing w:val="2"/>
          <w:w w:val="100"/>
        </w:rPr>
        <w:t>o</w:t>
      </w:r>
      <w:r>
        <w:rPr>
          <w:w w:val="95"/>
        </w:rPr>
        <w:t>r</w:t>
      </w:r>
      <w:r>
        <w:rPr>
          <w:spacing w:val="-12"/>
        </w:rPr>
        <w:t> </w:t>
      </w:r>
      <w:r>
        <w:rPr>
          <w:w w:val="94"/>
        </w:rPr>
        <w:t>a</w:t>
      </w:r>
      <w:r>
        <w:rPr>
          <w:spacing w:val="-12"/>
        </w:rPr>
        <w:t> </w:t>
      </w:r>
      <w:r>
        <w:rPr>
          <w:spacing w:val="3"/>
          <w:w w:val="98"/>
        </w:rPr>
        <w:t>f</w:t>
      </w:r>
      <w:r>
        <w:rPr>
          <w:spacing w:val="1"/>
          <w:w w:val="95"/>
        </w:rPr>
        <w:t>u</w:t>
      </w:r>
      <w:r>
        <w:rPr>
          <w:spacing w:val="2"/>
          <w:w w:val="95"/>
        </w:rPr>
        <w:t>n</w:t>
      </w:r>
      <w:r>
        <w:rPr>
          <w:spacing w:val="1"/>
          <w:w w:val="102"/>
        </w:rPr>
        <w:t>d</w:t>
      </w:r>
      <w:r>
        <w:rPr>
          <w:spacing w:val="1"/>
          <w:w w:val="95"/>
        </w:rPr>
        <w:t>i</w:t>
      </w:r>
      <w:r>
        <w:rPr>
          <w:spacing w:val="2"/>
          <w:w w:val="95"/>
        </w:rPr>
        <w:t>n</w:t>
      </w:r>
      <w:r>
        <w:rPr>
          <w:w w:val="102"/>
        </w:rPr>
        <w:t>g</w:t>
      </w:r>
      <w:r>
        <w:rPr>
          <w:spacing w:val="-12"/>
        </w:rPr>
        <w:t> </w:t>
      </w:r>
      <w:r>
        <w:rPr>
          <w:spacing w:val="-2"/>
          <w:w w:val="102"/>
        </w:rPr>
        <w:t>t</w:t>
      </w:r>
      <w:r>
        <w:rPr>
          <w:w w:val="100"/>
        </w:rPr>
        <w:t>o</w:t>
      </w:r>
      <w:r>
        <w:rPr>
          <w:spacing w:val="2"/>
          <w:w w:val="102"/>
        </w:rPr>
        <w:t>t</w:t>
      </w:r>
      <w:r>
        <w:rPr>
          <w:spacing w:val="2"/>
          <w:w w:val="94"/>
        </w:rPr>
        <w:t>a</w:t>
      </w:r>
      <w:r>
        <w:rPr>
          <w:w w:val="95"/>
        </w:rPr>
        <w:t>l</w:t>
      </w:r>
      <w:r>
        <w:rPr>
          <w:spacing w:val="-12"/>
        </w:rPr>
        <w:t> </w:t>
      </w:r>
      <w:r>
        <w:rPr>
          <w:w w:val="100"/>
        </w:rPr>
        <w:t>o</w:t>
      </w:r>
      <w:r>
        <w:rPr>
          <w:w w:val="98"/>
        </w:rPr>
        <w:t>f</w:t>
      </w:r>
      <w:r>
        <w:rPr>
          <w:spacing w:val="-12"/>
        </w:rPr>
        <w:t> </w:t>
      </w:r>
      <w:r>
        <w:rPr>
          <w:spacing w:val="2"/>
          <w:w w:val="99"/>
        </w:rPr>
        <w:t>$</w:t>
      </w:r>
      <w:r>
        <w:rPr>
          <w:spacing w:val="4"/>
          <w:w w:val="95"/>
        </w:rPr>
        <w:t>5</w:t>
      </w:r>
      <w:r>
        <w:rPr>
          <w:w w:val="68"/>
        </w:rPr>
        <w:t>,</w:t>
      </w:r>
      <w:r>
        <w:rPr>
          <w:spacing w:val="4"/>
          <w:w w:val="54"/>
        </w:rPr>
        <w:t>1</w:t>
      </w:r>
      <w:r>
        <w:rPr>
          <w:spacing w:val="4"/>
          <w:w w:val="111"/>
        </w:rPr>
        <w:t>0</w:t>
      </w:r>
      <w:r>
        <w:rPr>
          <w:spacing w:val="4"/>
          <w:w w:val="103"/>
        </w:rPr>
        <w:t>4</w:t>
      </w:r>
      <w:r>
        <w:rPr>
          <w:spacing w:val="6"/>
          <w:w w:val="68"/>
        </w:rPr>
        <w:t>,</w:t>
      </w:r>
      <w:r>
        <w:rPr>
          <w:spacing w:val="3"/>
          <w:w w:val="95"/>
        </w:rPr>
        <w:t>5</w:t>
      </w:r>
      <w:r>
        <w:rPr>
          <w:spacing w:val="4"/>
          <w:w w:val="111"/>
        </w:rPr>
        <w:t>0</w:t>
      </w:r>
      <w:r>
        <w:rPr>
          <w:spacing w:val="2"/>
          <w:w w:val="111"/>
        </w:rPr>
        <w:t>0</w:t>
      </w:r>
      <w:r>
        <w:rPr>
          <w:w w:val="68"/>
        </w:rPr>
        <w:t>.</w:t>
      </w:r>
    </w:p>
    <w:p>
      <w:pPr>
        <w:pStyle w:val="BodyText"/>
        <w:spacing w:before="2"/>
        <w:rPr>
          <w:sz w:val="15"/>
        </w:rPr>
      </w:pPr>
    </w:p>
    <w:p>
      <w:pPr>
        <w:pStyle w:val="Heading7"/>
        <w:ind w:right="460"/>
      </w:pPr>
      <w:r>
        <w:rPr>
          <w:color w:val="615C58"/>
          <w:w w:val="95"/>
        </w:rPr>
        <w:t>ARC Discovery Projects Grants</w:t>
      </w:r>
    </w:p>
    <w:p>
      <w:pPr>
        <w:pStyle w:val="BodyText"/>
        <w:spacing w:line="249" w:lineRule="auto" w:before="86"/>
        <w:ind w:left="107" w:right="197"/>
      </w:pPr>
      <w:r>
        <w:rPr/>
        <w:t>Discovery Projects grants support excellent basic and applied research by researchers and teams working to expand Australia’s knowledge base and research capability.</w:t>
      </w:r>
    </w:p>
    <w:p>
      <w:pPr>
        <w:pStyle w:val="BodyText"/>
        <w:spacing w:line="249" w:lineRule="auto"/>
        <w:ind w:left="107" w:right="228"/>
      </w:pPr>
      <w:r>
        <w:rPr/>
        <w:t>These awards aim to encourage research and training in high-quality research environments, and to improve collaboration in a way that maintains the international competitiveness of Australian research.</w:t>
      </w:r>
    </w:p>
    <w:p>
      <w:pPr>
        <w:pStyle w:val="BodyText"/>
        <w:spacing w:before="6"/>
        <w:rPr>
          <w:sz w:val="14"/>
        </w:rPr>
      </w:pPr>
    </w:p>
    <w:p>
      <w:pPr>
        <w:spacing w:before="0"/>
        <w:ind w:left="107" w:right="197" w:firstLine="0"/>
        <w:jc w:val="left"/>
        <w:rPr>
          <w:rFonts w:ascii="Gotham Narrow Book"/>
          <w:b w:val="0"/>
          <w:i/>
          <w:sz w:val="16"/>
        </w:rPr>
      </w:pPr>
      <w:r>
        <w:rPr>
          <w:rFonts w:ascii="Gotham Narrow Book"/>
          <w:b w:val="0"/>
          <w:i/>
          <w:sz w:val="16"/>
        </w:rPr>
        <w:t>Hawkesbury Institute for the Environment</w:t>
      </w:r>
    </w:p>
    <w:p>
      <w:pPr>
        <w:pStyle w:val="BodyText"/>
        <w:spacing w:line="247" w:lineRule="auto"/>
        <w:ind w:left="305" w:right="198" w:hanging="199"/>
      </w:pPr>
      <w:r>
        <w:rPr>
          <w:rFonts w:ascii="Century Gothic" w:hAnsi="Century Gothic"/>
          <w:b/>
          <w:w w:val="115"/>
        </w:rPr>
        <w:t>≥ </w:t>
      </w:r>
      <w:r>
        <w:rPr/>
        <w:t>Dr Scott Johnson ($338,000): ‘Down to earth defence: unlocking silicon defences for plant protection’</w:t>
      </w:r>
    </w:p>
    <w:p>
      <w:pPr>
        <w:pStyle w:val="BodyText"/>
        <w:spacing w:line="247" w:lineRule="auto" w:before="57"/>
        <w:ind w:left="305" w:right="153" w:hanging="199"/>
      </w:pPr>
      <w:r>
        <w:rPr>
          <w:rFonts w:ascii="Century Gothic" w:hAnsi="Century Gothic"/>
          <w:b/>
          <w:w w:val="115"/>
        </w:rPr>
        <w:t>≥ </w:t>
      </w:r>
      <w:r>
        <w:rPr/>
        <w:t>Professor Elise Pendall ($405,500): ‘Temperature sensitivity of soil respiration and its components’</w:t>
      </w:r>
    </w:p>
    <w:p>
      <w:pPr>
        <w:pStyle w:val="BodyText"/>
        <w:spacing w:line="247" w:lineRule="auto" w:before="57"/>
        <w:ind w:left="305" w:right="315" w:hanging="199"/>
      </w:pPr>
      <w:r>
        <w:rPr>
          <w:rFonts w:ascii="Century Gothic" w:hAnsi="Century Gothic"/>
          <w:b/>
          <w:w w:val="115"/>
        </w:rPr>
        <w:t>≥</w:t>
      </w:r>
      <w:r>
        <w:rPr>
          <w:rFonts w:ascii="Century Gothic" w:hAnsi="Century Gothic"/>
          <w:b/>
          <w:spacing w:val="-17"/>
          <w:w w:val="115"/>
        </w:rPr>
        <w:t> </w:t>
      </w:r>
      <w:r>
        <w:rPr>
          <w:w w:val="105"/>
        </w:rPr>
        <w:t>Professor</w:t>
      </w:r>
      <w:r>
        <w:rPr>
          <w:spacing w:val="-34"/>
          <w:w w:val="105"/>
        </w:rPr>
        <w:t> </w:t>
      </w:r>
      <w:r>
        <w:rPr>
          <w:w w:val="105"/>
        </w:rPr>
        <w:t>Brajesh</w:t>
      </w:r>
      <w:r>
        <w:rPr>
          <w:spacing w:val="-34"/>
          <w:w w:val="105"/>
        </w:rPr>
        <w:t> </w:t>
      </w:r>
      <w:r>
        <w:rPr>
          <w:w w:val="105"/>
        </w:rPr>
        <w:t>Singh</w:t>
      </w:r>
      <w:r>
        <w:rPr>
          <w:spacing w:val="-34"/>
          <w:w w:val="105"/>
        </w:rPr>
        <w:t> </w:t>
      </w:r>
      <w:r>
        <w:rPr>
          <w:w w:val="105"/>
        </w:rPr>
        <w:t>($396,000):</w:t>
      </w:r>
      <w:r>
        <w:rPr>
          <w:spacing w:val="-34"/>
          <w:w w:val="105"/>
        </w:rPr>
        <w:t> </w:t>
      </w:r>
      <w:r>
        <w:rPr>
          <w:spacing w:val="2"/>
          <w:w w:val="105"/>
        </w:rPr>
        <w:t>‘Do </w:t>
      </w:r>
      <w:r>
        <w:rPr>
          <w:w w:val="105"/>
        </w:rPr>
        <w:t>microbial</w:t>
      </w:r>
      <w:r>
        <w:rPr>
          <w:spacing w:val="-32"/>
          <w:w w:val="105"/>
        </w:rPr>
        <w:t> </w:t>
      </w:r>
      <w:r>
        <w:rPr>
          <w:w w:val="105"/>
        </w:rPr>
        <w:t>and</w:t>
      </w:r>
      <w:r>
        <w:rPr>
          <w:spacing w:val="-32"/>
          <w:w w:val="105"/>
        </w:rPr>
        <w:t> </w:t>
      </w:r>
      <w:r>
        <w:rPr>
          <w:w w:val="105"/>
        </w:rPr>
        <w:t>plant</w:t>
      </w:r>
      <w:r>
        <w:rPr>
          <w:spacing w:val="-32"/>
          <w:w w:val="105"/>
        </w:rPr>
        <w:t> </w:t>
      </w:r>
      <w:r>
        <w:rPr>
          <w:w w:val="105"/>
        </w:rPr>
        <w:t>diversity</w:t>
      </w:r>
      <w:r>
        <w:rPr>
          <w:spacing w:val="-32"/>
          <w:w w:val="105"/>
        </w:rPr>
        <w:t> </w:t>
      </w:r>
      <w:r>
        <w:rPr>
          <w:w w:val="105"/>
        </w:rPr>
        <w:t>interact</w:t>
      </w:r>
      <w:r>
        <w:rPr>
          <w:spacing w:val="-32"/>
          <w:w w:val="105"/>
        </w:rPr>
        <w:t> </w:t>
      </w:r>
      <w:r>
        <w:rPr>
          <w:w w:val="105"/>
        </w:rPr>
        <w:t>to </w:t>
      </w:r>
      <w:r>
        <w:rPr/>
        <w:t>regulate</w:t>
      </w:r>
      <w:r>
        <w:rPr>
          <w:spacing w:val="-23"/>
        </w:rPr>
        <w:t> </w:t>
      </w:r>
      <w:r>
        <w:rPr/>
        <w:t>multifunctionality?’</w:t>
      </w:r>
    </w:p>
    <w:p>
      <w:pPr>
        <w:pStyle w:val="BodyText"/>
        <w:spacing w:line="244" w:lineRule="auto" w:before="57"/>
        <w:ind w:left="305" w:right="460" w:hanging="199"/>
      </w:pPr>
      <w:r>
        <w:rPr>
          <w:rFonts w:ascii="Century Gothic" w:hAnsi="Century Gothic"/>
          <w:b/>
          <w:w w:val="115"/>
        </w:rPr>
        <w:t>≥ </w:t>
      </w:r>
      <w:r>
        <w:rPr>
          <w:w w:val="105"/>
        </w:rPr>
        <w:t>Dr Justin Welbergen ($389,500): </w:t>
      </w:r>
      <w:r>
        <w:rPr/>
        <w:t>‘Movement ecology of flying-foxes’</w:t>
      </w:r>
    </w:p>
    <w:p>
      <w:pPr>
        <w:pStyle w:val="BodyText"/>
        <w:spacing w:before="10"/>
        <w:rPr>
          <w:sz w:val="14"/>
        </w:rPr>
      </w:pPr>
    </w:p>
    <w:p>
      <w:pPr>
        <w:spacing w:before="0"/>
        <w:ind w:left="107" w:right="460" w:firstLine="0"/>
        <w:jc w:val="left"/>
        <w:rPr>
          <w:rFonts w:ascii="Gotham Narrow Book"/>
          <w:b w:val="0"/>
          <w:i/>
          <w:sz w:val="16"/>
        </w:rPr>
      </w:pPr>
      <w:r>
        <w:rPr>
          <w:rFonts w:ascii="Gotham Narrow Book"/>
          <w:b w:val="0"/>
          <w:i/>
          <w:sz w:val="16"/>
        </w:rPr>
        <w:t>Institute for Culture and Society</w:t>
      </w:r>
    </w:p>
    <w:p>
      <w:pPr>
        <w:pStyle w:val="BodyText"/>
        <w:spacing w:line="244" w:lineRule="auto"/>
        <w:ind w:left="305" w:right="608" w:hanging="199"/>
      </w:pPr>
      <w:r>
        <w:rPr>
          <w:rFonts w:ascii="Century Gothic" w:hAnsi="Century Gothic"/>
          <w:b/>
          <w:w w:val="115"/>
        </w:rPr>
        <w:t>≥</w:t>
      </w:r>
      <w:r>
        <w:rPr>
          <w:rFonts w:ascii="Century Gothic" w:hAnsi="Century Gothic"/>
          <w:b/>
          <w:spacing w:val="-14"/>
          <w:w w:val="115"/>
        </w:rPr>
        <w:t> </w:t>
      </w:r>
      <w:r>
        <w:rPr>
          <w:w w:val="105"/>
        </w:rPr>
        <w:t>Professor</w:t>
      </w:r>
      <w:r>
        <w:rPr>
          <w:spacing w:val="-33"/>
          <w:w w:val="105"/>
        </w:rPr>
        <w:t> </w:t>
      </w:r>
      <w:r>
        <w:rPr>
          <w:spacing w:val="-3"/>
          <w:w w:val="105"/>
        </w:rPr>
        <w:t>Tony</w:t>
      </w:r>
      <w:r>
        <w:rPr>
          <w:spacing w:val="-33"/>
          <w:w w:val="105"/>
        </w:rPr>
        <w:t> </w:t>
      </w:r>
      <w:r>
        <w:rPr>
          <w:w w:val="105"/>
        </w:rPr>
        <w:t>Bennett</w:t>
      </w:r>
      <w:r>
        <w:rPr>
          <w:spacing w:val="-33"/>
          <w:w w:val="105"/>
        </w:rPr>
        <w:t> </w:t>
      </w:r>
      <w:r>
        <w:rPr>
          <w:w w:val="105"/>
        </w:rPr>
        <w:t>($360,500): </w:t>
      </w:r>
      <w:r>
        <w:rPr/>
        <w:t>‘Assembling and governing</w:t>
      </w:r>
      <w:r>
        <w:rPr>
          <w:spacing w:val="-36"/>
        </w:rPr>
        <w:t> </w:t>
      </w:r>
      <w:r>
        <w:rPr/>
        <w:t>habits’</w:t>
      </w:r>
    </w:p>
    <w:p>
      <w:pPr>
        <w:pStyle w:val="BodyText"/>
        <w:spacing w:line="244" w:lineRule="auto" w:before="58"/>
        <w:ind w:left="305" w:right="197" w:hanging="199"/>
      </w:pPr>
      <w:r>
        <w:rPr>
          <w:rFonts w:ascii="Century Gothic" w:hAnsi="Century Gothic"/>
          <w:b/>
          <w:w w:val="115"/>
        </w:rPr>
        <w:t>≥ </w:t>
      </w:r>
      <w:r>
        <w:rPr/>
        <w:t>Dr Denis Byrne ($298,500): ‘The China- Australia heritage corridor’</w:t>
      </w:r>
    </w:p>
    <w:p>
      <w:pPr>
        <w:pStyle w:val="BodyText"/>
        <w:spacing w:line="244" w:lineRule="auto" w:before="58"/>
        <w:ind w:left="305" w:right="532" w:hanging="199"/>
      </w:pPr>
      <w:r>
        <w:rPr>
          <w:rFonts w:ascii="Century Gothic" w:hAnsi="Century Gothic"/>
          <w:b/>
          <w:w w:val="115"/>
        </w:rPr>
        <w:t>≥</w:t>
      </w:r>
      <w:r>
        <w:rPr>
          <w:rFonts w:ascii="Century Gothic" w:hAnsi="Century Gothic"/>
          <w:b/>
          <w:spacing w:val="-13"/>
          <w:w w:val="115"/>
        </w:rPr>
        <w:t> </w:t>
      </w:r>
      <w:r>
        <w:rPr>
          <w:w w:val="105"/>
        </w:rPr>
        <w:t>Professor</w:t>
      </w:r>
      <w:r>
        <w:rPr>
          <w:spacing w:val="-32"/>
          <w:w w:val="105"/>
        </w:rPr>
        <w:t> </w:t>
      </w:r>
      <w:r>
        <w:rPr>
          <w:w w:val="105"/>
        </w:rPr>
        <w:t>Donald</w:t>
      </w:r>
      <w:r>
        <w:rPr>
          <w:spacing w:val="-32"/>
          <w:w w:val="105"/>
        </w:rPr>
        <w:t> </w:t>
      </w:r>
      <w:r>
        <w:rPr>
          <w:w w:val="105"/>
        </w:rPr>
        <w:t>McNeil</w:t>
      </w:r>
      <w:r>
        <w:rPr>
          <w:spacing w:val="-32"/>
          <w:w w:val="105"/>
        </w:rPr>
        <w:t> </w:t>
      </w:r>
      <w:r>
        <w:rPr>
          <w:w w:val="105"/>
        </w:rPr>
        <w:t>($403,500): </w:t>
      </w:r>
      <w:r>
        <w:rPr/>
        <w:t>‘Volumetric</w:t>
      </w:r>
      <w:r>
        <w:rPr>
          <w:spacing w:val="-19"/>
        </w:rPr>
        <w:t> </w:t>
      </w:r>
      <w:r>
        <w:rPr/>
        <w:t>urbanism’</w:t>
      </w:r>
    </w:p>
    <w:p>
      <w:pPr>
        <w:pStyle w:val="BodyText"/>
        <w:spacing w:before="10"/>
        <w:rPr>
          <w:sz w:val="14"/>
        </w:rPr>
      </w:pPr>
    </w:p>
    <w:p>
      <w:pPr>
        <w:spacing w:line="249" w:lineRule="auto" w:before="0"/>
        <w:ind w:left="107" w:right="460" w:firstLine="0"/>
        <w:jc w:val="left"/>
        <w:rPr>
          <w:rFonts w:ascii="Gotham Narrow Book"/>
          <w:b w:val="0"/>
          <w:i/>
          <w:sz w:val="16"/>
        </w:rPr>
      </w:pPr>
      <w:r>
        <w:rPr>
          <w:rFonts w:ascii="Gotham Narrow Book"/>
          <w:b w:val="0"/>
          <w:i/>
          <w:sz w:val="16"/>
        </w:rPr>
        <w:t>The MARCS Institute for Brain, Behaviour </w:t>
      </w:r>
      <w:r>
        <w:rPr>
          <w:rFonts w:ascii="Gotham Narrow Book"/>
          <w:b w:val="0"/>
          <w:i/>
          <w:sz w:val="16"/>
        </w:rPr>
        <w:t>and Development</w:t>
      </w:r>
    </w:p>
    <w:p>
      <w:pPr>
        <w:pStyle w:val="BodyText"/>
        <w:spacing w:line="247" w:lineRule="auto"/>
        <w:ind w:left="305" w:right="84" w:hanging="199"/>
      </w:pPr>
      <w:r>
        <w:rPr>
          <w:rFonts w:ascii="Century Gothic" w:hAnsi="Century Gothic"/>
          <w:b/>
          <w:w w:val="145"/>
        </w:rPr>
        <w:t>≥ </w:t>
      </w:r>
      <w:r>
        <w:rPr>
          <w:w w:val="96"/>
        </w:rPr>
        <w:t>Dr </w:t>
      </w:r>
      <w:r>
        <w:rPr>
          <w:w w:val="95"/>
        </w:rPr>
        <w:t>Manuel </w:t>
      </w:r>
      <w:r>
        <w:rPr>
          <w:w w:val="98"/>
        </w:rPr>
        <w:t>Varlet </w:t>
      </w:r>
      <w:r>
        <w:rPr>
          <w:w w:val="90"/>
        </w:rPr>
        <w:t>($341,500): </w:t>
      </w:r>
      <w:r>
        <w:rPr>
          <w:w w:val="98"/>
        </w:rPr>
        <w:t>‘Effects </w:t>
      </w:r>
      <w:r>
        <w:rPr>
          <w:w w:val="99"/>
        </w:rPr>
        <w:t>of </w:t>
      </w:r>
      <w:r>
        <w:rPr/>
        <w:t>audio-visual rhythmic stimulation on motor functioning’</w:t>
      </w:r>
    </w:p>
    <w:p>
      <w:pPr>
        <w:pStyle w:val="BodyText"/>
        <w:spacing w:before="8"/>
        <w:rPr>
          <w:sz w:val="14"/>
        </w:rPr>
      </w:pPr>
    </w:p>
    <w:p>
      <w:pPr>
        <w:spacing w:line="249" w:lineRule="auto" w:before="0"/>
        <w:ind w:left="107" w:right="-1" w:firstLine="0"/>
        <w:jc w:val="left"/>
        <w:rPr>
          <w:rFonts w:ascii="Gotham Narrow Book"/>
          <w:b w:val="0"/>
          <w:i/>
          <w:sz w:val="16"/>
        </w:rPr>
      </w:pPr>
      <w:r>
        <w:rPr>
          <w:rFonts w:ascii="Gotham Narrow Book"/>
          <w:b w:val="0"/>
          <w:i/>
          <w:sz w:val="16"/>
        </w:rPr>
        <w:t>Writing and Society, School of Humanities and </w:t>
      </w:r>
      <w:r>
        <w:rPr>
          <w:rFonts w:ascii="Gotham Narrow Book"/>
          <w:b w:val="0"/>
          <w:i/>
          <w:sz w:val="16"/>
        </w:rPr>
        <w:t>Communication Arts</w:t>
      </w:r>
    </w:p>
    <w:p>
      <w:pPr>
        <w:pStyle w:val="BodyText"/>
        <w:spacing w:line="244" w:lineRule="auto"/>
        <w:ind w:left="305" w:right="297" w:hanging="199"/>
      </w:pPr>
      <w:r>
        <w:rPr>
          <w:rFonts w:ascii="Century Gothic" w:hAnsi="Century Gothic"/>
          <w:b/>
          <w:w w:val="115"/>
        </w:rPr>
        <w:t>≥ </w:t>
      </w:r>
      <w:r>
        <w:rPr/>
        <w:t>Professor Anthony Uhlmann ($572,000): ‘Other worlds: forms of world literature’</w:t>
      </w:r>
    </w:p>
    <w:p>
      <w:pPr>
        <w:spacing w:after="0" w:line="244" w:lineRule="auto"/>
        <w:sectPr>
          <w:type w:val="continuous"/>
          <w:pgSz w:w="11910" w:h="16840"/>
          <w:pgMar w:top="1580" w:bottom="280" w:left="800" w:right="800"/>
          <w:cols w:num="3" w:equalWidth="0">
            <w:col w:w="3320" w:space="119"/>
            <w:col w:w="3321" w:space="119"/>
            <w:col w:w="3431"/>
          </w:cols>
        </w:sectPr>
      </w:pPr>
    </w:p>
    <w:p>
      <w:pPr>
        <w:pStyle w:val="BodyText"/>
        <w:spacing w:before="9"/>
        <w:rPr>
          <w:sz w:val="28"/>
        </w:rPr>
      </w:pPr>
    </w:p>
    <w:p>
      <w:pPr>
        <w:pStyle w:val="Heading2"/>
        <w:spacing w:line="240" w:lineRule="auto" w:before="27"/>
        <w:ind w:right="6763"/>
        <w:rPr>
          <w:b w:val="0"/>
        </w:rPr>
      </w:pPr>
      <w:r>
        <w:rPr>
          <w:b w:val="0"/>
        </w:rPr>
        <w:t>Research</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24"/>
        </w:rPr>
      </w:pPr>
    </w:p>
    <w:p>
      <w:pPr>
        <w:spacing w:after="0"/>
        <w:rPr>
          <w:rFonts w:ascii="Chronicle Text G1"/>
          <w:sz w:val="24"/>
        </w:rPr>
        <w:sectPr>
          <w:pgSz w:w="11910" w:h="16840"/>
          <w:pgMar w:header="496" w:footer="472" w:top="680" w:bottom="660" w:left="800" w:right="800"/>
        </w:sectPr>
      </w:pPr>
    </w:p>
    <w:p>
      <w:pPr>
        <w:spacing w:before="78"/>
        <w:ind w:left="107" w:right="197" w:firstLine="0"/>
        <w:jc w:val="left"/>
        <w:rPr>
          <w:rFonts w:ascii="Gotham Narrow Book"/>
          <w:b w:val="0"/>
          <w:i/>
          <w:sz w:val="16"/>
        </w:rPr>
      </w:pPr>
      <w:r>
        <w:rPr>
          <w:rFonts w:ascii="Gotham Narrow Book"/>
          <w:b w:val="0"/>
          <w:i/>
          <w:sz w:val="16"/>
        </w:rPr>
        <w:t>School of Social Sciences and  Psychology</w:t>
      </w:r>
    </w:p>
    <w:p>
      <w:pPr>
        <w:pStyle w:val="BodyText"/>
        <w:spacing w:line="247" w:lineRule="auto"/>
        <w:ind w:left="305" w:right="282" w:hanging="199"/>
        <w:jc w:val="both"/>
      </w:pPr>
      <w:r>
        <w:rPr>
          <w:rFonts w:ascii="Century Gothic" w:hAnsi="Century Gothic"/>
          <w:b/>
          <w:w w:val="115"/>
        </w:rPr>
        <w:t>≥</w:t>
      </w:r>
      <w:r>
        <w:rPr>
          <w:rFonts w:ascii="Century Gothic" w:hAnsi="Century Gothic"/>
          <w:b/>
          <w:spacing w:val="15"/>
          <w:w w:val="115"/>
        </w:rPr>
        <w:t> </w:t>
      </w:r>
      <w:r>
        <w:rPr/>
        <w:t>Dr</w:t>
      </w:r>
      <w:r>
        <w:rPr>
          <w:spacing w:val="-15"/>
        </w:rPr>
        <w:t> </w:t>
      </w:r>
      <w:r>
        <w:rPr/>
        <w:t>Tamara</w:t>
      </w:r>
      <w:r>
        <w:rPr>
          <w:spacing w:val="-15"/>
        </w:rPr>
        <w:t> </w:t>
      </w:r>
      <w:r>
        <w:rPr/>
        <w:t>Watson</w:t>
      </w:r>
      <w:r>
        <w:rPr>
          <w:spacing w:val="-15"/>
        </w:rPr>
        <w:t> </w:t>
      </w:r>
      <w:r>
        <w:rPr/>
        <w:t>($335,500):</w:t>
      </w:r>
      <w:r>
        <w:rPr>
          <w:spacing w:val="-15"/>
        </w:rPr>
        <w:t> </w:t>
      </w:r>
      <w:r>
        <w:rPr/>
        <w:t>‘Flower power:</w:t>
      </w:r>
      <w:r>
        <w:rPr>
          <w:spacing w:val="-22"/>
        </w:rPr>
        <w:t> </w:t>
      </w:r>
      <w:r>
        <w:rPr/>
        <w:t>natural</w:t>
      </w:r>
      <w:r>
        <w:rPr>
          <w:spacing w:val="-22"/>
        </w:rPr>
        <w:t> </w:t>
      </w:r>
      <w:r>
        <w:rPr/>
        <w:t>form,</w:t>
      </w:r>
      <w:r>
        <w:rPr>
          <w:spacing w:val="-22"/>
        </w:rPr>
        <w:t> </w:t>
      </w:r>
      <w:r>
        <w:rPr/>
        <w:t>aesthetics</w:t>
      </w:r>
      <w:r>
        <w:rPr>
          <w:spacing w:val="-22"/>
        </w:rPr>
        <w:t> </w:t>
      </w:r>
      <w:r>
        <w:rPr/>
        <w:t>and</w:t>
      </w:r>
      <w:r>
        <w:rPr>
          <w:spacing w:val="-22"/>
        </w:rPr>
        <w:t> </w:t>
      </w:r>
      <w:r>
        <w:rPr/>
        <w:t>the human</w:t>
      </w:r>
      <w:r>
        <w:rPr>
          <w:spacing w:val="-28"/>
        </w:rPr>
        <w:t> </w:t>
      </w:r>
      <w:r>
        <w:rPr/>
        <w:t>brain’</w:t>
      </w:r>
    </w:p>
    <w:p>
      <w:pPr>
        <w:pStyle w:val="BodyText"/>
        <w:spacing w:before="2"/>
        <w:rPr>
          <w:sz w:val="14"/>
        </w:rPr>
      </w:pPr>
    </w:p>
    <w:p>
      <w:pPr>
        <w:pStyle w:val="BodyText"/>
        <w:spacing w:line="249" w:lineRule="auto"/>
        <w:ind w:left="107" w:right="197"/>
      </w:pPr>
      <w:r>
        <w:rPr/>
        <w:t>The University’s success rate for ARC Discovery</w:t>
      </w:r>
      <w:r>
        <w:rPr>
          <w:spacing w:val="-29"/>
        </w:rPr>
        <w:t> </w:t>
      </w:r>
      <w:r>
        <w:rPr/>
        <w:t>Projects</w:t>
      </w:r>
      <w:r>
        <w:rPr>
          <w:spacing w:val="-29"/>
        </w:rPr>
        <w:t> </w:t>
      </w:r>
      <w:r>
        <w:rPr/>
        <w:t>grants</w:t>
      </w:r>
      <w:r>
        <w:rPr>
          <w:spacing w:val="-29"/>
        </w:rPr>
        <w:t> </w:t>
      </w:r>
      <w:r>
        <w:rPr/>
        <w:t>was</w:t>
      </w:r>
      <w:r>
        <w:rPr>
          <w:spacing w:val="-29"/>
        </w:rPr>
        <w:t> </w:t>
      </w:r>
      <w:r>
        <w:rPr/>
        <w:t>16.1</w:t>
      </w:r>
      <w:r>
        <w:rPr>
          <w:spacing w:val="-29"/>
        </w:rPr>
        <w:t> </w:t>
      </w:r>
      <w:r>
        <w:rPr/>
        <w:t>per</w:t>
      </w:r>
      <w:r>
        <w:rPr>
          <w:spacing w:val="-29"/>
        </w:rPr>
        <w:t> </w:t>
      </w:r>
      <w:r>
        <w:rPr/>
        <w:t>cent. The</w:t>
      </w:r>
      <w:r>
        <w:rPr>
          <w:spacing w:val="-30"/>
        </w:rPr>
        <w:t> </w:t>
      </w:r>
      <w:r>
        <w:rPr/>
        <w:t>national</w:t>
      </w:r>
      <w:r>
        <w:rPr>
          <w:spacing w:val="-30"/>
        </w:rPr>
        <w:t> </w:t>
      </w:r>
      <w:r>
        <w:rPr/>
        <w:t>success</w:t>
      </w:r>
      <w:r>
        <w:rPr>
          <w:spacing w:val="-30"/>
        </w:rPr>
        <w:t> </w:t>
      </w:r>
      <w:r>
        <w:rPr/>
        <w:t>rate</w:t>
      </w:r>
      <w:r>
        <w:rPr>
          <w:spacing w:val="-30"/>
        </w:rPr>
        <w:t> </w:t>
      </w:r>
      <w:r>
        <w:rPr/>
        <w:t>was</w:t>
      </w:r>
      <w:r>
        <w:rPr>
          <w:spacing w:val="-30"/>
        </w:rPr>
        <w:t> </w:t>
      </w:r>
      <w:r>
        <w:rPr/>
        <w:t>17.8</w:t>
      </w:r>
      <w:r>
        <w:rPr>
          <w:spacing w:val="-30"/>
        </w:rPr>
        <w:t> </w:t>
      </w:r>
      <w:r>
        <w:rPr/>
        <w:t>per</w:t>
      </w:r>
      <w:r>
        <w:rPr>
          <w:spacing w:val="-30"/>
        </w:rPr>
        <w:t> </w:t>
      </w:r>
      <w:r>
        <w:rPr/>
        <w:t>cent.</w:t>
      </w:r>
    </w:p>
    <w:p>
      <w:pPr>
        <w:pStyle w:val="BodyText"/>
        <w:spacing w:before="6"/>
        <w:rPr>
          <w:sz w:val="14"/>
        </w:rPr>
      </w:pPr>
    </w:p>
    <w:p>
      <w:pPr>
        <w:pStyle w:val="Heading7"/>
        <w:ind w:right="197"/>
      </w:pPr>
      <w:r>
        <w:rPr>
          <w:color w:val="615C58"/>
          <w:w w:val="95"/>
        </w:rPr>
        <w:t>ARC DECRAs</w:t>
      </w:r>
    </w:p>
    <w:p>
      <w:pPr>
        <w:pStyle w:val="BodyText"/>
        <w:spacing w:line="249" w:lineRule="auto" w:before="86"/>
        <w:ind w:left="107" w:right="13"/>
      </w:pPr>
      <w:r>
        <w:rPr>
          <w:spacing w:val="2"/>
        </w:rPr>
        <w:t>DECRAs </w:t>
      </w:r>
      <w:r>
        <w:rPr/>
        <w:t>are presented to promising early career researchers (ECRs) who attain a PhD within five years, or longer if combined with periods</w:t>
      </w:r>
      <w:r>
        <w:rPr>
          <w:spacing w:val="-19"/>
        </w:rPr>
        <w:t> </w:t>
      </w:r>
      <w:r>
        <w:rPr/>
        <w:t>of</w:t>
      </w:r>
      <w:r>
        <w:rPr>
          <w:spacing w:val="-19"/>
        </w:rPr>
        <w:t> </w:t>
      </w:r>
      <w:r>
        <w:rPr/>
        <w:t>significant</w:t>
      </w:r>
      <w:r>
        <w:rPr>
          <w:spacing w:val="-19"/>
        </w:rPr>
        <w:t> </w:t>
      </w:r>
      <w:r>
        <w:rPr/>
        <w:t>career</w:t>
      </w:r>
      <w:r>
        <w:rPr>
          <w:spacing w:val="-19"/>
        </w:rPr>
        <w:t> </w:t>
      </w:r>
      <w:r>
        <w:rPr/>
        <w:t>interruption.</w:t>
      </w:r>
      <w:r>
        <w:rPr>
          <w:spacing w:val="-19"/>
        </w:rPr>
        <w:t> </w:t>
      </w:r>
      <w:r>
        <w:rPr/>
        <w:t>The award gives ECRs an opportunity to pursue diverse</w:t>
      </w:r>
      <w:r>
        <w:rPr>
          <w:spacing w:val="-17"/>
        </w:rPr>
        <w:t> </w:t>
      </w:r>
      <w:r>
        <w:rPr/>
        <w:t>career</w:t>
      </w:r>
      <w:r>
        <w:rPr>
          <w:spacing w:val="-17"/>
        </w:rPr>
        <w:t> </w:t>
      </w:r>
      <w:r>
        <w:rPr/>
        <w:t>pathways</w:t>
      </w:r>
      <w:r>
        <w:rPr>
          <w:spacing w:val="-17"/>
        </w:rPr>
        <w:t> </w:t>
      </w:r>
      <w:r>
        <w:rPr/>
        <w:t>in</w:t>
      </w:r>
      <w:r>
        <w:rPr>
          <w:spacing w:val="-17"/>
        </w:rPr>
        <w:t> </w:t>
      </w:r>
      <w:r>
        <w:rPr/>
        <w:t>both</w:t>
      </w:r>
      <w:r>
        <w:rPr>
          <w:spacing w:val="-17"/>
        </w:rPr>
        <w:t> </w:t>
      </w:r>
      <w:r>
        <w:rPr/>
        <w:t>teaching</w:t>
      </w:r>
      <w:r>
        <w:rPr>
          <w:spacing w:val="-17"/>
        </w:rPr>
        <w:t> </w:t>
      </w:r>
      <w:r>
        <w:rPr/>
        <w:t>and research,</w:t>
      </w:r>
      <w:r>
        <w:rPr>
          <w:spacing w:val="-23"/>
        </w:rPr>
        <w:t> </w:t>
      </w:r>
      <w:r>
        <w:rPr/>
        <w:t>including</w:t>
      </w:r>
      <w:r>
        <w:rPr>
          <w:spacing w:val="-23"/>
        </w:rPr>
        <w:t> </w:t>
      </w:r>
      <w:r>
        <w:rPr/>
        <w:t>research-only</w:t>
      </w:r>
      <w:r>
        <w:rPr>
          <w:spacing w:val="-23"/>
        </w:rPr>
        <w:t> </w:t>
      </w:r>
      <w:r>
        <w:rPr/>
        <w:t>positions</w:t>
      </w:r>
    </w:p>
    <w:p>
      <w:pPr>
        <w:pStyle w:val="BodyText"/>
        <w:spacing w:line="249" w:lineRule="auto"/>
        <w:ind w:left="107" w:right="13"/>
      </w:pPr>
      <w:r>
        <w:rPr/>
        <w:t>in high-quality and supportive environments, with the aim of expanding Australia’s knowledge base and research capability.</w:t>
      </w:r>
    </w:p>
    <w:p>
      <w:pPr>
        <w:pStyle w:val="BodyText"/>
        <w:spacing w:before="6"/>
        <w:rPr>
          <w:sz w:val="14"/>
        </w:rPr>
      </w:pPr>
    </w:p>
    <w:p>
      <w:pPr>
        <w:spacing w:line="249" w:lineRule="auto" w:before="0"/>
        <w:ind w:left="107" w:right="197" w:firstLine="0"/>
        <w:jc w:val="left"/>
        <w:rPr>
          <w:rFonts w:ascii="Gotham Narrow Book"/>
          <w:b w:val="0"/>
          <w:i/>
          <w:sz w:val="16"/>
        </w:rPr>
      </w:pPr>
      <w:r>
        <w:rPr>
          <w:rFonts w:ascii="Gotham Narrow Book"/>
          <w:b w:val="0"/>
          <w:i/>
          <w:sz w:val="16"/>
        </w:rPr>
        <w:t>The MARCS Institute for Brain, Behaviour </w:t>
      </w:r>
      <w:r>
        <w:rPr>
          <w:rFonts w:ascii="Gotham Narrow Book"/>
          <w:b w:val="0"/>
          <w:i/>
          <w:sz w:val="16"/>
        </w:rPr>
        <w:t>and Development</w:t>
      </w:r>
    </w:p>
    <w:p>
      <w:pPr>
        <w:pStyle w:val="BodyText"/>
        <w:spacing w:line="247" w:lineRule="auto"/>
        <w:ind w:left="305" w:right="105" w:hanging="199"/>
      </w:pPr>
      <w:r>
        <w:rPr>
          <w:rFonts w:ascii="Century Gothic" w:hAnsi="Century Gothic"/>
          <w:b/>
          <w:w w:val="115"/>
        </w:rPr>
        <w:t>≥  </w:t>
      </w:r>
      <w:r>
        <w:rPr/>
        <w:t>Dr Andrew Milne ($369,000): ‘Uncovering</w:t>
      </w:r>
      <w:r>
        <w:rPr>
          <w:spacing w:val="-19"/>
        </w:rPr>
        <w:t> </w:t>
      </w:r>
      <w:r>
        <w:rPr/>
        <w:t>universal</w:t>
      </w:r>
      <w:r>
        <w:rPr>
          <w:spacing w:val="-19"/>
        </w:rPr>
        <w:t> </w:t>
      </w:r>
      <w:r>
        <w:rPr/>
        <w:t>mechanisms</w:t>
      </w:r>
      <w:r>
        <w:rPr>
          <w:spacing w:val="-19"/>
        </w:rPr>
        <w:t> </w:t>
      </w:r>
      <w:r>
        <w:rPr/>
        <w:t>for</w:t>
      </w:r>
      <w:r>
        <w:rPr>
          <w:spacing w:val="-19"/>
        </w:rPr>
        <w:t> </w:t>
      </w:r>
      <w:r>
        <w:rPr/>
        <w:t>the communication</w:t>
      </w:r>
      <w:r>
        <w:rPr>
          <w:spacing w:val="-15"/>
        </w:rPr>
        <w:t> </w:t>
      </w:r>
      <w:r>
        <w:rPr/>
        <w:t>of</w:t>
      </w:r>
      <w:r>
        <w:rPr>
          <w:spacing w:val="-15"/>
        </w:rPr>
        <w:t> </w:t>
      </w:r>
      <w:r>
        <w:rPr/>
        <w:t>musical</w:t>
      </w:r>
      <w:r>
        <w:rPr>
          <w:spacing w:val="-15"/>
        </w:rPr>
        <w:t> </w:t>
      </w:r>
      <w:r>
        <w:rPr/>
        <w:t>emotion’</w:t>
      </w:r>
    </w:p>
    <w:p>
      <w:pPr>
        <w:pStyle w:val="BodyText"/>
        <w:spacing w:before="8"/>
        <w:rPr>
          <w:sz w:val="14"/>
        </w:rPr>
      </w:pPr>
    </w:p>
    <w:p>
      <w:pPr>
        <w:pStyle w:val="Heading7"/>
        <w:ind w:right="197"/>
      </w:pPr>
      <w:r>
        <w:rPr>
          <w:color w:val="615C58"/>
          <w:w w:val="95"/>
        </w:rPr>
        <w:t>ARC Future Fellowships</w:t>
      </w:r>
    </w:p>
    <w:p>
      <w:pPr>
        <w:pStyle w:val="BodyText"/>
        <w:spacing w:line="249" w:lineRule="auto" w:before="86"/>
        <w:ind w:left="107" w:right="-11"/>
      </w:pPr>
      <w:r>
        <w:rPr/>
        <w:t>The Future Fellowships scheme </w:t>
      </w:r>
      <w:r>
        <w:rPr>
          <w:spacing w:val="2"/>
        </w:rPr>
        <w:t>supports </w:t>
      </w:r>
      <w:r>
        <w:rPr/>
        <w:t>research in areas of critical national importance</w:t>
      </w:r>
      <w:r>
        <w:rPr>
          <w:spacing w:val="-13"/>
        </w:rPr>
        <w:t> </w:t>
      </w:r>
      <w:r>
        <w:rPr/>
        <w:t>by</w:t>
      </w:r>
      <w:r>
        <w:rPr>
          <w:spacing w:val="-13"/>
        </w:rPr>
        <w:t> </w:t>
      </w:r>
      <w:r>
        <w:rPr/>
        <w:t>giving</w:t>
      </w:r>
      <w:r>
        <w:rPr>
          <w:spacing w:val="-13"/>
        </w:rPr>
        <w:t> </w:t>
      </w:r>
      <w:r>
        <w:rPr/>
        <w:t>outstanding</w:t>
      </w:r>
      <w:r>
        <w:rPr>
          <w:spacing w:val="-13"/>
        </w:rPr>
        <w:t> </w:t>
      </w:r>
      <w:r>
        <w:rPr/>
        <w:t>researchers incentives to conduct their research in Australia. The aim is to attract and retain the best</w:t>
      </w:r>
      <w:r>
        <w:rPr>
          <w:spacing w:val="-18"/>
        </w:rPr>
        <w:t> </w:t>
      </w:r>
      <w:r>
        <w:rPr/>
        <w:t>and</w:t>
      </w:r>
      <w:r>
        <w:rPr>
          <w:spacing w:val="-18"/>
        </w:rPr>
        <w:t> </w:t>
      </w:r>
      <w:r>
        <w:rPr/>
        <w:t>brightest</w:t>
      </w:r>
      <w:r>
        <w:rPr>
          <w:spacing w:val="-18"/>
        </w:rPr>
        <w:t> </w:t>
      </w:r>
      <w:r>
        <w:rPr/>
        <w:t>mid-career</w:t>
      </w:r>
      <w:r>
        <w:rPr>
          <w:spacing w:val="-18"/>
        </w:rPr>
        <w:t> </w:t>
      </w:r>
      <w:r>
        <w:rPr/>
        <w:t>researchers.</w:t>
      </w:r>
    </w:p>
    <w:p>
      <w:pPr>
        <w:pStyle w:val="BodyText"/>
        <w:spacing w:before="6"/>
        <w:rPr>
          <w:sz w:val="14"/>
        </w:rPr>
      </w:pPr>
    </w:p>
    <w:p>
      <w:pPr>
        <w:spacing w:line="249" w:lineRule="auto" w:before="0"/>
        <w:ind w:left="107" w:right="197" w:firstLine="0"/>
        <w:jc w:val="left"/>
        <w:rPr>
          <w:rFonts w:ascii="Gotham Narrow Book"/>
          <w:b w:val="0"/>
          <w:i/>
          <w:sz w:val="16"/>
        </w:rPr>
      </w:pPr>
      <w:r>
        <w:rPr>
          <w:rFonts w:ascii="Gotham Narrow Book"/>
          <w:b w:val="0"/>
          <w:i/>
          <w:sz w:val="16"/>
        </w:rPr>
        <w:t>The MARCS Institute for Brain, Behaviour </w:t>
      </w:r>
      <w:r>
        <w:rPr>
          <w:rFonts w:ascii="Gotham Narrow Book"/>
          <w:b w:val="0"/>
          <w:i/>
          <w:sz w:val="16"/>
        </w:rPr>
        <w:t>and Development</w:t>
      </w:r>
    </w:p>
    <w:p>
      <w:pPr>
        <w:pStyle w:val="BodyText"/>
        <w:spacing w:line="247" w:lineRule="auto"/>
        <w:ind w:left="305" w:right="10" w:hanging="199"/>
      </w:pPr>
      <w:r>
        <w:rPr>
          <w:rFonts w:ascii="Century Gothic" w:hAnsi="Century Gothic"/>
          <w:b/>
          <w:w w:val="115"/>
        </w:rPr>
        <w:t>≥ </w:t>
      </w:r>
      <w:r>
        <w:rPr/>
        <w:t>Associate Professor Paola Escudero ($895,000): ‘Enhancing language learning via auditory training and interaction’</w:t>
      </w:r>
    </w:p>
    <w:p>
      <w:pPr>
        <w:pStyle w:val="BodyText"/>
        <w:spacing w:before="8"/>
        <w:rPr>
          <w:sz w:val="14"/>
        </w:rPr>
      </w:pPr>
    </w:p>
    <w:p>
      <w:pPr>
        <w:pStyle w:val="Heading7"/>
        <w:spacing w:line="249" w:lineRule="auto"/>
        <w:ind w:right="197"/>
      </w:pPr>
      <w:r>
        <w:rPr>
          <w:color w:val="615C58"/>
          <w:w w:val="95"/>
        </w:rPr>
        <w:t>National Health and Medical Research Council Project Funding</w:t>
      </w:r>
    </w:p>
    <w:p>
      <w:pPr>
        <w:spacing w:before="85"/>
        <w:ind w:left="107" w:right="197" w:firstLine="0"/>
        <w:jc w:val="left"/>
        <w:rPr>
          <w:rFonts w:ascii="Gotham Narrow Book"/>
          <w:b w:val="0"/>
          <w:i/>
          <w:sz w:val="16"/>
        </w:rPr>
      </w:pPr>
      <w:r>
        <w:rPr>
          <w:rFonts w:ascii="Gotham Narrow Book"/>
          <w:b w:val="0"/>
          <w:i/>
          <w:sz w:val="16"/>
        </w:rPr>
        <w:t>School of Medicine</w:t>
      </w:r>
    </w:p>
    <w:p>
      <w:pPr>
        <w:pStyle w:val="BodyText"/>
        <w:spacing w:line="247" w:lineRule="auto"/>
        <w:ind w:left="305" w:right="124" w:hanging="199"/>
      </w:pPr>
      <w:r>
        <w:rPr>
          <w:rFonts w:ascii="Century Gothic" w:hAnsi="Century Gothic"/>
          <w:b/>
          <w:w w:val="115"/>
        </w:rPr>
        <w:t>≥ </w:t>
      </w:r>
      <w:r>
        <w:rPr/>
        <w:t>Doctor Penelope Abbott and Professor Jennifer Reath, together with colleagues from other institutions, were awarded funding of $2,354,580 for their</w:t>
      </w:r>
    </w:p>
    <w:p>
      <w:pPr>
        <w:pStyle w:val="BodyText"/>
        <w:spacing w:line="249" w:lineRule="auto" w:before="1"/>
        <w:ind w:left="305" w:right="137"/>
      </w:pPr>
      <w:r>
        <w:rPr/>
        <w:t>project ‘A multi-centre randomised controlled trial to compare nasal balloon autoinflation versus no nasal balloon autoinflation for otitis media with effusion in Aboriginal and Torres Strait Islander children (the INFLATE trial)’.</w:t>
      </w:r>
    </w:p>
    <w:p>
      <w:pPr>
        <w:pStyle w:val="Heading7"/>
        <w:spacing w:before="78"/>
        <w:ind w:right="206"/>
      </w:pPr>
      <w:r>
        <w:rPr>
          <w:b w:val="0"/>
        </w:rPr>
        <w:br w:type="column"/>
      </w:r>
      <w:r>
        <w:rPr>
          <w:color w:val="615C58"/>
          <w:w w:val="95"/>
        </w:rPr>
        <w:t>External Funding</w:t>
      </w:r>
    </w:p>
    <w:p>
      <w:pPr>
        <w:pStyle w:val="BodyText"/>
        <w:spacing w:line="249" w:lineRule="auto" w:before="86"/>
        <w:ind w:left="107" w:right="1"/>
      </w:pPr>
      <w:r>
        <w:rPr/>
        <w:t>The</w:t>
      </w:r>
      <w:r>
        <w:rPr>
          <w:spacing w:val="-23"/>
        </w:rPr>
        <w:t> </w:t>
      </w:r>
      <w:r>
        <w:rPr/>
        <w:t>Hawkesbury</w:t>
      </w:r>
      <w:r>
        <w:rPr>
          <w:spacing w:val="-23"/>
        </w:rPr>
        <w:t> </w:t>
      </w:r>
      <w:r>
        <w:rPr/>
        <w:t>Institute</w:t>
      </w:r>
      <w:r>
        <w:rPr>
          <w:spacing w:val="-23"/>
        </w:rPr>
        <w:t> </w:t>
      </w:r>
      <w:r>
        <w:rPr/>
        <w:t>for</w:t>
      </w:r>
      <w:r>
        <w:rPr>
          <w:spacing w:val="-23"/>
        </w:rPr>
        <w:t> </w:t>
      </w:r>
      <w:r>
        <w:rPr/>
        <w:t>the</w:t>
      </w:r>
      <w:r>
        <w:rPr>
          <w:spacing w:val="-23"/>
        </w:rPr>
        <w:t> </w:t>
      </w:r>
      <w:r>
        <w:rPr/>
        <w:t>Environment </w:t>
      </w:r>
      <w:r>
        <w:rPr>
          <w:spacing w:val="2"/>
        </w:rPr>
        <w:t>(HIE)</w:t>
      </w:r>
      <w:r>
        <w:rPr>
          <w:spacing w:val="-18"/>
        </w:rPr>
        <w:t> </w:t>
      </w:r>
      <w:r>
        <w:rPr/>
        <w:t>had</w:t>
      </w:r>
      <w:r>
        <w:rPr>
          <w:spacing w:val="-18"/>
        </w:rPr>
        <w:t> </w:t>
      </w:r>
      <w:r>
        <w:rPr/>
        <w:t>considerable</w:t>
      </w:r>
      <w:r>
        <w:rPr>
          <w:spacing w:val="-18"/>
        </w:rPr>
        <w:t> </w:t>
      </w:r>
      <w:r>
        <w:rPr/>
        <w:t>success</w:t>
      </w:r>
      <w:r>
        <w:rPr>
          <w:spacing w:val="-18"/>
        </w:rPr>
        <w:t> </w:t>
      </w:r>
      <w:r>
        <w:rPr/>
        <w:t>with</w:t>
      </w:r>
      <w:r>
        <w:rPr>
          <w:spacing w:val="-18"/>
        </w:rPr>
        <w:t> </w:t>
      </w:r>
      <w:r>
        <w:rPr/>
        <w:t>external </w:t>
      </w:r>
      <w:r>
        <w:rPr>
          <w:spacing w:val="1"/>
          <w:w w:val="97"/>
        </w:rPr>
        <w:t>funding</w:t>
      </w:r>
      <w:r>
        <w:rPr>
          <w:spacing w:val="-8"/>
          <w:w w:val="97"/>
        </w:rPr>
        <w:t> </w:t>
      </w:r>
      <w:r>
        <w:rPr>
          <w:w w:val="95"/>
        </w:rPr>
        <w:t>in</w:t>
      </w:r>
      <w:r>
        <w:rPr>
          <w:spacing w:val="-7"/>
          <w:w w:val="95"/>
        </w:rPr>
        <w:t> </w:t>
      </w:r>
      <w:r>
        <w:rPr>
          <w:w w:val="97"/>
        </w:rPr>
        <w:t>the</w:t>
      </w:r>
      <w:r>
        <w:rPr>
          <w:spacing w:val="-8"/>
          <w:w w:val="97"/>
        </w:rPr>
        <w:t> </w:t>
      </w:r>
      <w:r>
        <w:rPr>
          <w:spacing w:val="1"/>
          <w:w w:val="96"/>
        </w:rPr>
        <w:t>last</w:t>
      </w:r>
      <w:r>
        <w:rPr>
          <w:spacing w:val="-8"/>
          <w:w w:val="96"/>
        </w:rPr>
        <w:t> </w:t>
      </w:r>
      <w:r>
        <w:rPr>
          <w:spacing w:val="1"/>
          <w:w w:val="97"/>
        </w:rPr>
        <w:t>quarter</w:t>
      </w:r>
      <w:r>
        <w:rPr>
          <w:spacing w:val="-8"/>
          <w:w w:val="97"/>
        </w:rPr>
        <w:t> </w:t>
      </w:r>
      <w:r>
        <w:rPr>
          <w:w w:val="99"/>
        </w:rPr>
        <w:t>of</w:t>
      </w:r>
      <w:r>
        <w:rPr>
          <w:spacing w:val="-9"/>
          <w:w w:val="99"/>
        </w:rPr>
        <w:t> </w:t>
      </w:r>
      <w:r>
        <w:rPr>
          <w:spacing w:val="2"/>
          <w:w w:val="85"/>
        </w:rPr>
        <w:t>2016.</w:t>
      </w:r>
    </w:p>
    <w:p>
      <w:pPr>
        <w:pStyle w:val="BodyText"/>
        <w:spacing w:before="6"/>
        <w:rPr>
          <w:sz w:val="14"/>
        </w:rPr>
      </w:pPr>
    </w:p>
    <w:p>
      <w:pPr>
        <w:spacing w:before="0"/>
        <w:ind w:left="107" w:right="206" w:firstLine="0"/>
        <w:jc w:val="left"/>
        <w:rPr>
          <w:rFonts w:ascii="Gotham Narrow Book"/>
          <w:b w:val="0"/>
          <w:i/>
          <w:sz w:val="16"/>
        </w:rPr>
      </w:pPr>
      <w:r>
        <w:rPr>
          <w:rFonts w:ascii="Gotham Narrow Book"/>
          <w:b w:val="0"/>
          <w:i/>
          <w:sz w:val="16"/>
        </w:rPr>
        <w:t>Green Cities Fund</w:t>
      </w:r>
    </w:p>
    <w:p>
      <w:pPr>
        <w:pStyle w:val="BodyText"/>
        <w:spacing w:line="244" w:lineRule="auto"/>
        <w:ind w:left="305" w:right="-14" w:hanging="199"/>
      </w:pPr>
      <w:r>
        <w:rPr>
          <w:rFonts w:ascii="Century Gothic" w:hAnsi="Century Gothic"/>
          <w:b/>
          <w:w w:val="115"/>
        </w:rPr>
        <w:t>≥ </w:t>
      </w:r>
      <w:r>
        <w:rPr/>
        <w:t>Title: ‘Which plant where, when and why – database for growing urban green space’</w:t>
      </w:r>
    </w:p>
    <w:p>
      <w:pPr>
        <w:pStyle w:val="BodyText"/>
        <w:spacing w:line="247" w:lineRule="auto" w:before="58"/>
        <w:ind w:left="305" w:right="89" w:hanging="199"/>
      </w:pPr>
      <w:r>
        <w:rPr>
          <w:rFonts w:ascii="Century Gothic" w:hAnsi="Century Gothic"/>
          <w:b/>
          <w:w w:val="115"/>
        </w:rPr>
        <w:t>≥ </w:t>
      </w:r>
      <w:r>
        <w:rPr/>
        <w:t>Partners: Macquarie University, Western Sydney University and the NSW Office of Environment and Heritage (OEH)</w:t>
      </w:r>
    </w:p>
    <w:p>
      <w:pPr>
        <w:pStyle w:val="BodyText"/>
        <w:spacing w:line="247" w:lineRule="auto" w:before="57"/>
        <w:ind w:left="305" w:right="-7" w:hanging="199"/>
      </w:pPr>
      <w:r>
        <w:rPr>
          <w:rFonts w:ascii="Century Gothic" w:hAnsi="Century Gothic"/>
          <w:b/>
          <w:w w:val="115"/>
        </w:rPr>
        <w:t>≥</w:t>
      </w:r>
      <w:r>
        <w:rPr>
          <w:rFonts w:ascii="Century Gothic" w:hAnsi="Century Gothic"/>
          <w:b/>
          <w:spacing w:val="3"/>
          <w:w w:val="115"/>
        </w:rPr>
        <w:t> </w:t>
      </w:r>
      <w:r>
        <w:rPr/>
        <w:t>HIE</w:t>
      </w:r>
      <w:r>
        <w:rPr>
          <w:spacing w:val="-21"/>
        </w:rPr>
        <w:t> </w:t>
      </w:r>
      <w:r>
        <w:rPr/>
        <w:t>team:</w:t>
      </w:r>
      <w:r>
        <w:rPr>
          <w:spacing w:val="-21"/>
        </w:rPr>
        <w:t> </w:t>
      </w:r>
      <w:r>
        <w:rPr/>
        <w:t>David</w:t>
      </w:r>
      <w:r>
        <w:rPr>
          <w:spacing w:val="-21"/>
        </w:rPr>
        <w:t> </w:t>
      </w:r>
      <w:r>
        <w:rPr/>
        <w:t>Ellsworth,</w:t>
      </w:r>
      <w:r>
        <w:rPr>
          <w:spacing w:val="-21"/>
        </w:rPr>
        <w:t> </w:t>
      </w:r>
      <w:r>
        <w:rPr/>
        <w:t>Sally</w:t>
      </w:r>
      <w:r>
        <w:rPr>
          <w:spacing w:val="-21"/>
        </w:rPr>
        <w:t> </w:t>
      </w:r>
      <w:r>
        <w:rPr/>
        <w:t>Power,</w:t>
      </w:r>
      <w:r>
        <w:rPr>
          <w:spacing w:val="-21"/>
        </w:rPr>
        <w:t> </w:t>
      </w:r>
      <w:r>
        <w:rPr/>
        <w:t>Ian Anderson,</w:t>
      </w:r>
      <w:r>
        <w:rPr>
          <w:spacing w:val="-27"/>
        </w:rPr>
        <w:t> </w:t>
      </w:r>
      <w:r>
        <w:rPr/>
        <w:t>Mark</w:t>
      </w:r>
      <w:r>
        <w:rPr>
          <w:spacing w:val="-27"/>
        </w:rPr>
        <w:t> </w:t>
      </w:r>
      <w:r>
        <w:rPr/>
        <w:t>Tjoelker,</w:t>
      </w:r>
      <w:r>
        <w:rPr>
          <w:spacing w:val="-27"/>
        </w:rPr>
        <w:t> </w:t>
      </w:r>
      <w:r>
        <w:rPr/>
        <w:t>Paul</w:t>
      </w:r>
      <w:r>
        <w:rPr>
          <w:spacing w:val="-27"/>
        </w:rPr>
        <w:t> </w:t>
      </w:r>
      <w:r>
        <w:rPr/>
        <w:t>Rymer,</w:t>
      </w:r>
      <w:r>
        <w:rPr>
          <w:spacing w:val="-27"/>
        </w:rPr>
        <w:t> </w:t>
      </w:r>
      <w:r>
        <w:rPr/>
        <w:t>Nisha Rakhesh</w:t>
      </w:r>
      <w:r>
        <w:rPr>
          <w:spacing w:val="-20"/>
        </w:rPr>
        <w:t> </w:t>
      </w:r>
      <w:r>
        <w:rPr/>
        <w:t>and</w:t>
      </w:r>
      <w:r>
        <w:rPr>
          <w:spacing w:val="-20"/>
        </w:rPr>
        <w:t> </w:t>
      </w:r>
      <w:r>
        <w:rPr/>
        <w:t>David</w:t>
      </w:r>
      <w:r>
        <w:rPr>
          <w:spacing w:val="-20"/>
        </w:rPr>
        <w:t> </w:t>
      </w:r>
      <w:r>
        <w:rPr/>
        <w:t>Thompson</w:t>
      </w:r>
    </w:p>
    <w:p>
      <w:pPr>
        <w:pStyle w:val="BodyText"/>
        <w:spacing w:line="244" w:lineRule="auto" w:before="57"/>
        <w:ind w:left="305" w:right="-5" w:hanging="199"/>
      </w:pPr>
      <w:r>
        <w:rPr>
          <w:rFonts w:ascii="Century Gothic" w:hAnsi="Century Gothic"/>
          <w:b/>
          <w:w w:val="115"/>
        </w:rPr>
        <w:t>≥</w:t>
      </w:r>
      <w:r>
        <w:rPr>
          <w:rFonts w:ascii="Century Gothic" w:hAnsi="Century Gothic"/>
          <w:b/>
          <w:spacing w:val="-4"/>
          <w:w w:val="115"/>
        </w:rPr>
        <w:t> </w:t>
      </w:r>
      <w:r>
        <w:rPr/>
        <w:t>Total</w:t>
      </w:r>
      <w:r>
        <w:rPr>
          <w:spacing w:val="-25"/>
        </w:rPr>
        <w:t> </w:t>
      </w:r>
      <w:r>
        <w:rPr/>
        <w:t>funding:</w:t>
      </w:r>
      <w:r>
        <w:rPr>
          <w:spacing w:val="-25"/>
        </w:rPr>
        <w:t> </w:t>
      </w:r>
      <w:r>
        <w:rPr/>
        <w:t>$2,948,574</w:t>
      </w:r>
      <w:r>
        <w:rPr>
          <w:spacing w:val="-25"/>
        </w:rPr>
        <w:t> </w:t>
      </w:r>
      <w:r>
        <w:rPr/>
        <w:t>($2,798,574</w:t>
      </w:r>
      <w:r>
        <w:rPr>
          <w:spacing w:val="-25"/>
        </w:rPr>
        <w:t> </w:t>
      </w:r>
      <w:r>
        <w:rPr/>
        <w:t>from </w:t>
      </w:r>
      <w:r>
        <w:rPr>
          <w:spacing w:val="1"/>
          <w:w w:val="91"/>
        </w:rPr>
        <w:t>HIA</w:t>
      </w:r>
      <w:r>
        <w:rPr>
          <w:w w:val="91"/>
        </w:rPr>
        <w:t> </w:t>
      </w:r>
      <w:r>
        <w:rPr>
          <w:spacing w:val="1"/>
          <w:w w:val="97"/>
        </w:rPr>
        <w:t>plus</w:t>
      </w:r>
      <w:r>
        <w:rPr>
          <w:w w:val="97"/>
        </w:rPr>
        <w:t> </w:t>
      </w:r>
      <w:r>
        <w:rPr>
          <w:spacing w:val="2"/>
          <w:w w:val="95"/>
        </w:rPr>
        <w:t>$150,000</w:t>
      </w:r>
      <w:r>
        <w:rPr>
          <w:w w:val="95"/>
        </w:rPr>
        <w:t> </w:t>
      </w:r>
      <w:r>
        <w:rPr>
          <w:spacing w:val="1"/>
          <w:w w:val="98"/>
        </w:rPr>
        <w:t>from</w:t>
      </w:r>
      <w:r>
        <w:rPr>
          <w:w w:val="98"/>
        </w:rPr>
        <w:t> </w:t>
      </w:r>
      <w:r>
        <w:rPr>
          <w:spacing w:val="1"/>
          <w:w w:val="101"/>
        </w:rPr>
        <w:t>NSW</w:t>
      </w:r>
      <w:r>
        <w:rPr>
          <w:spacing w:val="-17"/>
          <w:w w:val="101"/>
        </w:rPr>
        <w:t> </w:t>
      </w:r>
      <w:r>
        <w:rPr>
          <w:spacing w:val="1"/>
          <w:w w:val="98"/>
        </w:rPr>
        <w:t>OEH)</w:t>
      </w:r>
    </w:p>
    <w:p>
      <w:pPr>
        <w:pStyle w:val="BodyText"/>
        <w:spacing w:before="58"/>
        <w:ind w:left="107" w:right="206"/>
      </w:pPr>
      <w:r>
        <w:rPr>
          <w:rFonts w:ascii="Century Gothic" w:hAnsi="Century Gothic"/>
          <w:b/>
          <w:w w:val="115"/>
        </w:rPr>
        <w:t>≥ </w:t>
      </w:r>
      <w:r>
        <w:rPr/>
        <w:t>Funding to HIE: $1,368,897</w:t>
      </w:r>
    </w:p>
    <w:p>
      <w:pPr>
        <w:pStyle w:val="BodyText"/>
        <w:spacing w:before="60"/>
        <w:ind w:left="107" w:right="206"/>
      </w:pPr>
      <w:r>
        <w:rPr>
          <w:rFonts w:ascii="Century Gothic" w:hAnsi="Century Gothic"/>
          <w:b/>
        </w:rPr>
        <w:t>≥ </w:t>
      </w:r>
      <w:r>
        <w:rPr/>
        <w:t>Duration: 2016–21</w:t>
      </w:r>
    </w:p>
    <w:p>
      <w:pPr>
        <w:pStyle w:val="BodyText"/>
        <w:rPr>
          <w:sz w:val="15"/>
        </w:rPr>
      </w:pPr>
    </w:p>
    <w:p>
      <w:pPr>
        <w:spacing w:before="0"/>
        <w:ind w:left="107" w:right="206" w:firstLine="0"/>
        <w:jc w:val="left"/>
        <w:rPr>
          <w:rFonts w:ascii="Gotham Narrow Book"/>
          <w:b w:val="0"/>
          <w:i/>
          <w:sz w:val="16"/>
        </w:rPr>
      </w:pPr>
      <w:r>
        <w:rPr>
          <w:rFonts w:ascii="Gotham Narrow Book"/>
          <w:b w:val="0"/>
          <w:i/>
          <w:sz w:val="16"/>
        </w:rPr>
        <w:t>Pollination Fund</w:t>
      </w:r>
    </w:p>
    <w:p>
      <w:pPr>
        <w:pStyle w:val="BodyText"/>
        <w:spacing w:line="244" w:lineRule="auto"/>
        <w:ind w:left="305" w:right="651" w:hanging="199"/>
      </w:pPr>
      <w:r>
        <w:rPr>
          <w:rFonts w:ascii="Century Gothic" w:hAnsi="Century Gothic"/>
          <w:b/>
          <w:w w:val="115"/>
        </w:rPr>
        <w:t>≥</w:t>
      </w:r>
      <w:r>
        <w:rPr>
          <w:rFonts w:ascii="Century Gothic" w:hAnsi="Century Gothic"/>
          <w:b/>
          <w:spacing w:val="-16"/>
          <w:w w:val="115"/>
        </w:rPr>
        <w:t> </w:t>
      </w:r>
      <w:r>
        <w:rPr>
          <w:w w:val="105"/>
        </w:rPr>
        <w:t>Title:</w:t>
      </w:r>
      <w:r>
        <w:rPr>
          <w:spacing w:val="-33"/>
          <w:w w:val="105"/>
        </w:rPr>
        <w:t> </w:t>
      </w:r>
      <w:r>
        <w:rPr>
          <w:w w:val="105"/>
        </w:rPr>
        <w:t>‘Healthy</w:t>
      </w:r>
      <w:r>
        <w:rPr>
          <w:spacing w:val="-33"/>
          <w:w w:val="105"/>
        </w:rPr>
        <w:t> </w:t>
      </w:r>
      <w:r>
        <w:rPr>
          <w:w w:val="105"/>
        </w:rPr>
        <w:t>bee</w:t>
      </w:r>
      <w:r>
        <w:rPr>
          <w:spacing w:val="-33"/>
          <w:w w:val="105"/>
        </w:rPr>
        <w:t> </w:t>
      </w:r>
      <w:r>
        <w:rPr>
          <w:w w:val="105"/>
        </w:rPr>
        <w:t>populations</w:t>
      </w:r>
      <w:r>
        <w:rPr>
          <w:spacing w:val="-33"/>
          <w:w w:val="105"/>
        </w:rPr>
        <w:t> </w:t>
      </w:r>
      <w:r>
        <w:rPr>
          <w:w w:val="105"/>
        </w:rPr>
        <w:t>for </w:t>
      </w:r>
      <w:r>
        <w:rPr/>
        <w:t>horticultural pollination</w:t>
      </w:r>
      <w:r>
        <w:rPr>
          <w:spacing w:val="-31"/>
        </w:rPr>
        <w:t> </w:t>
      </w:r>
      <w:r>
        <w:rPr/>
        <w:t>services’</w:t>
      </w:r>
    </w:p>
    <w:p>
      <w:pPr>
        <w:pStyle w:val="BodyText"/>
        <w:spacing w:line="244" w:lineRule="auto" w:before="58"/>
        <w:ind w:left="305" w:right="157" w:hanging="199"/>
      </w:pPr>
      <w:r>
        <w:rPr>
          <w:rFonts w:ascii="Century Gothic" w:hAnsi="Century Gothic"/>
          <w:b/>
          <w:w w:val="115"/>
        </w:rPr>
        <w:t>≥ </w:t>
      </w:r>
      <w:r>
        <w:rPr/>
        <w:t>Partners: Western Sydney University, Syngenta, Bayer and Greening Australia</w:t>
      </w:r>
    </w:p>
    <w:p>
      <w:pPr>
        <w:pStyle w:val="BodyText"/>
        <w:spacing w:line="247" w:lineRule="auto" w:before="58"/>
        <w:ind w:left="305" w:right="127" w:hanging="199"/>
      </w:pPr>
      <w:r>
        <w:rPr>
          <w:rFonts w:ascii="Century Gothic" w:hAnsi="Century Gothic"/>
          <w:b/>
          <w:w w:val="115"/>
        </w:rPr>
        <w:t>≥ </w:t>
      </w:r>
      <w:r>
        <w:rPr/>
        <w:t>HIE team: James Cook, Markus Riegler, Robert</w:t>
      </w:r>
      <w:r>
        <w:rPr>
          <w:spacing w:val="-22"/>
        </w:rPr>
        <w:t> </w:t>
      </w:r>
      <w:r>
        <w:rPr/>
        <w:t>Spooner-Hart,</w:t>
      </w:r>
      <w:r>
        <w:rPr>
          <w:spacing w:val="-22"/>
        </w:rPr>
        <w:t> </w:t>
      </w:r>
      <w:r>
        <w:rPr/>
        <w:t>Ian</w:t>
      </w:r>
      <w:r>
        <w:rPr>
          <w:spacing w:val="-22"/>
        </w:rPr>
        <w:t> </w:t>
      </w:r>
      <w:r>
        <w:rPr>
          <w:spacing w:val="2"/>
        </w:rPr>
        <w:t>Anderson,</w:t>
      </w:r>
      <w:r>
        <w:rPr>
          <w:spacing w:val="-22"/>
        </w:rPr>
        <w:t> </w:t>
      </w:r>
      <w:r>
        <w:rPr/>
        <w:t>Braj Singh, Catriona Macdonald, Sally Power, Paul</w:t>
      </w:r>
      <w:r>
        <w:rPr>
          <w:spacing w:val="-22"/>
        </w:rPr>
        <w:t> </w:t>
      </w:r>
      <w:r>
        <w:rPr/>
        <w:t>Rymer,</w:t>
      </w:r>
      <w:r>
        <w:rPr>
          <w:spacing w:val="-22"/>
        </w:rPr>
        <w:t> </w:t>
      </w:r>
      <w:r>
        <w:rPr/>
        <w:t>Nisha</w:t>
      </w:r>
      <w:r>
        <w:rPr>
          <w:spacing w:val="-22"/>
        </w:rPr>
        <w:t> </w:t>
      </w:r>
      <w:r>
        <w:rPr/>
        <w:t>Rakhesh,</w:t>
      </w:r>
      <w:r>
        <w:rPr>
          <w:spacing w:val="-22"/>
        </w:rPr>
        <w:t> </w:t>
      </w:r>
      <w:r>
        <w:rPr/>
        <w:t>Jacinta</w:t>
      </w:r>
      <w:r>
        <w:rPr>
          <w:spacing w:val="-22"/>
        </w:rPr>
        <w:t> </w:t>
      </w:r>
      <w:r>
        <w:rPr/>
        <w:t>Greig and David</w:t>
      </w:r>
      <w:r>
        <w:rPr>
          <w:spacing w:val="-32"/>
        </w:rPr>
        <w:t> </w:t>
      </w:r>
      <w:r>
        <w:rPr/>
        <w:t>Thompson</w:t>
      </w:r>
    </w:p>
    <w:p>
      <w:pPr>
        <w:pStyle w:val="BodyText"/>
        <w:spacing w:line="244" w:lineRule="auto" w:before="57"/>
        <w:ind w:left="305" w:right="1" w:hanging="199"/>
      </w:pPr>
      <w:r>
        <w:rPr>
          <w:rFonts w:ascii="Century Gothic" w:hAnsi="Century Gothic"/>
          <w:b/>
          <w:w w:val="115"/>
        </w:rPr>
        <w:t>≥</w:t>
      </w:r>
      <w:r>
        <w:rPr>
          <w:rFonts w:ascii="Century Gothic" w:hAnsi="Century Gothic"/>
          <w:b/>
          <w:spacing w:val="-26"/>
          <w:w w:val="115"/>
        </w:rPr>
        <w:t> </w:t>
      </w:r>
      <w:r>
        <w:rPr/>
        <w:t>Total</w:t>
      </w:r>
      <w:r>
        <w:rPr>
          <w:spacing w:val="-37"/>
        </w:rPr>
        <w:t> </w:t>
      </w:r>
      <w:r>
        <w:rPr/>
        <w:t>funding:</w:t>
      </w:r>
      <w:r>
        <w:rPr>
          <w:spacing w:val="-37"/>
        </w:rPr>
        <w:t> </w:t>
      </w:r>
      <w:r>
        <w:rPr/>
        <w:t>$2,411,941</w:t>
      </w:r>
      <w:r>
        <w:rPr>
          <w:spacing w:val="-37"/>
        </w:rPr>
        <w:t> </w:t>
      </w:r>
      <w:r>
        <w:rPr/>
        <w:t>($1,936,941</w:t>
      </w:r>
      <w:r>
        <w:rPr>
          <w:spacing w:val="-37"/>
        </w:rPr>
        <w:t> </w:t>
      </w:r>
      <w:r>
        <w:rPr/>
        <w:t>from HIA</w:t>
      </w:r>
      <w:r>
        <w:rPr>
          <w:spacing w:val="-12"/>
        </w:rPr>
        <w:t> </w:t>
      </w:r>
      <w:r>
        <w:rPr/>
        <w:t>plus</w:t>
      </w:r>
      <w:r>
        <w:rPr>
          <w:spacing w:val="-12"/>
        </w:rPr>
        <w:t> </w:t>
      </w:r>
      <w:r>
        <w:rPr/>
        <w:t>$475,000</w:t>
      </w:r>
      <w:r>
        <w:rPr>
          <w:spacing w:val="-12"/>
        </w:rPr>
        <w:t> </w:t>
      </w:r>
      <w:r>
        <w:rPr/>
        <w:t>from</w:t>
      </w:r>
      <w:r>
        <w:rPr>
          <w:spacing w:val="-12"/>
        </w:rPr>
        <w:t> </w:t>
      </w:r>
      <w:r>
        <w:rPr/>
        <w:t>industry</w:t>
      </w:r>
      <w:r>
        <w:rPr>
          <w:spacing w:val="-12"/>
        </w:rPr>
        <w:t> </w:t>
      </w:r>
      <w:r>
        <w:rPr/>
        <w:t>partners)</w:t>
      </w:r>
    </w:p>
    <w:p>
      <w:pPr>
        <w:pStyle w:val="BodyText"/>
        <w:spacing w:before="58"/>
        <w:ind w:left="107" w:right="206"/>
      </w:pPr>
      <w:r>
        <w:rPr>
          <w:rFonts w:ascii="Century Gothic" w:hAnsi="Century Gothic"/>
          <w:b/>
          <w:w w:val="95"/>
        </w:rPr>
        <w:t>≥ </w:t>
      </w:r>
      <w:r>
        <w:rPr>
          <w:w w:val="95"/>
        </w:rPr>
        <w:t>Funding to HIE: $2,411,941</w:t>
      </w:r>
    </w:p>
    <w:p>
      <w:pPr>
        <w:pStyle w:val="BodyText"/>
        <w:spacing w:before="60"/>
        <w:ind w:left="107" w:right="206"/>
      </w:pPr>
      <w:r>
        <w:rPr>
          <w:rFonts w:ascii="Century Gothic" w:hAnsi="Century Gothic"/>
          <w:b/>
        </w:rPr>
        <w:t>≥ </w:t>
      </w:r>
      <w:r>
        <w:rPr/>
        <w:t>Duration: 2016–21</w:t>
      </w:r>
    </w:p>
    <w:p>
      <w:pPr>
        <w:pStyle w:val="BodyText"/>
        <w:rPr>
          <w:sz w:val="15"/>
        </w:rPr>
      </w:pPr>
    </w:p>
    <w:p>
      <w:pPr>
        <w:spacing w:before="0"/>
        <w:ind w:left="107" w:right="206" w:firstLine="0"/>
        <w:jc w:val="left"/>
        <w:rPr>
          <w:rFonts w:ascii="Gotham Narrow Book"/>
          <w:b w:val="0"/>
          <w:i/>
          <w:sz w:val="16"/>
        </w:rPr>
      </w:pPr>
      <w:r>
        <w:rPr>
          <w:rFonts w:ascii="Gotham Narrow Book"/>
          <w:b w:val="0"/>
          <w:i/>
          <w:sz w:val="16"/>
        </w:rPr>
        <w:t>Collaborative Funding</w:t>
      </w:r>
    </w:p>
    <w:p>
      <w:pPr>
        <w:pStyle w:val="BodyText"/>
        <w:spacing w:line="244" w:lineRule="auto"/>
        <w:ind w:left="305" w:right="1" w:hanging="199"/>
      </w:pPr>
      <w:r>
        <w:rPr>
          <w:rFonts w:ascii="Century Gothic" w:hAnsi="Century Gothic"/>
          <w:b/>
          <w:w w:val="115"/>
        </w:rPr>
        <w:t>≥ </w:t>
      </w:r>
      <w:r>
        <w:rPr/>
        <w:t>Title: ‘Sustainable pasture systems under climate extremes’</w:t>
      </w:r>
    </w:p>
    <w:p>
      <w:pPr>
        <w:pStyle w:val="BodyText"/>
        <w:spacing w:line="247" w:lineRule="auto" w:before="58"/>
        <w:ind w:left="305" w:right="28" w:hanging="199"/>
      </w:pPr>
      <w:r>
        <w:rPr>
          <w:rFonts w:ascii="Century Gothic" w:hAnsi="Century Gothic"/>
          <w:b/>
          <w:w w:val="115"/>
        </w:rPr>
        <w:t>≥</w:t>
      </w:r>
      <w:r>
        <w:rPr>
          <w:rFonts w:ascii="Century Gothic" w:hAnsi="Century Gothic"/>
          <w:b/>
          <w:spacing w:val="2"/>
          <w:w w:val="115"/>
        </w:rPr>
        <w:t> </w:t>
      </w:r>
      <w:r>
        <w:rPr/>
        <w:t>HIE</w:t>
      </w:r>
      <w:r>
        <w:rPr>
          <w:spacing w:val="-21"/>
        </w:rPr>
        <w:t> </w:t>
      </w:r>
      <w:r>
        <w:rPr/>
        <w:t>team:</w:t>
      </w:r>
      <w:r>
        <w:rPr>
          <w:spacing w:val="-21"/>
        </w:rPr>
        <w:t> </w:t>
      </w:r>
      <w:r>
        <w:rPr/>
        <w:t>Sally</w:t>
      </w:r>
      <w:r>
        <w:rPr>
          <w:spacing w:val="-21"/>
        </w:rPr>
        <w:t> </w:t>
      </w:r>
      <w:r>
        <w:rPr/>
        <w:t>Power,</w:t>
      </w:r>
      <w:r>
        <w:rPr>
          <w:spacing w:val="-21"/>
        </w:rPr>
        <w:t> </w:t>
      </w:r>
      <w:r>
        <w:rPr/>
        <w:t>Ian</w:t>
      </w:r>
      <w:r>
        <w:rPr>
          <w:spacing w:val="-21"/>
        </w:rPr>
        <w:t> </w:t>
      </w:r>
      <w:r>
        <w:rPr/>
        <w:t>Anderson,</w:t>
      </w:r>
      <w:r>
        <w:rPr>
          <w:spacing w:val="-21"/>
        </w:rPr>
        <w:t> </w:t>
      </w:r>
      <w:r>
        <w:rPr/>
        <w:t>Nisha Rakhesh, Braj Singh, Mark Tjoelker, Elise Pendall,</w:t>
      </w:r>
      <w:r>
        <w:rPr>
          <w:spacing w:val="-22"/>
        </w:rPr>
        <w:t> </w:t>
      </w:r>
      <w:r>
        <w:rPr/>
        <w:t>David</w:t>
      </w:r>
      <w:r>
        <w:rPr>
          <w:spacing w:val="-22"/>
        </w:rPr>
        <w:t> </w:t>
      </w:r>
      <w:r>
        <w:rPr/>
        <w:t>Tissue,</w:t>
      </w:r>
      <w:r>
        <w:rPr>
          <w:spacing w:val="-22"/>
        </w:rPr>
        <w:t> </w:t>
      </w:r>
      <w:r>
        <w:rPr/>
        <w:t>Jeff</w:t>
      </w:r>
      <w:r>
        <w:rPr>
          <w:spacing w:val="-22"/>
        </w:rPr>
        <w:t> </w:t>
      </w:r>
      <w:r>
        <w:rPr/>
        <w:t>Powell,</w:t>
      </w:r>
      <w:r>
        <w:rPr>
          <w:spacing w:val="-22"/>
        </w:rPr>
        <w:t> </w:t>
      </w:r>
      <w:r>
        <w:rPr/>
        <w:t>Catriona Macdonald, Ben</w:t>
      </w:r>
      <w:r>
        <w:rPr>
          <w:spacing w:val="-34"/>
        </w:rPr>
        <w:t> </w:t>
      </w:r>
      <w:r>
        <w:rPr/>
        <w:t>Moore</w:t>
      </w:r>
    </w:p>
    <w:p>
      <w:pPr>
        <w:pStyle w:val="BodyText"/>
        <w:spacing w:line="244" w:lineRule="auto" w:before="57"/>
        <w:ind w:left="305" w:right="206" w:hanging="199"/>
      </w:pPr>
      <w:r>
        <w:rPr>
          <w:rFonts w:ascii="Century Gothic" w:hAnsi="Century Gothic"/>
          <w:b/>
          <w:w w:val="115"/>
        </w:rPr>
        <w:t>≥</w:t>
      </w:r>
      <w:r>
        <w:rPr>
          <w:rFonts w:ascii="Century Gothic" w:hAnsi="Century Gothic"/>
          <w:b/>
          <w:spacing w:val="-11"/>
          <w:w w:val="115"/>
        </w:rPr>
        <w:t> </w:t>
      </w:r>
      <w:r>
        <w:rPr/>
        <w:t>Total</w:t>
      </w:r>
      <w:r>
        <w:rPr>
          <w:spacing w:val="-29"/>
        </w:rPr>
        <w:t> </w:t>
      </w:r>
      <w:r>
        <w:rPr/>
        <w:t>funding:</w:t>
      </w:r>
      <w:r>
        <w:rPr>
          <w:spacing w:val="-29"/>
        </w:rPr>
        <w:t> </w:t>
      </w:r>
      <w:r>
        <w:rPr>
          <w:spacing w:val="2"/>
        </w:rPr>
        <w:t>$1.99</w:t>
      </w:r>
      <w:r>
        <w:rPr>
          <w:spacing w:val="-29"/>
        </w:rPr>
        <w:t> </w:t>
      </w:r>
      <w:r>
        <w:rPr/>
        <w:t>million</w:t>
      </w:r>
      <w:r>
        <w:rPr>
          <w:spacing w:val="-29"/>
        </w:rPr>
        <w:t> </w:t>
      </w:r>
      <w:r>
        <w:rPr/>
        <w:t>($1.6</w:t>
      </w:r>
      <w:r>
        <w:rPr>
          <w:spacing w:val="-29"/>
        </w:rPr>
        <w:t> </w:t>
      </w:r>
      <w:r>
        <w:rPr/>
        <w:t>million from</w:t>
      </w:r>
      <w:r>
        <w:rPr>
          <w:spacing w:val="-16"/>
        </w:rPr>
        <w:t> </w:t>
      </w:r>
      <w:r>
        <w:rPr/>
        <w:t>Meat</w:t>
      </w:r>
      <w:r>
        <w:rPr>
          <w:spacing w:val="-16"/>
        </w:rPr>
        <w:t> </w:t>
      </w:r>
      <w:r>
        <w:rPr/>
        <w:t>&amp;</w:t>
      </w:r>
      <w:r>
        <w:rPr>
          <w:spacing w:val="-16"/>
        </w:rPr>
        <w:t> </w:t>
      </w:r>
      <w:r>
        <w:rPr/>
        <w:t>Livestock</w:t>
      </w:r>
      <w:r>
        <w:rPr>
          <w:spacing w:val="-16"/>
        </w:rPr>
        <w:t> </w:t>
      </w:r>
      <w:r>
        <w:rPr/>
        <w:t>Australia</w:t>
      </w:r>
      <w:r>
        <w:rPr>
          <w:spacing w:val="-16"/>
        </w:rPr>
        <w:t> </w:t>
      </w:r>
      <w:r>
        <w:rPr/>
        <w:t>(MLA);</w:t>
      </w:r>
    </w:p>
    <w:p>
      <w:pPr>
        <w:pStyle w:val="BodyText"/>
        <w:spacing w:before="3"/>
        <w:ind w:left="305" w:right="206"/>
      </w:pPr>
      <w:r>
        <w:rPr/>
        <w:t>$300,000 form Dairy Australia and</w:t>
      </w:r>
    </w:p>
    <w:p>
      <w:pPr>
        <w:pStyle w:val="BodyText"/>
        <w:spacing w:line="249" w:lineRule="auto" w:before="7"/>
        <w:ind w:left="305" w:right="206"/>
      </w:pPr>
      <w:r>
        <w:rPr/>
        <w:t>$90,000 from fertiliser and seed companies)</w:t>
      </w:r>
    </w:p>
    <w:p>
      <w:pPr>
        <w:pStyle w:val="BodyText"/>
        <w:spacing w:before="55"/>
        <w:ind w:left="107" w:right="206"/>
      </w:pPr>
      <w:r>
        <w:rPr>
          <w:rFonts w:ascii="Century Gothic" w:hAnsi="Century Gothic"/>
          <w:b/>
          <w:w w:val="95"/>
        </w:rPr>
        <w:t>≥ </w:t>
      </w:r>
      <w:r>
        <w:rPr>
          <w:w w:val="95"/>
        </w:rPr>
        <w:t>Duration: 2017–19</w:t>
      </w:r>
    </w:p>
    <w:p>
      <w:pPr>
        <w:pStyle w:val="BodyText"/>
        <w:spacing w:line="244" w:lineRule="auto" w:before="60"/>
        <w:ind w:left="305" w:right="1" w:hanging="199"/>
      </w:pPr>
      <w:r>
        <w:rPr>
          <w:rFonts w:ascii="Century Gothic" w:hAnsi="Century Gothic"/>
          <w:b/>
          <w:w w:val="115"/>
        </w:rPr>
        <w:t>≥ </w:t>
      </w:r>
      <w:r>
        <w:rPr/>
        <w:t>This project – mainly funded by MLA, the MLA Donor Company and Dairy Australia</w:t>
      </w:r>
    </w:p>
    <w:p>
      <w:pPr>
        <w:pStyle w:val="ListParagraph"/>
        <w:numPr>
          <w:ilvl w:val="0"/>
          <w:numId w:val="1"/>
        </w:numPr>
        <w:tabs>
          <w:tab w:pos="422" w:val="left" w:leader="none"/>
        </w:tabs>
        <w:spacing w:line="240" w:lineRule="auto" w:before="3" w:after="0"/>
        <w:ind w:left="447" w:right="0" w:hanging="142"/>
        <w:jc w:val="left"/>
        <w:rPr>
          <w:sz w:val="16"/>
        </w:rPr>
      </w:pPr>
      <w:r>
        <w:rPr>
          <w:sz w:val="16"/>
        </w:rPr>
        <w:t>focuses</w:t>
      </w:r>
      <w:r>
        <w:rPr>
          <w:spacing w:val="-17"/>
          <w:sz w:val="16"/>
        </w:rPr>
        <w:t> </w:t>
      </w:r>
      <w:r>
        <w:rPr>
          <w:sz w:val="16"/>
        </w:rPr>
        <w:t>on</w:t>
      </w:r>
      <w:r>
        <w:rPr>
          <w:spacing w:val="-17"/>
          <w:sz w:val="16"/>
        </w:rPr>
        <w:t> </w:t>
      </w:r>
      <w:r>
        <w:rPr>
          <w:sz w:val="16"/>
        </w:rPr>
        <w:t>the</w:t>
      </w:r>
      <w:r>
        <w:rPr>
          <w:spacing w:val="-17"/>
          <w:sz w:val="16"/>
        </w:rPr>
        <w:t> </w:t>
      </w:r>
      <w:r>
        <w:rPr>
          <w:sz w:val="16"/>
        </w:rPr>
        <w:t>new</w:t>
      </w:r>
      <w:r>
        <w:rPr>
          <w:spacing w:val="-17"/>
          <w:sz w:val="16"/>
        </w:rPr>
        <w:t> </w:t>
      </w:r>
      <w:r>
        <w:rPr>
          <w:sz w:val="16"/>
        </w:rPr>
        <w:t>warming</w:t>
      </w:r>
      <w:r>
        <w:rPr>
          <w:spacing w:val="-17"/>
          <w:sz w:val="16"/>
        </w:rPr>
        <w:t> </w:t>
      </w:r>
      <w:r>
        <w:rPr>
          <w:sz w:val="16"/>
        </w:rPr>
        <w:t>experiment</w:t>
      </w:r>
    </w:p>
    <w:p>
      <w:pPr>
        <w:pStyle w:val="BodyText"/>
        <w:spacing w:line="249" w:lineRule="auto" w:before="71"/>
        <w:ind w:left="305" w:right="82"/>
      </w:pPr>
      <w:r>
        <w:rPr/>
        <w:br w:type="column"/>
      </w:r>
      <w:r>
        <w:rPr/>
        <w:t>currently under construction in the Yarramundi </w:t>
      </w:r>
      <w:r>
        <w:rPr>
          <w:spacing w:val="2"/>
        </w:rPr>
        <w:t>paddocks. </w:t>
      </w:r>
      <w:r>
        <w:rPr/>
        <w:t>The initial project runs</w:t>
      </w:r>
      <w:r>
        <w:rPr>
          <w:spacing w:val="-15"/>
        </w:rPr>
        <w:t> </w:t>
      </w:r>
      <w:r>
        <w:rPr/>
        <w:t>for</w:t>
      </w:r>
      <w:r>
        <w:rPr>
          <w:spacing w:val="-15"/>
        </w:rPr>
        <w:t> </w:t>
      </w:r>
      <w:r>
        <w:rPr/>
        <w:t>three</w:t>
      </w:r>
      <w:r>
        <w:rPr>
          <w:spacing w:val="-15"/>
        </w:rPr>
        <w:t> </w:t>
      </w:r>
      <w:r>
        <w:rPr/>
        <w:t>years</w:t>
      </w:r>
      <w:r>
        <w:rPr>
          <w:spacing w:val="-15"/>
        </w:rPr>
        <w:t> </w:t>
      </w:r>
      <w:r>
        <w:rPr/>
        <w:t>but</w:t>
      </w:r>
      <w:r>
        <w:rPr>
          <w:spacing w:val="-15"/>
        </w:rPr>
        <w:t> </w:t>
      </w:r>
      <w:r>
        <w:rPr/>
        <w:t>may</w:t>
      </w:r>
      <w:r>
        <w:rPr>
          <w:spacing w:val="-15"/>
        </w:rPr>
        <w:t> </w:t>
      </w:r>
      <w:r>
        <w:rPr/>
        <w:t>be</w:t>
      </w:r>
      <w:r>
        <w:rPr>
          <w:spacing w:val="-15"/>
        </w:rPr>
        <w:t> </w:t>
      </w:r>
      <w:r>
        <w:rPr/>
        <w:t>followed</w:t>
      </w:r>
      <w:r>
        <w:rPr>
          <w:spacing w:val="-15"/>
        </w:rPr>
        <w:t> </w:t>
      </w:r>
      <w:r>
        <w:rPr/>
        <w:t>by three</w:t>
      </w:r>
      <w:r>
        <w:rPr>
          <w:spacing w:val="-16"/>
        </w:rPr>
        <w:t> </w:t>
      </w:r>
      <w:r>
        <w:rPr/>
        <w:t>more</w:t>
      </w:r>
      <w:r>
        <w:rPr>
          <w:spacing w:val="-16"/>
        </w:rPr>
        <w:t> </w:t>
      </w:r>
      <w:r>
        <w:rPr/>
        <w:t>years</w:t>
      </w:r>
      <w:r>
        <w:rPr>
          <w:spacing w:val="-16"/>
        </w:rPr>
        <w:t> </w:t>
      </w:r>
      <w:r>
        <w:rPr/>
        <w:t>of</w:t>
      </w:r>
      <w:r>
        <w:rPr>
          <w:spacing w:val="-16"/>
        </w:rPr>
        <w:t> </w:t>
      </w:r>
      <w:r>
        <w:rPr/>
        <w:t>investment</w:t>
      </w:r>
      <w:r>
        <w:rPr>
          <w:spacing w:val="-16"/>
        </w:rPr>
        <w:t> </w:t>
      </w:r>
      <w:r>
        <w:rPr/>
        <w:t>depending on</w:t>
      </w:r>
      <w:r>
        <w:rPr>
          <w:spacing w:val="-17"/>
        </w:rPr>
        <w:t> </w:t>
      </w:r>
      <w:r>
        <w:rPr/>
        <w:t>the</w:t>
      </w:r>
      <w:r>
        <w:rPr>
          <w:spacing w:val="-17"/>
        </w:rPr>
        <w:t> </w:t>
      </w:r>
      <w:r>
        <w:rPr/>
        <w:t>outcomes</w:t>
      </w:r>
      <w:r>
        <w:rPr>
          <w:spacing w:val="-17"/>
        </w:rPr>
        <w:t> </w:t>
      </w:r>
      <w:r>
        <w:rPr/>
        <w:t>of</w:t>
      </w:r>
      <w:r>
        <w:rPr>
          <w:spacing w:val="-17"/>
        </w:rPr>
        <w:t> </w:t>
      </w:r>
      <w:r>
        <w:rPr/>
        <w:t>the</w:t>
      </w:r>
      <w:r>
        <w:rPr>
          <w:spacing w:val="-17"/>
        </w:rPr>
        <w:t> </w:t>
      </w:r>
      <w:r>
        <w:rPr/>
        <w:t>first</w:t>
      </w:r>
      <w:r>
        <w:rPr>
          <w:spacing w:val="-17"/>
        </w:rPr>
        <w:t> </w:t>
      </w:r>
      <w:r>
        <w:rPr/>
        <w:t>phase.</w:t>
      </w:r>
    </w:p>
    <w:p>
      <w:pPr>
        <w:pStyle w:val="BodyText"/>
        <w:spacing w:before="3"/>
        <w:rPr>
          <w:sz w:val="19"/>
        </w:rPr>
      </w:pPr>
    </w:p>
    <w:p>
      <w:pPr>
        <w:pStyle w:val="Heading7"/>
        <w:ind w:right="172"/>
      </w:pPr>
      <w:r>
        <w:rPr/>
        <w:t>PARTNERSHIPS</w:t>
      </w:r>
    </w:p>
    <w:p>
      <w:pPr>
        <w:pStyle w:val="BodyText"/>
        <w:spacing w:line="249" w:lineRule="auto" w:before="58"/>
        <w:ind w:left="107" w:right="152"/>
      </w:pPr>
      <w:r>
        <w:rPr>
          <w:spacing w:val="1"/>
          <w:w w:val="80"/>
        </w:rPr>
        <w:t>In</w:t>
      </w:r>
      <w:r>
        <w:rPr>
          <w:w w:val="80"/>
        </w:rPr>
        <w:t> </w:t>
      </w:r>
      <w:r>
        <w:rPr>
          <w:spacing w:val="1"/>
          <w:w w:val="100"/>
        </w:rPr>
        <w:t>October</w:t>
      </w:r>
      <w:r>
        <w:rPr>
          <w:w w:val="100"/>
        </w:rPr>
        <w:t> </w:t>
      </w:r>
      <w:r>
        <w:rPr>
          <w:spacing w:val="2"/>
          <w:w w:val="85"/>
        </w:rPr>
        <w:t>2016,</w:t>
      </w:r>
      <w:r>
        <w:rPr>
          <w:w w:val="85"/>
        </w:rPr>
        <w:t> </w:t>
      </w:r>
      <w:r>
        <w:rPr>
          <w:w w:val="97"/>
        </w:rPr>
        <w:t>the </w:t>
      </w:r>
      <w:r>
        <w:rPr>
          <w:spacing w:val="1"/>
          <w:w w:val="97"/>
        </w:rPr>
        <w:t>University</w:t>
      </w:r>
      <w:r>
        <w:rPr>
          <w:w w:val="97"/>
        </w:rPr>
        <w:t> </w:t>
      </w:r>
      <w:r>
        <w:rPr>
          <w:spacing w:val="1"/>
          <w:w w:val="94"/>
        </w:rPr>
        <w:t>joined</w:t>
      </w:r>
      <w:r>
        <w:rPr>
          <w:w w:val="94"/>
        </w:rPr>
        <w:t> </w:t>
      </w:r>
      <w:r>
        <w:rPr>
          <w:spacing w:val="1"/>
          <w:w w:val="74"/>
        </w:rPr>
        <w:t>13</w:t>
      </w:r>
      <w:r>
        <w:rPr>
          <w:w w:val="74"/>
        </w:rPr>
        <w:t> </w:t>
      </w:r>
      <w:r>
        <w:rPr/>
        <w:t>other</w:t>
      </w:r>
      <w:r>
        <w:rPr>
          <w:spacing w:val="-20"/>
        </w:rPr>
        <w:t> </w:t>
      </w:r>
      <w:r>
        <w:rPr>
          <w:spacing w:val="2"/>
        </w:rPr>
        <w:t>partners,</w:t>
      </w:r>
      <w:r>
        <w:rPr>
          <w:spacing w:val="-20"/>
        </w:rPr>
        <w:t> </w:t>
      </w:r>
      <w:r>
        <w:rPr/>
        <w:t>including</w:t>
      </w:r>
      <w:r>
        <w:rPr>
          <w:spacing w:val="-20"/>
        </w:rPr>
        <w:t> </w:t>
      </w:r>
      <w:r>
        <w:rPr/>
        <w:t>local</w:t>
      </w:r>
      <w:r>
        <w:rPr>
          <w:spacing w:val="-20"/>
        </w:rPr>
        <w:t> </w:t>
      </w:r>
      <w:r>
        <w:rPr/>
        <w:t>health</w:t>
      </w:r>
      <w:r>
        <w:rPr>
          <w:spacing w:val="-20"/>
        </w:rPr>
        <w:t> </w:t>
      </w:r>
      <w:r>
        <w:rPr/>
        <w:t>districts, medical</w:t>
      </w:r>
      <w:r>
        <w:rPr>
          <w:spacing w:val="-23"/>
        </w:rPr>
        <w:t> </w:t>
      </w:r>
      <w:r>
        <w:rPr/>
        <w:t>institutes</w:t>
      </w:r>
      <w:r>
        <w:rPr>
          <w:spacing w:val="-23"/>
        </w:rPr>
        <w:t> </w:t>
      </w:r>
      <w:r>
        <w:rPr/>
        <w:t>and</w:t>
      </w:r>
      <w:r>
        <w:rPr>
          <w:spacing w:val="-23"/>
        </w:rPr>
        <w:t> </w:t>
      </w:r>
      <w:r>
        <w:rPr/>
        <w:t>other</w:t>
      </w:r>
      <w:r>
        <w:rPr>
          <w:spacing w:val="-23"/>
        </w:rPr>
        <w:t> </w:t>
      </w:r>
      <w:r>
        <w:rPr/>
        <w:t>universities,</w:t>
      </w:r>
    </w:p>
    <w:p>
      <w:pPr>
        <w:pStyle w:val="BodyText"/>
        <w:spacing w:line="249" w:lineRule="auto"/>
        <w:ind w:left="107" w:right="217"/>
      </w:pPr>
      <w:r>
        <w:rPr/>
        <w:t>in signing an Academic Health Sciences Partnership</w:t>
      </w:r>
      <w:r>
        <w:rPr>
          <w:spacing w:val="-25"/>
        </w:rPr>
        <w:t> </w:t>
      </w:r>
      <w:r>
        <w:rPr/>
        <w:t>(AHSP).</w:t>
      </w:r>
      <w:r>
        <w:rPr>
          <w:spacing w:val="-25"/>
        </w:rPr>
        <w:t> </w:t>
      </w:r>
      <w:r>
        <w:rPr/>
        <w:t>The</w:t>
      </w:r>
      <w:r>
        <w:rPr>
          <w:spacing w:val="-25"/>
        </w:rPr>
        <w:t> </w:t>
      </w:r>
      <w:r>
        <w:rPr/>
        <w:t>Translational</w:t>
      </w:r>
      <w:r>
        <w:rPr>
          <w:spacing w:val="-25"/>
        </w:rPr>
        <w:t> </w:t>
      </w:r>
      <w:r>
        <w:rPr/>
        <w:t>Health Research Institute </w:t>
      </w:r>
      <w:r>
        <w:rPr>
          <w:spacing w:val="2"/>
        </w:rPr>
        <w:t>(THRI) </w:t>
      </w:r>
      <w:r>
        <w:rPr/>
        <w:t>was instrumental in providing the collaborative framework that</w:t>
      </w:r>
      <w:r>
        <w:rPr>
          <w:spacing w:val="-21"/>
        </w:rPr>
        <w:t> </w:t>
      </w:r>
      <w:r>
        <w:rPr/>
        <w:t>allowed</w:t>
      </w:r>
      <w:r>
        <w:rPr>
          <w:spacing w:val="-21"/>
        </w:rPr>
        <w:t> </w:t>
      </w:r>
      <w:r>
        <w:rPr/>
        <w:t>the</w:t>
      </w:r>
      <w:r>
        <w:rPr>
          <w:spacing w:val="-21"/>
        </w:rPr>
        <w:t> </w:t>
      </w:r>
      <w:r>
        <w:rPr/>
        <w:t>University’s</w:t>
      </w:r>
      <w:r>
        <w:rPr>
          <w:spacing w:val="-21"/>
        </w:rPr>
        <w:t> </w:t>
      </w:r>
      <w:r>
        <w:rPr/>
        <w:t>researchers</w:t>
      </w:r>
    </w:p>
    <w:p>
      <w:pPr>
        <w:pStyle w:val="BodyText"/>
        <w:spacing w:line="249" w:lineRule="auto"/>
        <w:ind w:left="107" w:right="172"/>
      </w:pPr>
      <w:r>
        <w:rPr/>
        <w:t>to take part in the partnership. The AHSP aims to advance health and education by developing and supporting a world-class academic partnership that will secure investment, infrastructure and funding to support health and medical research. A formal naming ceremony on 29 November </w:t>
      </w:r>
      <w:r>
        <w:rPr>
          <w:w w:val="90"/>
        </w:rPr>
        <w:t>2016 </w:t>
      </w:r>
      <w:r>
        <w:rPr>
          <w:w w:val="98"/>
        </w:rPr>
        <w:t>celebrated </w:t>
      </w:r>
      <w:r>
        <w:rPr>
          <w:w w:val="97"/>
        </w:rPr>
        <w:t>the </w:t>
      </w:r>
      <w:r>
        <w:rPr>
          <w:w w:val="99"/>
        </w:rPr>
        <w:t>Sydney </w:t>
      </w:r>
      <w:r>
        <w:rPr>
          <w:w w:val="97"/>
        </w:rPr>
        <w:t>Partnership </w:t>
      </w:r>
      <w:r>
        <w:rPr>
          <w:w w:val="98"/>
        </w:rPr>
        <w:t>for </w:t>
      </w:r>
      <w:r>
        <w:rPr/>
        <w:t>Health Education Research and Enterprise.</w:t>
      </w:r>
    </w:p>
    <w:p>
      <w:pPr>
        <w:pStyle w:val="BodyText"/>
        <w:rPr>
          <w:sz w:val="14"/>
        </w:rPr>
      </w:pPr>
    </w:p>
    <w:p>
      <w:pPr>
        <w:pStyle w:val="BodyText"/>
        <w:spacing w:line="249" w:lineRule="auto"/>
        <w:ind w:left="107" w:right="463"/>
      </w:pPr>
      <w:r>
        <w:rPr/>
        <w:t>In October, the University signed a sponsorship</w:t>
      </w:r>
      <w:r>
        <w:rPr>
          <w:spacing w:val="-18"/>
        </w:rPr>
        <w:t> </w:t>
      </w:r>
      <w:r>
        <w:rPr/>
        <w:t>agreement</w:t>
      </w:r>
      <w:r>
        <w:rPr>
          <w:spacing w:val="-18"/>
        </w:rPr>
        <w:t> </w:t>
      </w:r>
      <w:r>
        <w:rPr/>
        <w:t>with</w:t>
      </w:r>
      <w:r>
        <w:rPr>
          <w:spacing w:val="-18"/>
        </w:rPr>
        <w:t> </w:t>
      </w:r>
      <w:r>
        <w:rPr/>
        <w:t>the</w:t>
      </w:r>
      <w:r>
        <w:rPr>
          <w:spacing w:val="-18"/>
        </w:rPr>
        <w:t> </w:t>
      </w:r>
      <w:r>
        <w:rPr/>
        <w:t>Museum of Applied </w:t>
      </w:r>
      <w:r>
        <w:rPr>
          <w:spacing w:val="2"/>
        </w:rPr>
        <w:t>Arts </w:t>
      </w:r>
      <w:r>
        <w:rPr/>
        <w:t>and Sciences (MAAS), for the University to be recognised as a Principal</w:t>
      </w:r>
      <w:r>
        <w:rPr>
          <w:spacing w:val="-15"/>
        </w:rPr>
        <w:t> </w:t>
      </w:r>
      <w:r>
        <w:rPr/>
        <w:t>Tertiary</w:t>
      </w:r>
      <w:r>
        <w:rPr>
          <w:spacing w:val="-15"/>
        </w:rPr>
        <w:t> </w:t>
      </w:r>
      <w:r>
        <w:rPr/>
        <w:t>Partner</w:t>
      </w:r>
      <w:r>
        <w:rPr>
          <w:spacing w:val="-15"/>
        </w:rPr>
        <w:t> </w:t>
      </w:r>
      <w:r>
        <w:rPr/>
        <w:t>of</w:t>
      </w:r>
      <w:r>
        <w:rPr>
          <w:spacing w:val="-15"/>
        </w:rPr>
        <w:t> </w:t>
      </w:r>
      <w:r>
        <w:rPr/>
        <w:t>the</w:t>
      </w:r>
      <w:r>
        <w:rPr>
          <w:spacing w:val="-15"/>
        </w:rPr>
        <w:t> </w:t>
      </w:r>
      <w:r>
        <w:rPr/>
        <w:t>National</w:t>
      </w:r>
    </w:p>
    <w:p>
      <w:pPr>
        <w:pStyle w:val="BodyText"/>
        <w:spacing w:line="249" w:lineRule="auto"/>
        <w:ind w:left="107" w:right="331"/>
      </w:pPr>
      <w:r>
        <w:rPr/>
        <w:t>Centre</w:t>
      </w:r>
      <w:r>
        <w:rPr>
          <w:spacing w:val="-21"/>
        </w:rPr>
        <w:t> </w:t>
      </w:r>
      <w:r>
        <w:rPr/>
        <w:t>for</w:t>
      </w:r>
      <w:r>
        <w:rPr>
          <w:spacing w:val="-21"/>
        </w:rPr>
        <w:t> </w:t>
      </w:r>
      <w:r>
        <w:rPr/>
        <w:t>Innovation.</w:t>
      </w:r>
      <w:r>
        <w:rPr>
          <w:spacing w:val="-21"/>
        </w:rPr>
        <w:t> </w:t>
      </w:r>
      <w:r>
        <w:rPr/>
        <w:t>This</w:t>
      </w:r>
      <w:r>
        <w:rPr>
          <w:spacing w:val="-21"/>
        </w:rPr>
        <w:t> </w:t>
      </w:r>
      <w:r>
        <w:rPr/>
        <w:t>agreement</w:t>
      </w:r>
      <w:r>
        <w:rPr>
          <w:spacing w:val="-21"/>
        </w:rPr>
        <w:t> </w:t>
      </w:r>
      <w:r>
        <w:rPr/>
        <w:t>will strengthen ties and collaboration between the two institutions; for example, </w:t>
      </w:r>
      <w:r>
        <w:rPr>
          <w:spacing w:val="3"/>
        </w:rPr>
        <w:t>MAAS </w:t>
      </w:r>
      <w:r>
        <w:rPr/>
        <w:t>will become a partner of the University’s STEM (science, technology, engineering and</w:t>
      </w:r>
      <w:r>
        <w:rPr>
          <w:spacing w:val="-21"/>
        </w:rPr>
        <w:t> </w:t>
      </w:r>
      <w:r>
        <w:rPr/>
        <w:t>mathematics)</w:t>
      </w:r>
      <w:r>
        <w:rPr>
          <w:spacing w:val="-21"/>
        </w:rPr>
        <w:t> </w:t>
      </w:r>
      <w:r>
        <w:rPr/>
        <w:t>task</w:t>
      </w:r>
      <w:r>
        <w:rPr>
          <w:spacing w:val="-21"/>
        </w:rPr>
        <w:t> </w:t>
      </w:r>
      <w:r>
        <w:rPr/>
        <w:t>force,</w:t>
      </w:r>
      <w:r>
        <w:rPr>
          <w:spacing w:val="-21"/>
        </w:rPr>
        <w:t> </w:t>
      </w:r>
      <w:r>
        <w:rPr/>
        <w:t>together</w:t>
      </w:r>
      <w:r>
        <w:rPr>
          <w:spacing w:val="-21"/>
        </w:rPr>
        <w:t> </w:t>
      </w:r>
      <w:r>
        <w:rPr/>
        <w:t>with PricewaterhouseCoopers (PwC). Led</w:t>
      </w:r>
      <w:r>
        <w:rPr>
          <w:spacing w:val="-34"/>
        </w:rPr>
        <w:t> </w:t>
      </w:r>
      <w:r>
        <w:rPr/>
        <w:t>by</w:t>
      </w:r>
    </w:p>
    <w:p>
      <w:pPr>
        <w:pStyle w:val="BodyText"/>
        <w:spacing w:line="249" w:lineRule="auto"/>
        <w:ind w:left="107" w:right="220"/>
      </w:pPr>
      <w:r>
        <w:rPr/>
        <w:t>Professor</w:t>
      </w:r>
      <w:r>
        <w:rPr>
          <w:spacing w:val="-20"/>
        </w:rPr>
        <w:t> </w:t>
      </w:r>
      <w:r>
        <w:rPr/>
        <w:t>Kathryn</w:t>
      </w:r>
      <w:r>
        <w:rPr>
          <w:spacing w:val="-20"/>
        </w:rPr>
        <w:t> </w:t>
      </w:r>
      <w:r>
        <w:rPr>
          <w:spacing w:val="2"/>
        </w:rPr>
        <w:t>Holmes,</w:t>
      </w:r>
      <w:r>
        <w:rPr>
          <w:spacing w:val="-20"/>
        </w:rPr>
        <w:t> </w:t>
      </w:r>
      <w:r>
        <w:rPr/>
        <w:t>Research</w:t>
      </w:r>
      <w:r>
        <w:rPr>
          <w:spacing w:val="-20"/>
        </w:rPr>
        <w:t> </w:t>
      </w:r>
      <w:r>
        <w:rPr/>
        <w:t>Theme Champion for Education and Aspirational Change,</w:t>
      </w:r>
      <w:r>
        <w:rPr>
          <w:spacing w:val="-19"/>
        </w:rPr>
        <w:t> </w:t>
      </w:r>
      <w:r>
        <w:rPr/>
        <w:t>this</w:t>
      </w:r>
      <w:r>
        <w:rPr>
          <w:spacing w:val="-19"/>
        </w:rPr>
        <w:t> </w:t>
      </w:r>
      <w:r>
        <w:rPr/>
        <w:t>task</w:t>
      </w:r>
      <w:r>
        <w:rPr>
          <w:spacing w:val="-19"/>
        </w:rPr>
        <w:t> </w:t>
      </w:r>
      <w:r>
        <w:rPr/>
        <w:t>force</w:t>
      </w:r>
      <w:r>
        <w:rPr>
          <w:spacing w:val="-19"/>
        </w:rPr>
        <w:t> </w:t>
      </w:r>
      <w:r>
        <w:rPr/>
        <w:t>is</w:t>
      </w:r>
      <w:r>
        <w:rPr>
          <w:spacing w:val="-19"/>
        </w:rPr>
        <w:t> </w:t>
      </w:r>
      <w:r>
        <w:rPr/>
        <w:t>improving</w:t>
      </w:r>
      <w:r>
        <w:rPr>
          <w:spacing w:val="-19"/>
        </w:rPr>
        <w:t> </w:t>
      </w:r>
      <w:r>
        <w:rPr/>
        <w:t>women’s participation</w:t>
      </w:r>
      <w:r>
        <w:rPr>
          <w:spacing w:val="-16"/>
        </w:rPr>
        <w:t> </w:t>
      </w:r>
      <w:r>
        <w:rPr/>
        <w:t>in</w:t>
      </w:r>
      <w:r>
        <w:rPr>
          <w:spacing w:val="-16"/>
        </w:rPr>
        <w:t> </w:t>
      </w:r>
      <w:r>
        <w:rPr/>
        <w:t>STEM</w:t>
      </w:r>
      <w:r>
        <w:rPr>
          <w:spacing w:val="-16"/>
        </w:rPr>
        <w:t> </w:t>
      </w:r>
      <w:r>
        <w:rPr/>
        <w:t>fields</w:t>
      </w:r>
      <w:r>
        <w:rPr>
          <w:spacing w:val="-16"/>
        </w:rPr>
        <w:t> </w:t>
      </w:r>
      <w:r>
        <w:rPr/>
        <w:t>across</w:t>
      </w:r>
      <w:r>
        <w:rPr>
          <w:spacing w:val="-16"/>
        </w:rPr>
        <w:t> </w:t>
      </w:r>
      <w:r>
        <w:rPr/>
        <w:t>all</w:t>
      </w:r>
    </w:p>
    <w:p>
      <w:pPr>
        <w:pStyle w:val="BodyText"/>
        <w:spacing w:line="192" w:lineRule="exact"/>
        <w:ind w:left="107" w:right="172"/>
      </w:pPr>
      <w:r>
        <w:rPr/>
        <w:t>levels of education and employment.</w:t>
      </w:r>
    </w:p>
    <w:p>
      <w:pPr>
        <w:pStyle w:val="BodyText"/>
        <w:spacing w:before="10"/>
        <w:rPr>
          <w:sz w:val="19"/>
        </w:rPr>
      </w:pPr>
    </w:p>
    <w:p>
      <w:pPr>
        <w:pStyle w:val="Heading7"/>
        <w:ind w:right="172"/>
      </w:pPr>
      <w:r>
        <w:rPr>
          <w:w w:val="95"/>
        </w:rPr>
        <w:t>STAFF AWARDS AND RECOGNITION</w:t>
      </w:r>
    </w:p>
    <w:p>
      <w:pPr>
        <w:pStyle w:val="BodyText"/>
        <w:spacing w:line="249" w:lineRule="auto" w:before="58"/>
        <w:ind w:left="107" w:right="306"/>
      </w:pPr>
      <w:r>
        <w:rPr/>
        <w:t>World-leading</w:t>
      </w:r>
      <w:r>
        <w:rPr>
          <w:spacing w:val="-10"/>
        </w:rPr>
        <w:t> </w:t>
      </w:r>
      <w:r>
        <w:rPr/>
        <w:t>engineer</w:t>
      </w:r>
      <w:r>
        <w:rPr>
          <w:spacing w:val="-10"/>
        </w:rPr>
        <w:t> </w:t>
      </w:r>
      <w:r>
        <w:rPr/>
        <w:t>Professor</w:t>
      </w:r>
      <w:r>
        <w:rPr>
          <w:spacing w:val="-10"/>
        </w:rPr>
        <w:t> </w:t>
      </w:r>
      <w:r>
        <w:rPr/>
        <w:t>Wei</w:t>
      </w:r>
      <w:r>
        <w:rPr>
          <w:spacing w:val="-10"/>
        </w:rPr>
        <w:t> </w:t>
      </w:r>
      <w:r>
        <w:rPr/>
        <w:t>Xing </w:t>
      </w:r>
      <w:r>
        <w:rPr>
          <w:spacing w:val="1"/>
          <w:w w:val="98"/>
        </w:rPr>
        <w:t>Zheng</w:t>
      </w:r>
      <w:r>
        <w:rPr>
          <w:spacing w:val="-8"/>
          <w:w w:val="98"/>
        </w:rPr>
        <w:t> </w:t>
      </w:r>
      <w:r>
        <w:rPr>
          <w:w w:val="96"/>
        </w:rPr>
        <w:t>was</w:t>
      </w:r>
      <w:r>
        <w:rPr>
          <w:spacing w:val="-7"/>
          <w:w w:val="96"/>
        </w:rPr>
        <w:t> </w:t>
      </w:r>
      <w:r>
        <w:rPr>
          <w:spacing w:val="1"/>
          <w:w w:val="97"/>
        </w:rPr>
        <w:t>named</w:t>
      </w:r>
      <w:r>
        <w:rPr>
          <w:spacing w:val="-7"/>
          <w:w w:val="97"/>
        </w:rPr>
        <w:t> </w:t>
      </w:r>
      <w:r>
        <w:rPr>
          <w:w w:val="94"/>
        </w:rPr>
        <w:t>a</w:t>
      </w:r>
      <w:r>
        <w:rPr>
          <w:spacing w:val="-6"/>
          <w:w w:val="94"/>
        </w:rPr>
        <w:t> </w:t>
      </w:r>
      <w:r>
        <w:rPr>
          <w:spacing w:val="1"/>
          <w:w w:val="90"/>
        </w:rPr>
        <w:t>2016</w:t>
      </w:r>
      <w:r>
        <w:rPr>
          <w:spacing w:val="-4"/>
          <w:w w:val="90"/>
        </w:rPr>
        <w:t> </w:t>
      </w:r>
      <w:r>
        <w:rPr>
          <w:spacing w:val="1"/>
          <w:w w:val="96"/>
        </w:rPr>
        <w:t>Thomson</w:t>
      </w:r>
      <w:r>
        <w:rPr>
          <w:spacing w:val="-7"/>
          <w:w w:val="96"/>
        </w:rPr>
        <w:t> </w:t>
      </w:r>
      <w:r>
        <w:rPr>
          <w:w w:val="97"/>
        </w:rPr>
        <w:t>Reuters </w:t>
      </w:r>
      <w:r>
        <w:rPr/>
        <w:t>Highly Cited Researcher, highlighting the widespread international impact of his work on signals processing and system identification. This is the second time Professor Zheng has been included on the list,</w:t>
      </w:r>
      <w:r>
        <w:rPr>
          <w:spacing w:val="-20"/>
        </w:rPr>
        <w:t> </w:t>
      </w:r>
      <w:r>
        <w:rPr/>
        <w:t>which</w:t>
      </w:r>
      <w:r>
        <w:rPr>
          <w:spacing w:val="-20"/>
        </w:rPr>
        <w:t> </w:t>
      </w:r>
      <w:r>
        <w:rPr/>
        <w:t>recognises</w:t>
      </w:r>
      <w:r>
        <w:rPr>
          <w:spacing w:val="-20"/>
        </w:rPr>
        <w:t> </w:t>
      </w:r>
      <w:r>
        <w:rPr/>
        <w:t>leading</w:t>
      </w:r>
      <w:r>
        <w:rPr>
          <w:spacing w:val="-20"/>
        </w:rPr>
        <w:t> </w:t>
      </w:r>
      <w:r>
        <w:rPr/>
        <w:t>researchers</w:t>
      </w:r>
      <w:r>
        <w:rPr>
          <w:spacing w:val="-20"/>
        </w:rPr>
        <w:t> </w:t>
      </w:r>
      <w:r>
        <w:rPr/>
        <w:t>in the sciences and social sciences who rank in</w:t>
      </w:r>
      <w:r>
        <w:rPr>
          <w:spacing w:val="-19"/>
        </w:rPr>
        <w:t> </w:t>
      </w:r>
      <w:r>
        <w:rPr/>
        <w:t>the</w:t>
      </w:r>
      <w:r>
        <w:rPr>
          <w:spacing w:val="-19"/>
        </w:rPr>
        <w:t> </w:t>
      </w:r>
      <w:r>
        <w:rPr/>
        <w:t>world’s</w:t>
      </w:r>
      <w:r>
        <w:rPr>
          <w:spacing w:val="-19"/>
        </w:rPr>
        <w:t> </w:t>
      </w:r>
      <w:r>
        <w:rPr/>
        <w:t>top</w:t>
      </w:r>
      <w:r>
        <w:rPr>
          <w:spacing w:val="-19"/>
        </w:rPr>
        <w:t> </w:t>
      </w:r>
      <w:r>
        <w:rPr>
          <w:w w:val="95"/>
        </w:rPr>
        <w:t>1</w:t>
      </w:r>
      <w:r>
        <w:rPr>
          <w:spacing w:val="-17"/>
          <w:w w:val="95"/>
        </w:rPr>
        <w:t> </w:t>
      </w:r>
      <w:r>
        <w:rPr/>
        <w:t>per</w:t>
      </w:r>
      <w:r>
        <w:rPr>
          <w:spacing w:val="-19"/>
        </w:rPr>
        <w:t> </w:t>
      </w:r>
      <w:r>
        <w:rPr/>
        <w:t>cent</w:t>
      </w:r>
      <w:r>
        <w:rPr>
          <w:spacing w:val="-19"/>
        </w:rPr>
        <w:t> </w:t>
      </w:r>
      <w:r>
        <w:rPr/>
        <w:t>by</w:t>
      </w:r>
      <w:r>
        <w:rPr>
          <w:spacing w:val="-19"/>
        </w:rPr>
        <w:t> </w:t>
      </w:r>
      <w:r>
        <w:rPr/>
        <w:t>citations.</w:t>
      </w:r>
    </w:p>
    <w:p>
      <w:pPr>
        <w:spacing w:after="0" w:line="249" w:lineRule="auto"/>
        <w:sectPr>
          <w:type w:val="continuous"/>
          <w:pgSz w:w="11910" w:h="16840"/>
          <w:pgMar w:top="1580" w:bottom="280" w:left="800" w:right="800"/>
          <w:cols w:num="3" w:equalWidth="0">
            <w:col w:w="3298" w:space="142"/>
            <w:col w:w="3295" w:space="145"/>
            <w:col w:w="3430"/>
          </w:cols>
        </w:sectPr>
      </w:pPr>
    </w:p>
    <w:p>
      <w:pPr>
        <w:pStyle w:val="BodyText"/>
        <w:rPr>
          <w:sz w:val="20"/>
        </w:rPr>
      </w:pPr>
    </w:p>
    <w:p>
      <w:pPr>
        <w:pStyle w:val="BodyText"/>
        <w:rPr>
          <w:sz w:val="20"/>
        </w:rPr>
      </w:pPr>
    </w:p>
    <w:p>
      <w:pPr>
        <w:pStyle w:val="BodyText"/>
        <w:spacing w:before="7" w:after="1"/>
        <w:rPr>
          <w:sz w:val="28"/>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4927"/>
        <w:gridCol w:w="1290"/>
        <w:gridCol w:w="1290"/>
        <w:gridCol w:w="1290"/>
        <w:gridCol w:w="1290"/>
      </w:tblGrid>
      <w:tr>
        <w:trPr>
          <w:trHeight w:val="332" w:hRule="exact"/>
        </w:trPr>
        <w:tc>
          <w:tcPr>
            <w:tcW w:w="4927" w:type="dxa"/>
            <w:tcBorders>
              <w:top w:val="nil"/>
              <w:left w:val="nil"/>
              <w:bottom w:val="nil"/>
              <w:right w:val="nil"/>
            </w:tcBorders>
            <w:shd w:val="clear" w:color="auto" w:fill="949290"/>
          </w:tcPr>
          <w:p>
            <w:pPr>
              <w:pStyle w:val="TableParagraph"/>
              <w:spacing w:before="76"/>
              <w:ind w:left="80"/>
              <w:jc w:val="left"/>
              <w:rPr>
                <w:rFonts w:ascii="Gotham Narrow Bold" w:hAnsi="Gotham Narrow Bold"/>
                <w:b/>
                <w:sz w:val="16"/>
              </w:rPr>
            </w:pPr>
            <w:r>
              <w:rPr>
                <w:rFonts w:ascii="Gotham Narrow Bold" w:hAnsi="Gotham Narrow Bold"/>
                <w:b/>
                <w:color w:val="FFFFFF"/>
                <w:w w:val="95"/>
                <w:sz w:val="16"/>
              </w:rPr>
              <w:t>RESEARCH FUNDING ($’000)</w:t>
            </w:r>
          </w:p>
        </w:tc>
        <w:tc>
          <w:tcPr>
            <w:tcW w:w="1290" w:type="dxa"/>
            <w:tcBorders>
              <w:top w:val="nil"/>
              <w:left w:val="nil"/>
              <w:bottom w:val="nil"/>
              <w:right w:val="nil"/>
            </w:tcBorders>
            <w:shd w:val="clear" w:color="auto" w:fill="949290"/>
          </w:tcPr>
          <w:p>
            <w:pPr>
              <w:pStyle w:val="TableParagraph"/>
              <w:spacing w:before="76"/>
              <w:ind w:right="78"/>
              <w:rPr>
                <w:rFonts w:ascii="Gotham Narrow Bold"/>
                <w:b/>
                <w:sz w:val="16"/>
              </w:rPr>
            </w:pPr>
            <w:r>
              <w:rPr>
                <w:rFonts w:ascii="Gotham Narrow Bold"/>
                <w:b/>
                <w:color w:val="FFFFFF"/>
                <w:w w:val="95"/>
                <w:sz w:val="16"/>
              </w:rPr>
              <w:t>2012</w:t>
            </w:r>
          </w:p>
        </w:tc>
        <w:tc>
          <w:tcPr>
            <w:tcW w:w="1290" w:type="dxa"/>
            <w:tcBorders>
              <w:top w:val="nil"/>
              <w:left w:val="nil"/>
              <w:bottom w:val="nil"/>
              <w:right w:val="nil"/>
            </w:tcBorders>
            <w:shd w:val="clear" w:color="auto" w:fill="949290"/>
          </w:tcPr>
          <w:p>
            <w:pPr>
              <w:pStyle w:val="TableParagraph"/>
              <w:spacing w:before="76"/>
              <w:ind w:right="77"/>
              <w:rPr>
                <w:rFonts w:ascii="Gotham Narrow Bold"/>
                <w:b/>
                <w:sz w:val="16"/>
              </w:rPr>
            </w:pPr>
            <w:r>
              <w:rPr>
                <w:rFonts w:ascii="Gotham Narrow Bold"/>
                <w:b/>
                <w:color w:val="FFFFFF"/>
                <w:w w:val="95"/>
                <w:sz w:val="16"/>
              </w:rPr>
              <w:t>2013</w:t>
            </w:r>
          </w:p>
        </w:tc>
        <w:tc>
          <w:tcPr>
            <w:tcW w:w="1290" w:type="dxa"/>
            <w:tcBorders>
              <w:top w:val="nil"/>
              <w:left w:val="nil"/>
              <w:bottom w:val="nil"/>
              <w:right w:val="nil"/>
            </w:tcBorders>
            <w:shd w:val="clear" w:color="auto" w:fill="949290"/>
          </w:tcPr>
          <w:p>
            <w:pPr>
              <w:pStyle w:val="TableParagraph"/>
              <w:spacing w:before="76"/>
              <w:ind w:right="77"/>
              <w:rPr>
                <w:rFonts w:ascii="Gotham Narrow Bold"/>
                <w:b/>
                <w:sz w:val="16"/>
              </w:rPr>
            </w:pPr>
            <w:r>
              <w:rPr>
                <w:rFonts w:ascii="Gotham Narrow Bold"/>
                <w:b/>
                <w:color w:val="FFFFFF"/>
                <w:w w:val="95"/>
                <w:sz w:val="16"/>
              </w:rPr>
              <w:t>2014</w:t>
            </w:r>
          </w:p>
        </w:tc>
        <w:tc>
          <w:tcPr>
            <w:tcW w:w="1290" w:type="dxa"/>
            <w:tcBorders>
              <w:top w:val="nil"/>
              <w:left w:val="nil"/>
              <w:bottom w:val="nil"/>
              <w:right w:val="nil"/>
            </w:tcBorders>
            <w:shd w:val="clear" w:color="auto" w:fill="949290"/>
          </w:tcPr>
          <w:p>
            <w:pPr>
              <w:pStyle w:val="TableParagraph"/>
              <w:spacing w:before="76"/>
              <w:ind w:right="77"/>
              <w:rPr>
                <w:rFonts w:ascii="Gotham Narrow Bold"/>
                <w:b/>
                <w:sz w:val="16"/>
              </w:rPr>
            </w:pPr>
            <w:r>
              <w:rPr>
                <w:rFonts w:ascii="Gotham Narrow Bold"/>
                <w:b/>
                <w:color w:val="FFFFFF"/>
                <w:w w:val="95"/>
                <w:sz w:val="16"/>
              </w:rPr>
              <w:t>2015</w:t>
            </w:r>
          </w:p>
        </w:tc>
      </w:tr>
      <w:tr>
        <w:trPr>
          <w:trHeight w:val="902" w:hRule="exact"/>
        </w:trPr>
        <w:tc>
          <w:tcPr>
            <w:tcW w:w="4927" w:type="dxa"/>
            <w:tcBorders>
              <w:top w:val="nil"/>
            </w:tcBorders>
            <w:shd w:val="clear" w:color="auto" w:fill="E9E9E9"/>
          </w:tcPr>
          <w:p>
            <w:pPr>
              <w:pStyle w:val="TableParagraph"/>
              <w:spacing w:before="70"/>
              <w:ind w:left="74" w:right="55"/>
              <w:jc w:val="left"/>
              <w:rPr>
                <w:sz w:val="16"/>
              </w:rPr>
            </w:pPr>
            <w:r>
              <w:rPr>
                <w:sz w:val="16"/>
              </w:rPr>
              <w:t>Australian competitive grant income (Category 1)</w:t>
            </w:r>
          </w:p>
          <w:p>
            <w:pPr>
              <w:pStyle w:val="TableParagraph"/>
              <w:spacing w:before="7"/>
              <w:jc w:val="left"/>
              <w:rPr>
                <w:sz w:val="14"/>
              </w:rPr>
            </w:pPr>
          </w:p>
          <w:p>
            <w:pPr>
              <w:pStyle w:val="TableParagraph"/>
              <w:spacing w:line="249" w:lineRule="auto" w:before="1"/>
              <w:ind w:left="74" w:right="55"/>
              <w:jc w:val="left"/>
              <w:rPr>
                <w:sz w:val="16"/>
              </w:rPr>
            </w:pPr>
            <w:r>
              <w:rPr>
                <w:sz w:val="16"/>
              </w:rPr>
              <w:t>Includes</w:t>
            </w:r>
            <w:r>
              <w:rPr>
                <w:spacing w:val="-18"/>
                <w:sz w:val="16"/>
              </w:rPr>
              <w:t> </w:t>
            </w:r>
            <w:r>
              <w:rPr>
                <w:spacing w:val="2"/>
                <w:sz w:val="16"/>
              </w:rPr>
              <w:t>ARC,</w:t>
            </w:r>
            <w:r>
              <w:rPr>
                <w:spacing w:val="-18"/>
                <w:sz w:val="16"/>
              </w:rPr>
              <w:t> </w:t>
            </w:r>
            <w:r>
              <w:rPr>
                <w:sz w:val="16"/>
              </w:rPr>
              <w:t>National</w:t>
            </w:r>
            <w:r>
              <w:rPr>
                <w:spacing w:val="-18"/>
                <w:sz w:val="16"/>
              </w:rPr>
              <w:t> </w:t>
            </w:r>
            <w:r>
              <w:rPr>
                <w:sz w:val="16"/>
              </w:rPr>
              <w:t>Health</w:t>
            </w:r>
            <w:r>
              <w:rPr>
                <w:spacing w:val="-18"/>
                <w:sz w:val="16"/>
              </w:rPr>
              <w:t> </w:t>
            </w:r>
            <w:r>
              <w:rPr>
                <w:sz w:val="16"/>
              </w:rPr>
              <w:t>and</w:t>
            </w:r>
            <w:r>
              <w:rPr>
                <w:spacing w:val="-18"/>
                <w:sz w:val="16"/>
              </w:rPr>
              <w:t> </w:t>
            </w:r>
            <w:r>
              <w:rPr>
                <w:sz w:val="16"/>
              </w:rPr>
              <w:t>Medical</w:t>
            </w:r>
            <w:r>
              <w:rPr>
                <w:spacing w:val="-18"/>
                <w:sz w:val="16"/>
              </w:rPr>
              <w:t> </w:t>
            </w:r>
            <w:r>
              <w:rPr>
                <w:sz w:val="16"/>
              </w:rPr>
              <w:t>Research</w:t>
            </w:r>
            <w:r>
              <w:rPr>
                <w:spacing w:val="-18"/>
                <w:sz w:val="16"/>
              </w:rPr>
              <w:t> </w:t>
            </w:r>
            <w:r>
              <w:rPr>
                <w:sz w:val="16"/>
              </w:rPr>
              <w:t>Council </w:t>
            </w:r>
            <w:r>
              <w:rPr>
                <w:spacing w:val="2"/>
                <w:sz w:val="16"/>
              </w:rPr>
              <w:t>(NHMRC) </w:t>
            </w:r>
            <w:r>
              <w:rPr>
                <w:sz w:val="16"/>
              </w:rPr>
              <w:t>and</w:t>
            </w:r>
            <w:r>
              <w:rPr>
                <w:spacing w:val="-36"/>
                <w:sz w:val="16"/>
              </w:rPr>
              <w:t> </w:t>
            </w:r>
            <w:r>
              <w:rPr>
                <w:sz w:val="16"/>
              </w:rPr>
              <w:t>other</w:t>
            </w:r>
          </w:p>
        </w:tc>
        <w:tc>
          <w:tcPr>
            <w:tcW w:w="1290" w:type="dxa"/>
            <w:tcBorders>
              <w:top w:val="nil"/>
            </w:tcBorders>
            <w:shd w:val="clear" w:color="auto" w:fill="E9E9E9"/>
          </w:tcPr>
          <w:p>
            <w:pPr>
              <w:pStyle w:val="TableParagraph"/>
              <w:spacing w:before="0"/>
              <w:jc w:val="left"/>
              <w:rPr>
                <w:sz w:val="16"/>
              </w:rPr>
            </w:pPr>
          </w:p>
          <w:p>
            <w:pPr>
              <w:pStyle w:val="TableParagraph"/>
              <w:spacing w:before="5"/>
              <w:jc w:val="left"/>
              <w:rPr>
                <w:sz w:val="13"/>
              </w:rPr>
            </w:pPr>
          </w:p>
          <w:p>
            <w:pPr>
              <w:pStyle w:val="TableParagraph"/>
              <w:spacing w:before="0"/>
              <w:ind w:right="74"/>
              <w:rPr>
                <w:sz w:val="16"/>
              </w:rPr>
            </w:pPr>
            <w:r>
              <w:rPr>
                <w:w w:val="85"/>
                <w:sz w:val="16"/>
              </w:rPr>
              <w:t>12,542</w:t>
            </w:r>
          </w:p>
        </w:tc>
        <w:tc>
          <w:tcPr>
            <w:tcW w:w="1290" w:type="dxa"/>
            <w:tcBorders>
              <w:top w:val="nil"/>
            </w:tcBorders>
            <w:shd w:val="clear" w:color="auto" w:fill="E9E9E9"/>
          </w:tcPr>
          <w:p>
            <w:pPr>
              <w:pStyle w:val="TableParagraph"/>
              <w:spacing w:before="0"/>
              <w:jc w:val="left"/>
              <w:rPr>
                <w:sz w:val="16"/>
              </w:rPr>
            </w:pPr>
          </w:p>
          <w:p>
            <w:pPr>
              <w:pStyle w:val="TableParagraph"/>
              <w:spacing w:before="5"/>
              <w:jc w:val="left"/>
              <w:rPr>
                <w:sz w:val="13"/>
              </w:rPr>
            </w:pPr>
          </w:p>
          <w:p>
            <w:pPr>
              <w:pStyle w:val="TableParagraph"/>
              <w:spacing w:before="0"/>
              <w:ind w:right="73"/>
              <w:rPr>
                <w:sz w:val="16"/>
              </w:rPr>
            </w:pPr>
            <w:r>
              <w:rPr>
                <w:spacing w:val="2"/>
                <w:w w:val="54"/>
                <w:sz w:val="16"/>
              </w:rPr>
              <w:t>1</w:t>
            </w:r>
            <w:r>
              <w:rPr>
                <w:spacing w:val="2"/>
                <w:w w:val="93"/>
                <w:sz w:val="16"/>
              </w:rPr>
              <w:t>2</w:t>
            </w:r>
            <w:r>
              <w:rPr>
                <w:spacing w:val="1"/>
                <w:w w:val="68"/>
                <w:sz w:val="16"/>
              </w:rPr>
              <w:t>,</w:t>
            </w:r>
            <w:r>
              <w:rPr>
                <w:spacing w:val="4"/>
                <w:w w:val="111"/>
                <w:sz w:val="16"/>
              </w:rPr>
              <w:t>0</w:t>
            </w:r>
            <w:r>
              <w:rPr>
                <w:spacing w:val="-1"/>
                <w:w w:val="78"/>
                <w:sz w:val="16"/>
              </w:rPr>
              <w:t>41</w:t>
            </w:r>
          </w:p>
        </w:tc>
        <w:tc>
          <w:tcPr>
            <w:tcW w:w="1290" w:type="dxa"/>
            <w:tcBorders>
              <w:top w:val="nil"/>
            </w:tcBorders>
            <w:shd w:val="clear" w:color="auto" w:fill="E9E9E9"/>
          </w:tcPr>
          <w:p>
            <w:pPr>
              <w:pStyle w:val="TableParagraph"/>
              <w:spacing w:before="0"/>
              <w:jc w:val="left"/>
              <w:rPr>
                <w:sz w:val="16"/>
              </w:rPr>
            </w:pPr>
          </w:p>
          <w:p>
            <w:pPr>
              <w:pStyle w:val="TableParagraph"/>
              <w:spacing w:before="5"/>
              <w:jc w:val="left"/>
              <w:rPr>
                <w:sz w:val="13"/>
              </w:rPr>
            </w:pPr>
          </w:p>
          <w:p>
            <w:pPr>
              <w:pStyle w:val="TableParagraph"/>
              <w:spacing w:before="0"/>
              <w:ind w:right="74"/>
              <w:rPr>
                <w:sz w:val="16"/>
              </w:rPr>
            </w:pPr>
            <w:r>
              <w:rPr>
                <w:w w:val="85"/>
                <w:sz w:val="16"/>
              </w:rPr>
              <w:t>14,997</w:t>
            </w:r>
          </w:p>
        </w:tc>
        <w:tc>
          <w:tcPr>
            <w:tcW w:w="1290" w:type="dxa"/>
            <w:tcBorders>
              <w:top w:val="nil"/>
            </w:tcBorders>
            <w:shd w:val="clear" w:color="auto" w:fill="E9E9E9"/>
          </w:tcPr>
          <w:p>
            <w:pPr>
              <w:pStyle w:val="TableParagraph"/>
              <w:spacing w:before="0"/>
              <w:jc w:val="left"/>
              <w:rPr>
                <w:sz w:val="16"/>
              </w:rPr>
            </w:pPr>
          </w:p>
          <w:p>
            <w:pPr>
              <w:pStyle w:val="TableParagraph"/>
              <w:spacing w:before="5"/>
              <w:jc w:val="left"/>
              <w:rPr>
                <w:sz w:val="13"/>
              </w:rPr>
            </w:pPr>
          </w:p>
          <w:p>
            <w:pPr>
              <w:pStyle w:val="TableParagraph"/>
              <w:spacing w:before="0"/>
              <w:ind w:right="69"/>
              <w:rPr>
                <w:sz w:val="16"/>
              </w:rPr>
            </w:pPr>
            <w:r>
              <w:rPr>
                <w:w w:val="75"/>
                <w:sz w:val="16"/>
              </w:rPr>
              <w:t>11,333</w:t>
            </w:r>
          </w:p>
        </w:tc>
      </w:tr>
      <w:tr>
        <w:trPr>
          <w:trHeight w:val="332" w:hRule="exact"/>
        </w:trPr>
        <w:tc>
          <w:tcPr>
            <w:tcW w:w="4927" w:type="dxa"/>
            <w:shd w:val="clear" w:color="auto" w:fill="E9E9E9"/>
          </w:tcPr>
          <w:p>
            <w:pPr>
              <w:pStyle w:val="TableParagraph"/>
              <w:spacing w:before="65"/>
              <w:ind w:left="74" w:right="55"/>
              <w:jc w:val="left"/>
              <w:rPr>
                <w:sz w:val="16"/>
              </w:rPr>
            </w:pPr>
            <w:r>
              <w:rPr>
                <w:sz w:val="16"/>
              </w:rPr>
              <w:t>Collaborative income (Category 2, 3 and 4)</w:t>
            </w:r>
          </w:p>
        </w:tc>
        <w:tc>
          <w:tcPr>
            <w:tcW w:w="1290" w:type="dxa"/>
            <w:shd w:val="clear" w:color="auto" w:fill="E9E9E9"/>
          </w:tcPr>
          <w:p>
            <w:pPr>
              <w:pStyle w:val="TableParagraph"/>
              <w:spacing w:before="65"/>
              <w:ind w:right="73"/>
              <w:rPr>
                <w:sz w:val="16"/>
              </w:rPr>
            </w:pPr>
            <w:r>
              <w:rPr>
                <w:w w:val="90"/>
                <w:sz w:val="16"/>
              </w:rPr>
              <w:t>8,733</w:t>
            </w:r>
          </w:p>
        </w:tc>
        <w:tc>
          <w:tcPr>
            <w:tcW w:w="1290" w:type="dxa"/>
            <w:shd w:val="clear" w:color="auto" w:fill="E9E9E9"/>
          </w:tcPr>
          <w:p>
            <w:pPr>
              <w:pStyle w:val="TableParagraph"/>
              <w:spacing w:before="65"/>
              <w:ind w:right="73"/>
              <w:rPr>
                <w:sz w:val="16"/>
              </w:rPr>
            </w:pPr>
            <w:r>
              <w:rPr>
                <w:spacing w:val="4"/>
                <w:w w:val="54"/>
                <w:sz w:val="16"/>
              </w:rPr>
              <w:t>1</w:t>
            </w:r>
            <w:r>
              <w:rPr>
                <w:spacing w:val="2"/>
                <w:w w:val="111"/>
                <w:sz w:val="16"/>
              </w:rPr>
              <w:t>0</w:t>
            </w:r>
            <w:r>
              <w:rPr>
                <w:spacing w:val="6"/>
                <w:w w:val="85"/>
                <w:sz w:val="16"/>
              </w:rPr>
              <w:t>,</w:t>
            </w:r>
            <w:r>
              <w:rPr>
                <w:spacing w:val="5"/>
                <w:w w:val="85"/>
                <w:sz w:val="16"/>
              </w:rPr>
              <w:t>5</w:t>
            </w:r>
            <w:r>
              <w:rPr>
                <w:spacing w:val="6"/>
                <w:w w:val="98"/>
                <w:sz w:val="16"/>
              </w:rPr>
              <w:t>8</w:t>
            </w:r>
            <w:r>
              <w:rPr>
                <w:w w:val="103"/>
                <w:sz w:val="16"/>
              </w:rPr>
              <w:t>4</w:t>
            </w:r>
          </w:p>
        </w:tc>
        <w:tc>
          <w:tcPr>
            <w:tcW w:w="1290" w:type="dxa"/>
            <w:shd w:val="clear" w:color="auto" w:fill="E9E9E9"/>
          </w:tcPr>
          <w:p>
            <w:pPr>
              <w:pStyle w:val="TableParagraph"/>
              <w:spacing w:before="65"/>
              <w:ind w:right="73"/>
              <w:rPr>
                <w:sz w:val="16"/>
              </w:rPr>
            </w:pPr>
            <w:r>
              <w:rPr>
                <w:w w:val="75"/>
                <w:sz w:val="16"/>
              </w:rPr>
              <w:t>11.238</w:t>
            </w:r>
          </w:p>
        </w:tc>
        <w:tc>
          <w:tcPr>
            <w:tcW w:w="1290" w:type="dxa"/>
            <w:shd w:val="clear" w:color="auto" w:fill="E9E9E9"/>
          </w:tcPr>
          <w:p>
            <w:pPr>
              <w:pStyle w:val="TableParagraph"/>
              <w:spacing w:before="65"/>
              <w:ind w:right="73"/>
              <w:rPr>
                <w:sz w:val="16"/>
              </w:rPr>
            </w:pPr>
            <w:r>
              <w:rPr>
                <w:w w:val="90"/>
                <w:sz w:val="16"/>
              </w:rPr>
              <w:t>14,664</w:t>
            </w:r>
          </w:p>
        </w:tc>
      </w:tr>
      <w:tr>
        <w:trPr>
          <w:trHeight w:val="332" w:hRule="exact"/>
        </w:trPr>
        <w:tc>
          <w:tcPr>
            <w:tcW w:w="4927" w:type="dxa"/>
            <w:shd w:val="clear" w:color="auto" w:fill="E9E9E9"/>
          </w:tcPr>
          <w:p>
            <w:pPr>
              <w:pStyle w:val="TableParagraph"/>
              <w:spacing w:before="65"/>
              <w:ind w:left="74" w:right="55"/>
              <w:jc w:val="left"/>
              <w:rPr>
                <w:sz w:val="16"/>
              </w:rPr>
            </w:pPr>
            <w:r>
              <w:rPr>
                <w:sz w:val="16"/>
              </w:rPr>
              <w:t>Total Higher Education Research Data Collection (HERDC) income</w:t>
            </w:r>
          </w:p>
        </w:tc>
        <w:tc>
          <w:tcPr>
            <w:tcW w:w="1290" w:type="dxa"/>
            <w:shd w:val="clear" w:color="auto" w:fill="E9E9E9"/>
          </w:tcPr>
          <w:p>
            <w:pPr>
              <w:pStyle w:val="TableParagraph"/>
              <w:spacing w:before="65"/>
              <w:ind w:right="73"/>
              <w:rPr>
                <w:sz w:val="16"/>
              </w:rPr>
            </w:pPr>
            <w:r>
              <w:rPr>
                <w:w w:val="80"/>
                <w:sz w:val="16"/>
              </w:rPr>
              <w:t>21,275</w:t>
            </w:r>
          </w:p>
        </w:tc>
        <w:tc>
          <w:tcPr>
            <w:tcW w:w="1290" w:type="dxa"/>
            <w:shd w:val="clear" w:color="auto" w:fill="E9E9E9"/>
          </w:tcPr>
          <w:p>
            <w:pPr>
              <w:pStyle w:val="TableParagraph"/>
              <w:spacing w:before="65"/>
              <w:ind w:right="73"/>
              <w:rPr>
                <w:sz w:val="16"/>
              </w:rPr>
            </w:pPr>
            <w:r>
              <w:rPr>
                <w:w w:val="95"/>
                <w:sz w:val="16"/>
              </w:rPr>
              <w:t>22,300</w:t>
            </w:r>
          </w:p>
        </w:tc>
        <w:tc>
          <w:tcPr>
            <w:tcW w:w="1290" w:type="dxa"/>
            <w:shd w:val="clear" w:color="auto" w:fill="E9E9E9"/>
          </w:tcPr>
          <w:p>
            <w:pPr>
              <w:pStyle w:val="TableParagraph"/>
              <w:spacing w:before="65"/>
              <w:ind w:right="73"/>
              <w:rPr>
                <w:sz w:val="16"/>
              </w:rPr>
            </w:pPr>
            <w:r>
              <w:rPr>
                <w:w w:val="95"/>
                <w:sz w:val="16"/>
              </w:rPr>
              <w:t>26,230</w:t>
            </w:r>
          </w:p>
        </w:tc>
        <w:tc>
          <w:tcPr>
            <w:tcW w:w="1290" w:type="dxa"/>
            <w:shd w:val="clear" w:color="auto" w:fill="E9E9E9"/>
          </w:tcPr>
          <w:p>
            <w:pPr>
              <w:pStyle w:val="TableParagraph"/>
              <w:spacing w:before="65"/>
              <w:ind w:right="73"/>
              <w:rPr>
                <w:sz w:val="16"/>
              </w:rPr>
            </w:pPr>
            <w:r>
              <w:rPr>
                <w:w w:val="95"/>
                <w:sz w:val="16"/>
              </w:rPr>
              <w:t>25,998</w:t>
            </w:r>
          </w:p>
        </w:tc>
      </w:tr>
      <w:tr>
        <w:trPr>
          <w:trHeight w:val="332" w:hRule="exact"/>
        </w:trPr>
        <w:tc>
          <w:tcPr>
            <w:tcW w:w="4927" w:type="dxa"/>
            <w:shd w:val="clear" w:color="auto" w:fill="E9E9E9"/>
          </w:tcPr>
          <w:p>
            <w:pPr>
              <w:pStyle w:val="TableParagraph"/>
              <w:spacing w:before="65"/>
              <w:ind w:left="75" w:right="55"/>
              <w:jc w:val="left"/>
              <w:rPr>
                <w:sz w:val="16"/>
              </w:rPr>
            </w:pPr>
            <w:r>
              <w:rPr>
                <w:sz w:val="16"/>
              </w:rPr>
              <w:t>Total operating revenue</w:t>
            </w:r>
          </w:p>
        </w:tc>
        <w:tc>
          <w:tcPr>
            <w:tcW w:w="1290" w:type="dxa"/>
            <w:shd w:val="clear" w:color="auto" w:fill="E9E9E9"/>
          </w:tcPr>
          <w:p>
            <w:pPr>
              <w:pStyle w:val="TableParagraph"/>
              <w:spacing w:before="65"/>
              <w:ind w:right="73"/>
              <w:rPr>
                <w:sz w:val="16"/>
              </w:rPr>
            </w:pPr>
            <w:r>
              <w:rPr>
                <w:w w:val="95"/>
                <w:sz w:val="16"/>
              </w:rPr>
              <w:t>662,820</w:t>
            </w:r>
          </w:p>
        </w:tc>
        <w:tc>
          <w:tcPr>
            <w:tcW w:w="1290" w:type="dxa"/>
            <w:shd w:val="clear" w:color="auto" w:fill="E9E9E9"/>
          </w:tcPr>
          <w:p>
            <w:pPr>
              <w:pStyle w:val="TableParagraph"/>
              <w:spacing w:before="65"/>
              <w:ind w:right="73"/>
              <w:rPr>
                <w:sz w:val="16"/>
              </w:rPr>
            </w:pPr>
            <w:r>
              <w:rPr>
                <w:w w:val="90"/>
                <w:sz w:val="16"/>
              </w:rPr>
              <w:t>684,199</w:t>
            </w:r>
          </w:p>
        </w:tc>
        <w:tc>
          <w:tcPr>
            <w:tcW w:w="1290" w:type="dxa"/>
            <w:shd w:val="clear" w:color="auto" w:fill="E9E9E9"/>
          </w:tcPr>
          <w:p>
            <w:pPr>
              <w:pStyle w:val="TableParagraph"/>
              <w:spacing w:before="65"/>
              <w:ind w:right="72"/>
              <w:rPr>
                <w:sz w:val="16"/>
              </w:rPr>
            </w:pPr>
            <w:r>
              <w:rPr>
                <w:w w:val="95"/>
                <w:sz w:val="16"/>
              </w:rPr>
              <w:t>729,665</w:t>
            </w:r>
          </w:p>
        </w:tc>
        <w:tc>
          <w:tcPr>
            <w:tcW w:w="1290" w:type="dxa"/>
            <w:shd w:val="clear" w:color="auto" w:fill="E9E9E9"/>
          </w:tcPr>
          <w:p>
            <w:pPr>
              <w:pStyle w:val="TableParagraph"/>
              <w:spacing w:before="65"/>
              <w:ind w:right="72"/>
              <w:rPr>
                <w:sz w:val="16"/>
              </w:rPr>
            </w:pPr>
            <w:r>
              <w:rPr>
                <w:w w:val="95"/>
                <w:sz w:val="16"/>
              </w:rPr>
              <w:t>774,834</w:t>
            </w:r>
          </w:p>
        </w:tc>
      </w:tr>
      <w:tr>
        <w:trPr>
          <w:trHeight w:val="332" w:hRule="exact"/>
        </w:trPr>
        <w:tc>
          <w:tcPr>
            <w:tcW w:w="4927" w:type="dxa"/>
            <w:shd w:val="clear" w:color="auto" w:fill="E9E9E9"/>
          </w:tcPr>
          <w:p>
            <w:pPr>
              <w:pStyle w:val="TableParagraph"/>
              <w:spacing w:before="65"/>
              <w:ind w:left="75" w:right="55"/>
              <w:jc w:val="left"/>
              <w:rPr>
                <w:sz w:val="16"/>
              </w:rPr>
            </w:pPr>
            <w:r>
              <w:rPr>
                <w:sz w:val="16"/>
              </w:rPr>
              <w:t>Total net assets</w:t>
            </w:r>
          </w:p>
        </w:tc>
        <w:tc>
          <w:tcPr>
            <w:tcW w:w="1290" w:type="dxa"/>
            <w:shd w:val="clear" w:color="auto" w:fill="E9E9E9"/>
          </w:tcPr>
          <w:p>
            <w:pPr>
              <w:pStyle w:val="TableParagraph"/>
              <w:spacing w:before="65"/>
              <w:ind w:right="72"/>
              <w:rPr>
                <w:sz w:val="16"/>
              </w:rPr>
            </w:pPr>
            <w:r>
              <w:rPr>
                <w:w w:val="80"/>
                <w:sz w:val="16"/>
              </w:rPr>
              <w:t>1,321,023</w:t>
            </w:r>
          </w:p>
        </w:tc>
        <w:tc>
          <w:tcPr>
            <w:tcW w:w="1290" w:type="dxa"/>
            <w:shd w:val="clear" w:color="auto" w:fill="E9E9E9"/>
          </w:tcPr>
          <w:p>
            <w:pPr>
              <w:pStyle w:val="TableParagraph"/>
              <w:spacing w:before="65"/>
              <w:ind w:right="72"/>
              <w:rPr>
                <w:sz w:val="16"/>
              </w:rPr>
            </w:pPr>
            <w:r>
              <w:rPr>
                <w:w w:val="80"/>
                <w:sz w:val="16"/>
              </w:rPr>
              <w:t>1,366,871</w:t>
            </w:r>
          </w:p>
        </w:tc>
        <w:tc>
          <w:tcPr>
            <w:tcW w:w="1290" w:type="dxa"/>
            <w:shd w:val="clear" w:color="auto" w:fill="E9E9E9"/>
          </w:tcPr>
          <w:p>
            <w:pPr>
              <w:pStyle w:val="TableParagraph"/>
              <w:spacing w:before="65"/>
              <w:ind w:right="70"/>
              <w:rPr>
                <w:sz w:val="16"/>
              </w:rPr>
            </w:pPr>
            <w:r>
              <w:rPr>
                <w:w w:val="85"/>
                <w:sz w:val="16"/>
              </w:rPr>
              <w:t>1,454,991</w:t>
            </w:r>
          </w:p>
        </w:tc>
        <w:tc>
          <w:tcPr>
            <w:tcW w:w="1290" w:type="dxa"/>
            <w:shd w:val="clear" w:color="auto" w:fill="E9E9E9"/>
          </w:tcPr>
          <w:p>
            <w:pPr>
              <w:pStyle w:val="TableParagraph"/>
              <w:spacing w:before="65"/>
              <w:ind w:right="74"/>
              <w:rPr>
                <w:sz w:val="16"/>
              </w:rPr>
            </w:pPr>
            <w:r>
              <w:rPr>
                <w:spacing w:val="4"/>
                <w:w w:val="54"/>
                <w:sz w:val="16"/>
              </w:rPr>
              <w:t>1</w:t>
            </w:r>
            <w:r>
              <w:rPr>
                <w:spacing w:val="3"/>
                <w:w w:val="68"/>
                <w:sz w:val="16"/>
              </w:rPr>
              <w:t>,</w:t>
            </w:r>
            <w:r>
              <w:rPr>
                <w:spacing w:val="3"/>
                <w:w w:val="101"/>
                <w:sz w:val="16"/>
              </w:rPr>
              <w:t>66</w:t>
            </w:r>
            <w:r>
              <w:rPr>
                <w:spacing w:val="4"/>
                <w:w w:val="101"/>
                <w:sz w:val="16"/>
              </w:rPr>
              <w:t>6</w:t>
            </w:r>
            <w:r>
              <w:rPr>
                <w:spacing w:val="6"/>
                <w:w w:val="68"/>
                <w:sz w:val="16"/>
              </w:rPr>
              <w:t>,</w:t>
            </w:r>
            <w:r>
              <w:rPr>
                <w:spacing w:val="5"/>
                <w:w w:val="93"/>
                <w:sz w:val="16"/>
              </w:rPr>
              <w:t>2</w:t>
            </w:r>
            <w:r>
              <w:rPr>
                <w:spacing w:val="2"/>
                <w:w w:val="93"/>
                <w:sz w:val="16"/>
              </w:rPr>
              <w:t>2</w:t>
            </w:r>
            <w:r>
              <w:rPr>
                <w:w w:val="111"/>
                <w:sz w:val="16"/>
              </w:rPr>
              <w:t>0</w:t>
            </w:r>
          </w:p>
        </w:tc>
      </w:tr>
    </w:tbl>
    <w:p>
      <w:pPr>
        <w:pStyle w:val="BodyText"/>
        <w:rPr>
          <w:sz w:val="20"/>
        </w:rPr>
      </w:pPr>
    </w:p>
    <w:p>
      <w:pPr>
        <w:pStyle w:val="BodyText"/>
        <w:rPr>
          <w:sz w:val="20"/>
        </w:rPr>
      </w:pPr>
    </w:p>
    <w:p>
      <w:pPr>
        <w:spacing w:after="0"/>
        <w:rPr>
          <w:sz w:val="20"/>
        </w:rPr>
        <w:sectPr>
          <w:pgSz w:w="11910" w:h="16840"/>
          <w:pgMar w:header="496" w:footer="472" w:top="680" w:bottom="660" w:left="580" w:right="580"/>
        </w:sectPr>
      </w:pPr>
    </w:p>
    <w:p>
      <w:pPr>
        <w:pStyle w:val="BodyText"/>
        <w:spacing w:before="9"/>
        <w:rPr>
          <w:sz w:val="18"/>
        </w:rPr>
      </w:pPr>
    </w:p>
    <w:p>
      <w:pPr>
        <w:pStyle w:val="BodyText"/>
        <w:spacing w:line="249" w:lineRule="auto"/>
        <w:ind w:left="327" w:right="125"/>
      </w:pPr>
      <w:r>
        <w:rPr/>
        <w:pict>
          <v:group style="position:absolute;margin-left:34.015999pt;margin-top:-194.695786pt;width:527.25pt;height:170.1pt;mso-position-horizontal-relative:page;mso-position-vertical-relative:paragraph;z-index:-335728" coordorigin="680,-3894" coordsize="10545,3402">
            <v:rect style="position:absolute;left:680;top:-3894;width:10545;height:3402" filled="true" fillcolor="#e9e9e9" stroked="false">
              <v:fill type="solid"/>
            </v:rect>
            <v:shape style="position:absolute;left:907;top:-3663;width:1769;height:240" type="#_x0000_t202" filled="false" stroked="false">
              <v:textbox inset="0,0,0,0">
                <w:txbxContent>
                  <w:p>
                    <w:pPr>
                      <w:spacing w:line="240" w:lineRule="exact" w:before="0"/>
                      <w:ind w:left="0" w:right="-18" w:firstLine="0"/>
                      <w:jc w:val="left"/>
                      <w:rPr>
                        <w:rFonts w:ascii="Gotham Narrow Bold"/>
                        <w:b/>
                        <w:sz w:val="24"/>
                      </w:rPr>
                    </w:pPr>
                    <w:r>
                      <w:rPr>
                        <w:rFonts w:ascii="Gotham Narrow Bold"/>
                        <w:b/>
                        <w:w w:val="95"/>
                        <w:sz w:val="24"/>
                      </w:rPr>
                      <w:t>RESEARCH </w:t>
                    </w:r>
                    <w:r>
                      <w:rPr>
                        <w:rFonts w:ascii="Gotham Narrow Bold"/>
                        <w:b/>
                        <w:spacing w:val="-17"/>
                        <w:w w:val="95"/>
                        <w:sz w:val="24"/>
                      </w:rPr>
                      <w:t>DATA</w:t>
                    </w:r>
                  </w:p>
                </w:txbxContent>
              </v:textbox>
              <w10:wrap type="none"/>
            </v:shape>
            <w10:wrap type="none"/>
          </v:group>
        </w:pict>
      </w:r>
      <w:r>
        <w:rPr/>
        <w:t>Dr Vahid Vakiloroaya’s invention to improve the energy efficiency of air conditioners won the Australian Technology of the Year Award in November. Dr Vakiloroaya was</w:t>
      </w:r>
    </w:p>
    <w:p>
      <w:pPr>
        <w:pStyle w:val="BodyText"/>
        <w:spacing w:line="249" w:lineRule="auto"/>
        <w:ind w:left="327" w:right="408"/>
      </w:pPr>
      <w:r>
        <w:rPr/>
        <w:t>a previous runner-up in the University’s Research Impact Competition.</w:t>
      </w:r>
    </w:p>
    <w:p>
      <w:pPr>
        <w:pStyle w:val="BodyText"/>
      </w:pPr>
    </w:p>
    <w:p>
      <w:pPr>
        <w:pStyle w:val="BodyText"/>
        <w:spacing w:before="1"/>
        <w:rPr>
          <w:sz w:val="13"/>
        </w:rPr>
      </w:pPr>
    </w:p>
    <w:p>
      <w:pPr>
        <w:pStyle w:val="Heading5"/>
        <w:spacing w:line="260" w:lineRule="exact"/>
        <w:ind w:left="327" w:right="790"/>
      </w:pPr>
      <w:bookmarkStart w:name="_TOC_250026" w:id="28"/>
      <w:r>
        <w:rPr/>
        <w:t>GRADUATE </w:t>
      </w:r>
      <w:bookmarkEnd w:id="28"/>
      <w:r>
        <w:rPr>
          <w:w w:val="95"/>
        </w:rPr>
        <w:t>RESEARCH SCHOOL</w:t>
      </w:r>
    </w:p>
    <w:p>
      <w:pPr>
        <w:pStyle w:val="Heading7"/>
        <w:spacing w:before="164"/>
        <w:ind w:left="327" w:right="125"/>
      </w:pPr>
      <w:r>
        <w:rPr/>
        <w:t>OVERVIEW</w:t>
      </w:r>
    </w:p>
    <w:p>
      <w:pPr>
        <w:pStyle w:val="BodyText"/>
        <w:spacing w:line="249" w:lineRule="auto" w:before="58"/>
        <w:ind w:left="327" w:right="122"/>
      </w:pPr>
      <w:r>
        <w:rPr>
          <w:w w:val="107"/>
        </w:rPr>
        <w:t>At </w:t>
      </w:r>
      <w:r>
        <w:rPr>
          <w:w w:val="97"/>
        </w:rPr>
        <w:t>the </w:t>
      </w:r>
      <w:r>
        <w:rPr>
          <w:w w:val="97"/>
        </w:rPr>
        <w:t>end </w:t>
      </w:r>
      <w:r>
        <w:rPr>
          <w:w w:val="99"/>
        </w:rPr>
        <w:t>of </w:t>
      </w:r>
      <w:r>
        <w:rPr>
          <w:w w:val="85"/>
        </w:rPr>
        <w:t>2016, </w:t>
      </w:r>
      <w:r>
        <w:rPr>
          <w:w w:val="97"/>
        </w:rPr>
        <w:t>the </w:t>
      </w:r>
      <w:r>
        <w:rPr>
          <w:w w:val="97"/>
        </w:rPr>
        <w:t>Graduate </w:t>
      </w:r>
      <w:r>
        <w:rPr>
          <w:w w:val="96"/>
        </w:rPr>
        <w:t>Research </w:t>
      </w:r>
      <w:r>
        <w:rPr/>
        <w:t>School (GRS) has been in operation for 18 months. The focus during this period has been on the reorganising and centralisation of the structure and administration of higher degree research (HDR) and on</w:t>
      </w:r>
    </w:p>
    <w:p>
      <w:pPr>
        <w:pStyle w:val="BodyText"/>
        <w:spacing w:line="249" w:lineRule="auto"/>
        <w:ind w:left="327" w:right="267"/>
      </w:pPr>
      <w:r>
        <w:rPr/>
        <w:t>the continued development and delivery of the Master of Research program.</w:t>
      </w:r>
    </w:p>
    <w:p>
      <w:pPr>
        <w:pStyle w:val="BodyText"/>
        <w:rPr>
          <w:sz w:val="14"/>
        </w:rPr>
      </w:pPr>
    </w:p>
    <w:p>
      <w:pPr>
        <w:pStyle w:val="BodyText"/>
        <w:spacing w:line="249" w:lineRule="auto"/>
        <w:ind w:left="327" w:right="-1"/>
      </w:pPr>
      <w:r>
        <w:rPr/>
        <w:t>The GRS continues to develop as the single point of contact for all </w:t>
      </w:r>
      <w:r>
        <w:rPr>
          <w:spacing w:val="2"/>
        </w:rPr>
        <w:t>HDR </w:t>
      </w:r>
      <w:r>
        <w:rPr/>
        <w:t>matters and training, ensuring increased quality and consistency of support for research students across Western Sydney University and strengthening the University’s support for its growing</w:t>
      </w:r>
      <w:r>
        <w:rPr>
          <w:spacing w:val="-21"/>
        </w:rPr>
        <w:t> </w:t>
      </w:r>
      <w:r>
        <w:rPr/>
        <w:t>international</w:t>
      </w:r>
      <w:r>
        <w:rPr>
          <w:spacing w:val="-21"/>
        </w:rPr>
        <w:t> </w:t>
      </w:r>
      <w:r>
        <w:rPr/>
        <w:t>research</w:t>
      </w:r>
      <w:r>
        <w:rPr>
          <w:spacing w:val="-21"/>
        </w:rPr>
        <w:t> </w:t>
      </w:r>
      <w:r>
        <w:rPr/>
        <w:t>student</w:t>
      </w:r>
      <w:r>
        <w:rPr>
          <w:spacing w:val="-21"/>
        </w:rPr>
        <w:t> </w:t>
      </w:r>
      <w:r>
        <w:rPr/>
        <w:t>cohort.</w:t>
      </w:r>
    </w:p>
    <w:p>
      <w:pPr>
        <w:pStyle w:val="BodyText"/>
        <w:spacing w:before="11"/>
        <w:rPr>
          <w:sz w:val="13"/>
        </w:rPr>
      </w:pPr>
    </w:p>
    <w:p>
      <w:pPr>
        <w:spacing w:line="244" w:lineRule="auto" w:before="0"/>
        <w:ind w:left="327" w:right="267" w:firstLine="0"/>
        <w:jc w:val="left"/>
        <w:rPr>
          <w:sz w:val="16"/>
        </w:rPr>
      </w:pPr>
      <w:r>
        <w:rPr>
          <w:sz w:val="16"/>
        </w:rPr>
        <w:t>In</w:t>
      </w:r>
      <w:r>
        <w:rPr>
          <w:spacing w:val="-33"/>
          <w:sz w:val="16"/>
        </w:rPr>
        <w:t> </w:t>
      </w:r>
      <w:r>
        <w:rPr>
          <w:sz w:val="16"/>
        </w:rPr>
        <w:t>alignment</w:t>
      </w:r>
      <w:r>
        <w:rPr>
          <w:spacing w:val="-33"/>
          <w:sz w:val="16"/>
        </w:rPr>
        <w:t> </w:t>
      </w:r>
      <w:r>
        <w:rPr>
          <w:sz w:val="16"/>
        </w:rPr>
        <w:t>with</w:t>
      </w:r>
      <w:r>
        <w:rPr>
          <w:spacing w:val="-33"/>
          <w:sz w:val="16"/>
        </w:rPr>
        <w:t> </w:t>
      </w:r>
      <w:r>
        <w:rPr>
          <w:sz w:val="16"/>
        </w:rPr>
        <w:t>the</w:t>
      </w:r>
      <w:r>
        <w:rPr>
          <w:spacing w:val="-33"/>
          <w:sz w:val="16"/>
        </w:rPr>
        <w:t> </w:t>
      </w:r>
      <w:r>
        <w:rPr>
          <w:sz w:val="16"/>
        </w:rPr>
        <w:t>University’s</w:t>
      </w:r>
      <w:r>
        <w:rPr>
          <w:spacing w:val="-33"/>
          <w:sz w:val="16"/>
        </w:rPr>
        <w:t> </w:t>
      </w:r>
      <w:r>
        <w:rPr>
          <w:rFonts w:ascii="Century Gothic" w:hAnsi="Century Gothic"/>
          <w:i/>
          <w:sz w:val="16"/>
        </w:rPr>
        <w:t>Securing </w:t>
      </w:r>
      <w:r>
        <w:rPr>
          <w:rFonts w:ascii="Century Gothic" w:hAnsi="Century Gothic"/>
          <w:i/>
          <w:spacing w:val="1"/>
          <w:w w:val="90"/>
          <w:sz w:val="16"/>
        </w:rPr>
        <w:t>Success</w:t>
      </w:r>
      <w:r>
        <w:rPr>
          <w:rFonts w:ascii="Century Gothic" w:hAnsi="Century Gothic"/>
          <w:i/>
          <w:w w:val="90"/>
          <w:sz w:val="16"/>
        </w:rPr>
        <w:t> </w:t>
      </w:r>
      <w:r>
        <w:rPr>
          <w:rFonts w:ascii="Century Gothic" w:hAnsi="Century Gothic"/>
          <w:i/>
          <w:spacing w:val="1"/>
          <w:w w:val="92"/>
          <w:sz w:val="16"/>
        </w:rPr>
        <w:t>2015–20</w:t>
      </w:r>
      <w:r>
        <w:rPr>
          <w:rFonts w:ascii="Century Gothic" w:hAnsi="Century Gothic"/>
          <w:i/>
          <w:w w:val="92"/>
          <w:sz w:val="16"/>
        </w:rPr>
        <w:t> </w:t>
      </w:r>
      <w:r>
        <w:rPr>
          <w:rFonts w:ascii="Century Gothic" w:hAnsi="Century Gothic"/>
          <w:i/>
          <w:w w:val="93"/>
          <w:sz w:val="16"/>
        </w:rPr>
        <w:t>Strategic </w:t>
      </w:r>
      <w:r>
        <w:rPr>
          <w:rFonts w:ascii="Century Gothic" w:hAnsi="Century Gothic"/>
          <w:i/>
          <w:w w:val="86"/>
          <w:sz w:val="16"/>
        </w:rPr>
        <w:t>Plan</w:t>
      </w:r>
      <w:r>
        <w:rPr>
          <w:w w:val="86"/>
          <w:sz w:val="16"/>
        </w:rPr>
        <w:t>, </w:t>
      </w:r>
      <w:r>
        <w:rPr>
          <w:w w:val="97"/>
          <w:sz w:val="16"/>
        </w:rPr>
        <w:t>the </w:t>
      </w:r>
      <w:r>
        <w:rPr>
          <w:spacing w:val="1"/>
          <w:w w:val="99"/>
          <w:sz w:val="16"/>
        </w:rPr>
        <w:t>GRS</w:t>
      </w:r>
      <w:r>
        <w:rPr>
          <w:w w:val="99"/>
          <w:sz w:val="16"/>
        </w:rPr>
        <w:t> </w:t>
      </w:r>
      <w:r>
        <w:rPr>
          <w:w w:val="98"/>
          <w:sz w:val="16"/>
        </w:rPr>
        <w:t>concentrated</w:t>
      </w:r>
      <w:r>
        <w:rPr>
          <w:spacing w:val="-8"/>
          <w:w w:val="98"/>
          <w:sz w:val="16"/>
        </w:rPr>
        <w:t> </w:t>
      </w:r>
      <w:r>
        <w:rPr>
          <w:spacing w:val="1"/>
          <w:w w:val="98"/>
          <w:sz w:val="16"/>
        </w:rPr>
        <w:t>on</w:t>
      </w:r>
      <w:r>
        <w:rPr>
          <w:spacing w:val="-8"/>
          <w:w w:val="98"/>
          <w:sz w:val="16"/>
        </w:rPr>
        <w:t> </w:t>
      </w:r>
      <w:r>
        <w:rPr>
          <w:w w:val="96"/>
          <w:sz w:val="16"/>
        </w:rPr>
        <w:t>six</w:t>
      </w:r>
      <w:r>
        <w:rPr>
          <w:spacing w:val="-7"/>
          <w:w w:val="96"/>
          <w:sz w:val="16"/>
        </w:rPr>
        <w:t> </w:t>
      </w:r>
      <w:r>
        <w:rPr>
          <w:spacing w:val="-1"/>
          <w:w w:val="98"/>
          <w:sz w:val="16"/>
        </w:rPr>
        <w:t>key</w:t>
      </w:r>
      <w:r>
        <w:rPr>
          <w:spacing w:val="-8"/>
          <w:w w:val="98"/>
          <w:sz w:val="16"/>
        </w:rPr>
        <w:t> </w:t>
      </w:r>
      <w:r>
        <w:rPr>
          <w:spacing w:val="1"/>
          <w:w w:val="97"/>
          <w:sz w:val="16"/>
        </w:rPr>
        <w:t>priorities</w:t>
      </w:r>
      <w:r>
        <w:rPr>
          <w:spacing w:val="-8"/>
          <w:w w:val="97"/>
          <w:sz w:val="16"/>
        </w:rPr>
        <w:t> </w:t>
      </w:r>
      <w:r>
        <w:rPr>
          <w:w w:val="95"/>
          <w:sz w:val="16"/>
        </w:rPr>
        <w:t>in</w:t>
      </w:r>
      <w:r>
        <w:rPr>
          <w:spacing w:val="-7"/>
          <w:w w:val="95"/>
          <w:sz w:val="16"/>
        </w:rPr>
        <w:t> </w:t>
      </w:r>
      <w:r>
        <w:rPr>
          <w:spacing w:val="1"/>
          <w:w w:val="84"/>
          <w:sz w:val="16"/>
        </w:rPr>
        <w:t>2016:</w:t>
      </w:r>
    </w:p>
    <w:p>
      <w:pPr>
        <w:pStyle w:val="ListParagraph"/>
        <w:numPr>
          <w:ilvl w:val="0"/>
          <w:numId w:val="2"/>
        </w:numPr>
        <w:tabs>
          <w:tab w:pos="526" w:val="left" w:leader="none"/>
        </w:tabs>
        <w:spacing w:line="249" w:lineRule="auto" w:before="59" w:after="0"/>
        <w:ind w:left="525" w:right="19" w:hanging="198"/>
        <w:jc w:val="left"/>
        <w:rPr>
          <w:sz w:val="16"/>
        </w:rPr>
      </w:pPr>
      <w:r>
        <w:rPr>
          <w:sz w:val="16"/>
        </w:rPr>
        <w:t>Being</w:t>
      </w:r>
      <w:r>
        <w:rPr>
          <w:spacing w:val="-12"/>
          <w:sz w:val="16"/>
        </w:rPr>
        <w:t> </w:t>
      </w:r>
      <w:r>
        <w:rPr>
          <w:sz w:val="16"/>
        </w:rPr>
        <w:t>a</w:t>
      </w:r>
      <w:r>
        <w:rPr>
          <w:spacing w:val="-12"/>
          <w:sz w:val="16"/>
        </w:rPr>
        <w:t> </w:t>
      </w:r>
      <w:r>
        <w:rPr>
          <w:sz w:val="16"/>
        </w:rPr>
        <w:t>student-centred</w:t>
      </w:r>
      <w:r>
        <w:rPr>
          <w:spacing w:val="-12"/>
          <w:sz w:val="16"/>
        </w:rPr>
        <w:t> </w:t>
      </w:r>
      <w:r>
        <w:rPr>
          <w:sz w:val="16"/>
        </w:rPr>
        <w:t>School</w:t>
      </w:r>
      <w:r>
        <w:rPr>
          <w:spacing w:val="-12"/>
          <w:sz w:val="16"/>
        </w:rPr>
        <w:t> </w:t>
      </w:r>
      <w:r>
        <w:rPr>
          <w:sz w:val="16"/>
        </w:rPr>
        <w:t>by</w:t>
      </w:r>
      <w:r>
        <w:rPr>
          <w:spacing w:val="-12"/>
          <w:sz w:val="16"/>
        </w:rPr>
        <w:t> </w:t>
      </w:r>
      <w:r>
        <w:rPr>
          <w:sz w:val="16"/>
        </w:rPr>
        <w:t>building a whole-of-student-journey approach, ensuring a smooth and rewarding journey for the student from their first interaction with</w:t>
      </w:r>
      <w:r>
        <w:rPr>
          <w:spacing w:val="-16"/>
          <w:sz w:val="16"/>
        </w:rPr>
        <w:t> </w:t>
      </w:r>
      <w:r>
        <w:rPr>
          <w:sz w:val="16"/>
        </w:rPr>
        <w:t>the</w:t>
      </w:r>
      <w:r>
        <w:rPr>
          <w:spacing w:val="-16"/>
          <w:sz w:val="16"/>
        </w:rPr>
        <w:t> </w:t>
      </w:r>
      <w:r>
        <w:rPr>
          <w:sz w:val="16"/>
        </w:rPr>
        <w:t>University</w:t>
      </w:r>
      <w:r>
        <w:rPr>
          <w:spacing w:val="-16"/>
          <w:sz w:val="16"/>
        </w:rPr>
        <w:t> </w:t>
      </w:r>
      <w:r>
        <w:rPr>
          <w:sz w:val="16"/>
        </w:rPr>
        <w:t>to</w:t>
      </w:r>
      <w:r>
        <w:rPr>
          <w:spacing w:val="-16"/>
          <w:sz w:val="16"/>
        </w:rPr>
        <w:t> </w:t>
      </w:r>
      <w:r>
        <w:rPr>
          <w:sz w:val="16"/>
        </w:rPr>
        <w:t>their</w:t>
      </w:r>
      <w:r>
        <w:rPr>
          <w:spacing w:val="-16"/>
          <w:sz w:val="16"/>
        </w:rPr>
        <w:t> </w:t>
      </w:r>
      <w:r>
        <w:rPr>
          <w:sz w:val="16"/>
        </w:rPr>
        <w:t>graduation</w:t>
      </w:r>
    </w:p>
    <w:p>
      <w:pPr>
        <w:pStyle w:val="ListParagraph"/>
        <w:numPr>
          <w:ilvl w:val="0"/>
          <w:numId w:val="2"/>
        </w:numPr>
        <w:tabs>
          <w:tab w:pos="526" w:val="left" w:leader="none"/>
        </w:tabs>
        <w:spacing w:line="249" w:lineRule="auto" w:before="55" w:after="0"/>
        <w:ind w:left="525" w:right="742" w:hanging="198"/>
        <w:jc w:val="left"/>
        <w:rPr>
          <w:sz w:val="16"/>
        </w:rPr>
      </w:pPr>
      <w:r>
        <w:rPr>
          <w:sz w:val="16"/>
        </w:rPr>
        <w:t>Meeting</w:t>
      </w:r>
      <w:r>
        <w:rPr>
          <w:spacing w:val="-18"/>
          <w:sz w:val="16"/>
        </w:rPr>
        <w:t> </w:t>
      </w:r>
      <w:r>
        <w:rPr>
          <w:sz w:val="16"/>
        </w:rPr>
        <w:t>all</w:t>
      </w:r>
      <w:r>
        <w:rPr>
          <w:spacing w:val="-18"/>
          <w:sz w:val="16"/>
        </w:rPr>
        <w:t> </w:t>
      </w:r>
      <w:r>
        <w:rPr>
          <w:sz w:val="16"/>
        </w:rPr>
        <w:t>the</w:t>
      </w:r>
      <w:r>
        <w:rPr>
          <w:spacing w:val="-18"/>
          <w:sz w:val="16"/>
        </w:rPr>
        <w:t> </w:t>
      </w:r>
      <w:r>
        <w:rPr>
          <w:sz w:val="16"/>
        </w:rPr>
        <w:t>requirements</w:t>
      </w:r>
      <w:r>
        <w:rPr>
          <w:spacing w:val="-18"/>
          <w:sz w:val="16"/>
        </w:rPr>
        <w:t> </w:t>
      </w:r>
      <w:r>
        <w:rPr>
          <w:sz w:val="16"/>
        </w:rPr>
        <w:t>of</w:t>
      </w:r>
      <w:r>
        <w:rPr>
          <w:spacing w:val="-18"/>
          <w:sz w:val="16"/>
        </w:rPr>
        <w:t> </w:t>
      </w:r>
      <w:r>
        <w:rPr>
          <w:sz w:val="16"/>
        </w:rPr>
        <w:t>a changing regulatory</w:t>
      </w:r>
      <w:r>
        <w:rPr>
          <w:spacing w:val="-31"/>
          <w:sz w:val="16"/>
        </w:rPr>
        <w:t> </w:t>
      </w:r>
      <w:r>
        <w:rPr>
          <w:sz w:val="16"/>
        </w:rPr>
        <w:t>framework</w:t>
      </w:r>
    </w:p>
    <w:p>
      <w:pPr>
        <w:pStyle w:val="ListParagraph"/>
        <w:numPr>
          <w:ilvl w:val="0"/>
          <w:numId w:val="2"/>
        </w:numPr>
        <w:tabs>
          <w:tab w:pos="526" w:val="left" w:leader="none"/>
        </w:tabs>
        <w:spacing w:line="249" w:lineRule="auto" w:before="55" w:after="0"/>
        <w:ind w:left="525" w:right="359" w:hanging="198"/>
        <w:jc w:val="left"/>
        <w:rPr>
          <w:sz w:val="16"/>
        </w:rPr>
      </w:pPr>
      <w:r>
        <w:rPr>
          <w:sz w:val="16"/>
        </w:rPr>
        <w:t>Re-framing the PhD to respond to changing employment conditions including the increasing demand for research</w:t>
      </w:r>
      <w:r>
        <w:rPr>
          <w:spacing w:val="-18"/>
          <w:sz w:val="16"/>
        </w:rPr>
        <w:t> </w:t>
      </w:r>
      <w:r>
        <w:rPr>
          <w:sz w:val="16"/>
        </w:rPr>
        <w:t>degrees</w:t>
      </w:r>
      <w:r>
        <w:rPr>
          <w:spacing w:val="-18"/>
          <w:sz w:val="16"/>
        </w:rPr>
        <w:t> </w:t>
      </w:r>
      <w:r>
        <w:rPr>
          <w:sz w:val="16"/>
        </w:rPr>
        <w:t>within</w:t>
      </w:r>
      <w:r>
        <w:rPr>
          <w:spacing w:val="-18"/>
          <w:sz w:val="16"/>
        </w:rPr>
        <w:t> </w:t>
      </w:r>
      <w:r>
        <w:rPr>
          <w:sz w:val="16"/>
        </w:rPr>
        <w:t>the</w:t>
      </w:r>
      <w:r>
        <w:rPr>
          <w:spacing w:val="-18"/>
          <w:sz w:val="16"/>
        </w:rPr>
        <w:t> </w:t>
      </w:r>
      <w:r>
        <w:rPr>
          <w:sz w:val="16"/>
        </w:rPr>
        <w:t>workforce</w:t>
      </w:r>
    </w:p>
    <w:p>
      <w:pPr>
        <w:pStyle w:val="ListParagraph"/>
        <w:numPr>
          <w:ilvl w:val="0"/>
          <w:numId w:val="2"/>
        </w:numPr>
        <w:tabs>
          <w:tab w:pos="526" w:val="left" w:leader="none"/>
        </w:tabs>
        <w:spacing w:line="249" w:lineRule="auto" w:before="55" w:after="0"/>
        <w:ind w:left="525" w:right="680" w:hanging="198"/>
        <w:jc w:val="left"/>
        <w:rPr>
          <w:sz w:val="16"/>
        </w:rPr>
      </w:pPr>
      <w:r>
        <w:rPr>
          <w:sz w:val="16"/>
        </w:rPr>
        <w:t>Continuing</w:t>
      </w:r>
      <w:r>
        <w:rPr>
          <w:spacing w:val="-14"/>
          <w:sz w:val="16"/>
        </w:rPr>
        <w:t> </w:t>
      </w:r>
      <w:r>
        <w:rPr>
          <w:sz w:val="16"/>
        </w:rPr>
        <w:t>to</w:t>
      </w:r>
      <w:r>
        <w:rPr>
          <w:spacing w:val="-14"/>
          <w:sz w:val="16"/>
        </w:rPr>
        <w:t> </w:t>
      </w:r>
      <w:r>
        <w:rPr>
          <w:sz w:val="16"/>
        </w:rPr>
        <w:t>deliver</w:t>
      </w:r>
      <w:r>
        <w:rPr>
          <w:spacing w:val="-14"/>
          <w:sz w:val="16"/>
        </w:rPr>
        <w:t> </w:t>
      </w:r>
      <w:r>
        <w:rPr>
          <w:sz w:val="16"/>
        </w:rPr>
        <w:t>and</w:t>
      </w:r>
      <w:r>
        <w:rPr>
          <w:spacing w:val="-14"/>
          <w:sz w:val="16"/>
        </w:rPr>
        <w:t> </w:t>
      </w:r>
      <w:r>
        <w:rPr>
          <w:sz w:val="16"/>
        </w:rPr>
        <w:t>develop the</w:t>
      </w:r>
      <w:r>
        <w:rPr>
          <w:spacing w:val="-17"/>
          <w:sz w:val="16"/>
        </w:rPr>
        <w:t> </w:t>
      </w:r>
      <w:r>
        <w:rPr>
          <w:sz w:val="16"/>
        </w:rPr>
        <w:t>Master</w:t>
      </w:r>
      <w:r>
        <w:rPr>
          <w:spacing w:val="-17"/>
          <w:sz w:val="16"/>
        </w:rPr>
        <w:t> </w:t>
      </w:r>
      <w:r>
        <w:rPr>
          <w:sz w:val="16"/>
        </w:rPr>
        <w:t>of</w:t>
      </w:r>
      <w:r>
        <w:rPr>
          <w:spacing w:val="-17"/>
          <w:sz w:val="16"/>
        </w:rPr>
        <w:t> </w:t>
      </w:r>
      <w:r>
        <w:rPr>
          <w:sz w:val="16"/>
        </w:rPr>
        <w:t>Research</w:t>
      </w:r>
      <w:r>
        <w:rPr>
          <w:spacing w:val="-17"/>
          <w:sz w:val="16"/>
        </w:rPr>
        <w:t> </w:t>
      </w:r>
      <w:r>
        <w:rPr>
          <w:sz w:val="16"/>
        </w:rPr>
        <w:t>program</w:t>
      </w:r>
    </w:p>
    <w:p>
      <w:pPr>
        <w:pStyle w:val="ListParagraph"/>
        <w:numPr>
          <w:ilvl w:val="0"/>
          <w:numId w:val="2"/>
        </w:numPr>
        <w:tabs>
          <w:tab w:pos="526" w:val="left" w:leader="none"/>
        </w:tabs>
        <w:spacing w:line="249" w:lineRule="auto" w:before="55" w:after="0"/>
        <w:ind w:left="525" w:right="486" w:hanging="198"/>
        <w:jc w:val="left"/>
        <w:rPr>
          <w:sz w:val="16"/>
        </w:rPr>
      </w:pPr>
      <w:r>
        <w:rPr>
          <w:sz w:val="16"/>
        </w:rPr>
        <w:t>Continuing</w:t>
      </w:r>
      <w:r>
        <w:rPr>
          <w:spacing w:val="-13"/>
          <w:sz w:val="16"/>
        </w:rPr>
        <w:t> </w:t>
      </w:r>
      <w:r>
        <w:rPr>
          <w:sz w:val="16"/>
        </w:rPr>
        <w:t>to</w:t>
      </w:r>
      <w:r>
        <w:rPr>
          <w:spacing w:val="-13"/>
          <w:sz w:val="16"/>
        </w:rPr>
        <w:t> </w:t>
      </w:r>
      <w:r>
        <w:rPr>
          <w:sz w:val="16"/>
        </w:rPr>
        <w:t>develop</w:t>
      </w:r>
      <w:r>
        <w:rPr>
          <w:spacing w:val="-13"/>
          <w:sz w:val="16"/>
        </w:rPr>
        <w:t> </w:t>
      </w:r>
      <w:r>
        <w:rPr>
          <w:sz w:val="16"/>
        </w:rPr>
        <w:t>voluntary</w:t>
      </w:r>
      <w:r>
        <w:rPr>
          <w:spacing w:val="-13"/>
          <w:sz w:val="16"/>
        </w:rPr>
        <w:t> </w:t>
      </w:r>
      <w:r>
        <w:rPr>
          <w:sz w:val="16"/>
        </w:rPr>
        <w:t>and credentialed training programs for </w:t>
      </w:r>
      <w:r>
        <w:rPr>
          <w:spacing w:val="2"/>
          <w:sz w:val="16"/>
        </w:rPr>
        <w:t>HDR</w:t>
      </w:r>
      <w:r>
        <w:rPr>
          <w:spacing w:val="-16"/>
          <w:sz w:val="16"/>
        </w:rPr>
        <w:t> </w:t>
      </w:r>
      <w:r>
        <w:rPr>
          <w:sz w:val="16"/>
        </w:rPr>
        <w:t>candidates</w:t>
      </w:r>
      <w:r>
        <w:rPr>
          <w:spacing w:val="-16"/>
          <w:sz w:val="16"/>
        </w:rPr>
        <w:t> </w:t>
      </w:r>
      <w:r>
        <w:rPr>
          <w:sz w:val="16"/>
        </w:rPr>
        <w:t>and</w:t>
      </w:r>
      <w:r>
        <w:rPr>
          <w:spacing w:val="-16"/>
          <w:sz w:val="16"/>
        </w:rPr>
        <w:t> </w:t>
      </w:r>
      <w:r>
        <w:rPr>
          <w:sz w:val="16"/>
        </w:rPr>
        <w:t>supervisors</w:t>
      </w:r>
    </w:p>
    <w:p>
      <w:pPr>
        <w:pStyle w:val="ListParagraph"/>
        <w:numPr>
          <w:ilvl w:val="0"/>
          <w:numId w:val="2"/>
        </w:numPr>
        <w:tabs>
          <w:tab w:pos="526" w:val="left" w:leader="none"/>
        </w:tabs>
        <w:spacing w:line="240" w:lineRule="auto" w:before="55" w:after="0"/>
        <w:ind w:left="525" w:right="0" w:hanging="198"/>
        <w:jc w:val="left"/>
        <w:rPr>
          <w:sz w:val="16"/>
        </w:rPr>
      </w:pPr>
      <w:r>
        <w:rPr>
          <w:sz w:val="16"/>
        </w:rPr>
        <w:t>Supervisor</w:t>
      </w:r>
      <w:r>
        <w:rPr>
          <w:spacing w:val="-11"/>
          <w:sz w:val="16"/>
        </w:rPr>
        <w:t> </w:t>
      </w:r>
      <w:r>
        <w:rPr>
          <w:sz w:val="16"/>
        </w:rPr>
        <w:t>development</w:t>
      </w:r>
    </w:p>
    <w:p>
      <w:pPr>
        <w:pStyle w:val="BodyText"/>
        <w:spacing w:before="3"/>
        <w:rPr>
          <w:sz w:val="19"/>
        </w:rPr>
      </w:pPr>
      <w:r>
        <w:rPr/>
        <w:br w:type="column"/>
      </w:r>
      <w:r>
        <w:rPr>
          <w:sz w:val="19"/>
        </w:rPr>
      </w:r>
    </w:p>
    <w:p>
      <w:pPr>
        <w:pStyle w:val="Heading7"/>
        <w:ind w:left="189" w:right="-11"/>
      </w:pPr>
      <w:r>
        <w:rPr>
          <w:w w:val="95"/>
        </w:rPr>
        <w:t>GRS LEADERSHIP AND GROWTH</w:t>
      </w:r>
    </w:p>
    <w:p>
      <w:pPr>
        <w:pStyle w:val="BodyText"/>
        <w:spacing w:line="249" w:lineRule="auto" w:before="58"/>
        <w:ind w:left="189" w:right="-11"/>
      </w:pPr>
      <w:r>
        <w:rPr/>
        <w:t>The GRS is led by the Dean of Graduate Studies, Professor James Arvanitakis.</w:t>
      </w:r>
    </w:p>
    <w:p>
      <w:pPr>
        <w:pStyle w:val="BodyText"/>
        <w:rPr>
          <w:sz w:val="14"/>
        </w:rPr>
      </w:pPr>
    </w:p>
    <w:p>
      <w:pPr>
        <w:pStyle w:val="BodyText"/>
        <w:spacing w:line="249" w:lineRule="auto"/>
        <w:ind w:left="189" w:right="-11"/>
      </w:pPr>
      <w:r>
        <w:rPr/>
        <w:t>Professor</w:t>
      </w:r>
      <w:r>
        <w:rPr>
          <w:spacing w:val="-13"/>
        </w:rPr>
        <w:t> </w:t>
      </w:r>
      <w:r>
        <w:rPr/>
        <w:t>Arvanitakis</w:t>
      </w:r>
      <w:r>
        <w:rPr>
          <w:spacing w:val="-13"/>
        </w:rPr>
        <w:t> </w:t>
      </w:r>
      <w:r>
        <w:rPr/>
        <w:t>leads</w:t>
      </w:r>
      <w:r>
        <w:rPr>
          <w:spacing w:val="-13"/>
        </w:rPr>
        <w:t> </w:t>
      </w:r>
      <w:r>
        <w:rPr/>
        <w:t>a</w:t>
      </w:r>
      <w:r>
        <w:rPr>
          <w:spacing w:val="-13"/>
        </w:rPr>
        <w:t> </w:t>
      </w:r>
      <w:r>
        <w:rPr/>
        <w:t>team</w:t>
      </w:r>
      <w:r>
        <w:rPr>
          <w:spacing w:val="-13"/>
        </w:rPr>
        <w:t> </w:t>
      </w:r>
      <w:r>
        <w:rPr/>
        <w:t>focused</w:t>
      </w:r>
      <w:r>
        <w:rPr>
          <w:spacing w:val="-13"/>
        </w:rPr>
        <w:t> </w:t>
      </w:r>
      <w:r>
        <w:rPr/>
        <w:t>on </w:t>
      </w:r>
      <w:r>
        <w:rPr>
          <w:spacing w:val="2"/>
        </w:rPr>
        <w:t>HDR </w:t>
      </w:r>
      <w:r>
        <w:rPr/>
        <w:t>candidature management, scholarships, </w:t>
      </w:r>
      <w:r>
        <w:rPr>
          <w:spacing w:val="2"/>
        </w:rPr>
        <w:t>HDR </w:t>
      </w:r>
      <w:r>
        <w:rPr/>
        <w:t>relationship management and engagement, as well as a strong academic and educational team who continue to develop and deliver the Master of Research program as well as providing </w:t>
      </w:r>
      <w:r>
        <w:rPr>
          <w:spacing w:val="2"/>
        </w:rPr>
        <w:t>HDR </w:t>
      </w:r>
      <w:r>
        <w:rPr/>
        <w:t>academic literacy</w:t>
      </w:r>
      <w:r>
        <w:rPr>
          <w:spacing w:val="-12"/>
        </w:rPr>
        <w:t> </w:t>
      </w:r>
      <w:r>
        <w:rPr/>
        <w:t>support</w:t>
      </w:r>
      <w:r>
        <w:rPr>
          <w:spacing w:val="-12"/>
        </w:rPr>
        <w:t> </w:t>
      </w:r>
      <w:r>
        <w:rPr/>
        <w:t>and</w:t>
      </w:r>
      <w:r>
        <w:rPr>
          <w:spacing w:val="-12"/>
        </w:rPr>
        <w:t> </w:t>
      </w:r>
      <w:r>
        <w:rPr/>
        <w:t>blended</w:t>
      </w:r>
      <w:r>
        <w:rPr>
          <w:spacing w:val="-12"/>
        </w:rPr>
        <w:t> </w:t>
      </w:r>
      <w:r>
        <w:rPr/>
        <w:t>learning</w:t>
      </w:r>
    </w:p>
    <w:p>
      <w:pPr>
        <w:pStyle w:val="BodyText"/>
        <w:spacing w:line="249" w:lineRule="auto"/>
        <w:ind w:left="189" w:right="319"/>
        <w:jc w:val="both"/>
      </w:pPr>
      <w:r>
        <w:rPr/>
        <w:t>options</w:t>
      </w:r>
      <w:r>
        <w:rPr>
          <w:spacing w:val="-14"/>
        </w:rPr>
        <w:t> </w:t>
      </w:r>
      <w:r>
        <w:rPr/>
        <w:t>and</w:t>
      </w:r>
      <w:r>
        <w:rPr>
          <w:spacing w:val="-14"/>
        </w:rPr>
        <w:t> </w:t>
      </w:r>
      <w:r>
        <w:rPr/>
        <w:t>curriculum</w:t>
      </w:r>
      <w:r>
        <w:rPr>
          <w:spacing w:val="-14"/>
        </w:rPr>
        <w:t> </w:t>
      </w:r>
      <w:r>
        <w:rPr/>
        <w:t>development</w:t>
      </w:r>
      <w:r>
        <w:rPr>
          <w:spacing w:val="-14"/>
        </w:rPr>
        <w:t> </w:t>
      </w:r>
      <w:r>
        <w:rPr/>
        <w:t>and a</w:t>
      </w:r>
      <w:r>
        <w:rPr>
          <w:spacing w:val="-16"/>
        </w:rPr>
        <w:t> </w:t>
      </w:r>
      <w:r>
        <w:rPr/>
        <w:t>series</w:t>
      </w:r>
      <w:r>
        <w:rPr>
          <w:spacing w:val="-16"/>
        </w:rPr>
        <w:t> </w:t>
      </w:r>
      <w:r>
        <w:rPr/>
        <w:t>of</w:t>
      </w:r>
      <w:r>
        <w:rPr>
          <w:spacing w:val="-16"/>
        </w:rPr>
        <w:t> </w:t>
      </w:r>
      <w:r>
        <w:rPr/>
        <w:t>workshops</w:t>
      </w:r>
      <w:r>
        <w:rPr>
          <w:spacing w:val="-16"/>
        </w:rPr>
        <w:t> </w:t>
      </w:r>
      <w:r>
        <w:rPr/>
        <w:t>for</w:t>
      </w:r>
      <w:r>
        <w:rPr>
          <w:spacing w:val="-16"/>
        </w:rPr>
        <w:t> </w:t>
      </w:r>
      <w:r>
        <w:rPr>
          <w:spacing w:val="2"/>
        </w:rPr>
        <w:t>HDR</w:t>
      </w:r>
      <w:r>
        <w:rPr>
          <w:spacing w:val="-16"/>
        </w:rPr>
        <w:t> </w:t>
      </w:r>
      <w:r>
        <w:rPr/>
        <w:t>candidates and</w:t>
      </w:r>
      <w:r>
        <w:rPr>
          <w:spacing w:val="-21"/>
        </w:rPr>
        <w:t> </w:t>
      </w:r>
      <w:r>
        <w:rPr/>
        <w:t>as</w:t>
      </w:r>
      <w:r>
        <w:rPr>
          <w:spacing w:val="-21"/>
        </w:rPr>
        <w:t> </w:t>
      </w:r>
      <w:r>
        <w:rPr/>
        <w:t>supervision</w:t>
      </w:r>
      <w:r>
        <w:rPr>
          <w:spacing w:val="-21"/>
        </w:rPr>
        <w:t> </w:t>
      </w:r>
      <w:r>
        <w:rPr/>
        <w:t>development.</w:t>
      </w:r>
    </w:p>
    <w:p>
      <w:pPr>
        <w:pStyle w:val="BodyText"/>
        <w:rPr>
          <w:sz w:val="14"/>
        </w:rPr>
      </w:pPr>
    </w:p>
    <w:p>
      <w:pPr>
        <w:pStyle w:val="BodyText"/>
        <w:spacing w:line="249" w:lineRule="auto"/>
        <w:ind w:left="189" w:right="5"/>
      </w:pPr>
      <w:r>
        <w:rPr/>
        <w:t>The Dean’s dynamic leadership continues to be instrumental in proactively promoting the University’s research excellence and growing its profile and appeal to potential students. Our HDR students play a valuable part in building and ensuring the ongoing vibrancy of the research culture across the University.</w:t>
      </w:r>
    </w:p>
    <w:p>
      <w:pPr>
        <w:pStyle w:val="BodyText"/>
        <w:rPr>
          <w:sz w:val="14"/>
        </w:rPr>
      </w:pPr>
    </w:p>
    <w:p>
      <w:pPr>
        <w:pStyle w:val="BodyText"/>
        <w:spacing w:line="249" w:lineRule="auto"/>
        <w:ind w:left="189" w:right="191"/>
      </w:pPr>
      <w:r>
        <w:rPr/>
        <w:t>The GRS has been well received by </w:t>
      </w:r>
      <w:r>
        <w:rPr>
          <w:spacing w:val="2"/>
        </w:rPr>
        <w:t>HDR </w:t>
      </w:r>
      <w:r>
        <w:rPr/>
        <w:t>students, as evidenced by the feedback the</w:t>
      </w:r>
      <w:r>
        <w:rPr>
          <w:spacing w:val="-13"/>
        </w:rPr>
        <w:t> </w:t>
      </w:r>
      <w:r>
        <w:rPr/>
        <w:t>GRS</w:t>
      </w:r>
      <w:r>
        <w:rPr>
          <w:spacing w:val="-13"/>
        </w:rPr>
        <w:t> </w:t>
      </w:r>
      <w:r>
        <w:rPr/>
        <w:t>proactively</w:t>
      </w:r>
      <w:r>
        <w:rPr>
          <w:spacing w:val="-13"/>
        </w:rPr>
        <w:t> </w:t>
      </w:r>
      <w:r>
        <w:rPr/>
        <w:t>seeks</w:t>
      </w:r>
      <w:r>
        <w:rPr>
          <w:spacing w:val="-13"/>
        </w:rPr>
        <w:t> </w:t>
      </w:r>
      <w:r>
        <w:rPr/>
        <w:t>from</w:t>
      </w:r>
      <w:r>
        <w:rPr>
          <w:spacing w:val="-13"/>
        </w:rPr>
        <w:t> </w:t>
      </w:r>
      <w:r>
        <w:rPr/>
        <w:t>students</w:t>
      </w:r>
      <w:r>
        <w:rPr>
          <w:spacing w:val="-13"/>
        </w:rPr>
        <w:t> </w:t>
      </w:r>
      <w:r>
        <w:rPr/>
        <w:t>to </w:t>
      </w:r>
      <w:r>
        <w:rPr>
          <w:spacing w:val="2"/>
        </w:rPr>
        <w:t>assess</w:t>
      </w:r>
      <w:r>
        <w:rPr>
          <w:spacing w:val="-21"/>
        </w:rPr>
        <w:t> </w:t>
      </w:r>
      <w:r>
        <w:rPr/>
        <w:t>its</w:t>
      </w:r>
      <w:r>
        <w:rPr>
          <w:spacing w:val="-21"/>
        </w:rPr>
        <w:t> </w:t>
      </w:r>
      <w:r>
        <w:rPr/>
        <w:t>performance</w:t>
      </w:r>
      <w:r>
        <w:rPr>
          <w:spacing w:val="-21"/>
        </w:rPr>
        <w:t> </w:t>
      </w:r>
      <w:r>
        <w:rPr/>
        <w:t>and</w:t>
      </w:r>
      <w:r>
        <w:rPr>
          <w:spacing w:val="-21"/>
        </w:rPr>
        <w:t> </w:t>
      </w:r>
      <w:r>
        <w:rPr/>
        <w:t>contributions.</w:t>
      </w:r>
    </w:p>
    <w:p>
      <w:pPr>
        <w:pStyle w:val="BodyText"/>
        <w:spacing w:line="249" w:lineRule="auto"/>
        <w:ind w:left="189" w:right="230"/>
      </w:pPr>
      <w:r>
        <w:rPr/>
        <w:t>In particular, the support the School offers through the Master of Research core units and writing support initiatives continue to garner highly positive student feedback via Student Feedback on Units (SFUs), survey responses and emails.</w:t>
      </w:r>
    </w:p>
    <w:p>
      <w:pPr>
        <w:pStyle w:val="BodyText"/>
        <w:rPr>
          <w:sz w:val="14"/>
        </w:rPr>
      </w:pPr>
    </w:p>
    <w:p>
      <w:pPr>
        <w:pStyle w:val="BodyText"/>
        <w:spacing w:line="249" w:lineRule="auto"/>
        <w:ind w:left="189" w:right="-1"/>
      </w:pPr>
      <w:r>
        <w:rPr/>
        <w:t>The</w:t>
      </w:r>
      <w:r>
        <w:rPr>
          <w:spacing w:val="-17"/>
        </w:rPr>
        <w:t> </w:t>
      </w:r>
      <w:r>
        <w:rPr/>
        <w:t>GRS</w:t>
      </w:r>
      <w:r>
        <w:rPr>
          <w:spacing w:val="-17"/>
        </w:rPr>
        <w:t> </w:t>
      </w:r>
      <w:r>
        <w:rPr/>
        <w:t>continues</w:t>
      </w:r>
      <w:r>
        <w:rPr>
          <w:spacing w:val="-17"/>
        </w:rPr>
        <w:t> </w:t>
      </w:r>
      <w:r>
        <w:rPr/>
        <w:t>to</w:t>
      </w:r>
      <w:r>
        <w:rPr>
          <w:spacing w:val="-17"/>
        </w:rPr>
        <w:t> </w:t>
      </w:r>
      <w:r>
        <w:rPr/>
        <w:t>thrive</w:t>
      </w:r>
      <w:r>
        <w:rPr>
          <w:spacing w:val="-17"/>
        </w:rPr>
        <w:t> </w:t>
      </w:r>
      <w:r>
        <w:rPr/>
        <w:t>and</w:t>
      </w:r>
      <w:r>
        <w:rPr>
          <w:spacing w:val="-17"/>
        </w:rPr>
        <w:t> </w:t>
      </w:r>
      <w:r>
        <w:rPr/>
        <w:t>to</w:t>
      </w:r>
      <w:r>
        <w:rPr>
          <w:spacing w:val="-17"/>
        </w:rPr>
        <w:t> </w:t>
      </w:r>
      <w:r>
        <w:rPr/>
        <w:t>strengthen its</w:t>
      </w:r>
      <w:r>
        <w:rPr>
          <w:spacing w:val="-17"/>
        </w:rPr>
        <w:t> </w:t>
      </w:r>
      <w:r>
        <w:rPr/>
        <w:t>commitment</w:t>
      </w:r>
      <w:r>
        <w:rPr>
          <w:spacing w:val="-17"/>
        </w:rPr>
        <w:t> </w:t>
      </w:r>
      <w:r>
        <w:rPr/>
        <w:t>to</w:t>
      </w:r>
      <w:r>
        <w:rPr>
          <w:spacing w:val="-17"/>
        </w:rPr>
        <w:t> </w:t>
      </w:r>
      <w:r>
        <w:rPr/>
        <w:t>delivering</w:t>
      </w:r>
      <w:r>
        <w:rPr>
          <w:spacing w:val="-17"/>
        </w:rPr>
        <w:t> </w:t>
      </w:r>
      <w:r>
        <w:rPr/>
        <w:t>excellence</w:t>
      </w:r>
      <w:r>
        <w:rPr>
          <w:spacing w:val="-17"/>
        </w:rPr>
        <w:t> </w:t>
      </w:r>
      <w:r>
        <w:rPr/>
        <w:t>in</w:t>
      </w:r>
    </w:p>
    <w:p>
      <w:pPr>
        <w:pStyle w:val="BodyText"/>
        <w:spacing w:line="249" w:lineRule="auto"/>
        <w:ind w:left="189" w:right="113"/>
      </w:pPr>
      <w:r>
        <w:rPr/>
        <w:t>all its interactions with </w:t>
      </w:r>
      <w:r>
        <w:rPr>
          <w:spacing w:val="2"/>
        </w:rPr>
        <w:t>HDR </w:t>
      </w:r>
      <w:r>
        <w:rPr/>
        <w:t>students. With this in mind, a number of new initiatives </w:t>
      </w:r>
      <w:r>
        <w:rPr>
          <w:w w:val="97"/>
        </w:rPr>
        <w:t>were </w:t>
      </w:r>
      <w:r>
        <w:rPr>
          <w:w w:val="98"/>
        </w:rPr>
        <w:t>introduced </w:t>
      </w:r>
      <w:r>
        <w:rPr>
          <w:w w:val="95"/>
        </w:rPr>
        <w:t>in </w:t>
      </w:r>
      <w:r>
        <w:rPr>
          <w:spacing w:val="1"/>
          <w:w w:val="90"/>
        </w:rPr>
        <w:t>2016</w:t>
      </w:r>
      <w:r>
        <w:rPr>
          <w:w w:val="90"/>
        </w:rPr>
        <w:t> </w:t>
      </w:r>
      <w:r>
        <w:rPr>
          <w:spacing w:val="1"/>
          <w:w w:val="97"/>
        </w:rPr>
        <w:t>and</w:t>
      </w:r>
      <w:r>
        <w:rPr>
          <w:w w:val="97"/>
        </w:rPr>
        <w:t> </w:t>
      </w:r>
      <w:r>
        <w:rPr>
          <w:spacing w:val="1"/>
          <w:w w:val="97"/>
        </w:rPr>
        <w:t>others</w:t>
      </w:r>
      <w:r>
        <w:rPr>
          <w:w w:val="97"/>
        </w:rPr>
        <w:t> </w:t>
      </w:r>
      <w:r>
        <w:rPr>
          <w:w w:val="97"/>
        </w:rPr>
        <w:t>were </w:t>
      </w:r>
      <w:r>
        <w:rPr/>
        <w:t>strengthened to further enhance students’ progression</w:t>
      </w:r>
      <w:r>
        <w:rPr>
          <w:spacing w:val="-29"/>
        </w:rPr>
        <w:t> </w:t>
      </w:r>
      <w:r>
        <w:rPr/>
        <w:t>through</w:t>
      </w:r>
      <w:r>
        <w:rPr>
          <w:spacing w:val="-29"/>
        </w:rPr>
        <w:t> </w:t>
      </w:r>
      <w:r>
        <w:rPr/>
        <w:t>their</w:t>
      </w:r>
      <w:r>
        <w:rPr>
          <w:spacing w:val="-29"/>
        </w:rPr>
        <w:t> </w:t>
      </w:r>
      <w:r>
        <w:rPr/>
        <w:t>research</w:t>
      </w:r>
      <w:r>
        <w:rPr>
          <w:spacing w:val="-29"/>
        </w:rPr>
        <w:t> </w:t>
      </w:r>
      <w:r>
        <w:rPr/>
        <w:t>journeys:</w:t>
      </w:r>
    </w:p>
    <w:p>
      <w:pPr>
        <w:pStyle w:val="BodyText"/>
        <w:spacing w:line="247" w:lineRule="auto" w:before="55"/>
        <w:ind w:left="387" w:right="113" w:hanging="199"/>
      </w:pPr>
      <w:r>
        <w:rPr>
          <w:rFonts w:ascii="Century Gothic" w:hAnsi="Century Gothic"/>
          <w:b/>
          <w:w w:val="115"/>
        </w:rPr>
        <w:t>≥ </w:t>
      </w:r>
      <w:r>
        <w:rPr/>
        <w:t>The full-time employment of a dedicated </w:t>
      </w:r>
      <w:r>
        <w:rPr>
          <w:spacing w:val="2"/>
        </w:rPr>
        <w:t>HDR </w:t>
      </w:r>
      <w:r>
        <w:rPr/>
        <w:t>Academic Literacy Advisor who provides physical and virtual writing support via Thesis Writing Group sessions (6), vUWS Research Training announcements and </w:t>
      </w:r>
      <w:r>
        <w:rPr>
          <w:spacing w:val="2"/>
        </w:rPr>
        <w:t>one-on-one </w:t>
      </w:r>
      <w:r>
        <w:rPr/>
        <w:t>consultations</w:t>
      </w:r>
      <w:r>
        <w:rPr>
          <w:spacing w:val="-18"/>
        </w:rPr>
        <w:t> </w:t>
      </w:r>
      <w:r>
        <w:rPr/>
        <w:t>within</w:t>
      </w:r>
      <w:r>
        <w:rPr>
          <w:spacing w:val="-18"/>
        </w:rPr>
        <w:t> </w:t>
      </w:r>
      <w:r>
        <w:rPr/>
        <w:t>and</w:t>
      </w:r>
      <w:r>
        <w:rPr>
          <w:spacing w:val="-18"/>
        </w:rPr>
        <w:t> </w:t>
      </w:r>
      <w:r>
        <w:rPr/>
        <w:t>outside</w:t>
      </w:r>
      <w:r>
        <w:rPr>
          <w:spacing w:val="-18"/>
        </w:rPr>
        <w:t> </w:t>
      </w:r>
      <w:r>
        <w:rPr/>
        <w:t>business hours</w:t>
      </w:r>
    </w:p>
    <w:p>
      <w:pPr>
        <w:pStyle w:val="BodyText"/>
        <w:spacing w:line="247" w:lineRule="auto" w:before="57"/>
        <w:ind w:left="387" w:hanging="199"/>
      </w:pPr>
      <w:r>
        <w:rPr>
          <w:rFonts w:ascii="Century Gothic" w:hAnsi="Century Gothic"/>
          <w:b/>
          <w:w w:val="115"/>
        </w:rPr>
        <w:t>≥ </w:t>
      </w:r>
      <w:r>
        <w:rPr>
          <w:w w:val="105"/>
        </w:rPr>
        <w:t>The employment of a Statistician who </w:t>
      </w:r>
      <w:r>
        <w:rPr/>
        <w:t>oversees</w:t>
      </w:r>
      <w:r>
        <w:rPr>
          <w:spacing w:val="-14"/>
        </w:rPr>
        <w:t> </w:t>
      </w:r>
      <w:r>
        <w:rPr/>
        <w:t>statistics</w:t>
      </w:r>
      <w:r>
        <w:rPr>
          <w:spacing w:val="-14"/>
        </w:rPr>
        <w:t> </w:t>
      </w:r>
      <w:r>
        <w:rPr/>
        <w:t>workshops</w:t>
      </w:r>
      <w:r>
        <w:rPr>
          <w:spacing w:val="-14"/>
        </w:rPr>
        <w:t> </w:t>
      </w:r>
      <w:r>
        <w:rPr/>
        <w:t>and</w:t>
      </w:r>
      <w:r>
        <w:rPr>
          <w:spacing w:val="-14"/>
        </w:rPr>
        <w:t> </w:t>
      </w:r>
      <w:r>
        <w:rPr/>
        <w:t>provides </w:t>
      </w:r>
      <w:r>
        <w:rPr>
          <w:spacing w:val="2"/>
        </w:rPr>
        <w:t>one-on-one</w:t>
      </w:r>
      <w:r>
        <w:rPr>
          <w:spacing w:val="-32"/>
        </w:rPr>
        <w:t> </w:t>
      </w:r>
      <w:r>
        <w:rPr/>
        <w:t>consultations</w:t>
      </w:r>
    </w:p>
    <w:p>
      <w:pPr>
        <w:pStyle w:val="BodyText"/>
        <w:spacing w:before="7"/>
        <w:rPr>
          <w:sz w:val="18"/>
        </w:rPr>
      </w:pPr>
      <w:r>
        <w:rPr/>
        <w:br w:type="column"/>
      </w:r>
      <w:r>
        <w:rPr>
          <w:sz w:val="18"/>
        </w:rPr>
      </w:r>
    </w:p>
    <w:p>
      <w:pPr>
        <w:pStyle w:val="BodyText"/>
        <w:spacing w:line="247" w:lineRule="auto"/>
        <w:ind w:left="407" w:right="522" w:hanging="199"/>
      </w:pPr>
      <w:r>
        <w:rPr>
          <w:rFonts w:ascii="Century Gothic" w:hAnsi="Century Gothic"/>
          <w:b/>
          <w:w w:val="115"/>
        </w:rPr>
        <w:t>≥ </w:t>
      </w:r>
      <w:r>
        <w:rPr/>
        <w:t>The launch of the inaugural PhD completion-writing Boot Camp attended by 30 final stages PhD students</w:t>
      </w:r>
    </w:p>
    <w:p>
      <w:pPr>
        <w:pStyle w:val="BodyText"/>
        <w:spacing w:line="247" w:lineRule="auto" w:before="57"/>
        <w:ind w:left="407" w:right="344" w:hanging="199"/>
      </w:pPr>
      <w:r>
        <w:rPr>
          <w:rFonts w:ascii="Century Gothic" w:hAnsi="Century Gothic"/>
          <w:b/>
          <w:w w:val="115"/>
        </w:rPr>
        <w:t>≥ </w:t>
      </w:r>
      <w:r>
        <w:rPr/>
        <w:t>The launch of a pilot ‘PhD Stay-On-Track’ online group to provide support to PhD candidates who work off-campus</w:t>
      </w:r>
    </w:p>
    <w:p>
      <w:pPr>
        <w:pStyle w:val="BodyText"/>
        <w:spacing w:line="247" w:lineRule="auto" w:before="57"/>
        <w:ind w:left="407" w:right="452" w:hanging="199"/>
      </w:pPr>
      <w:r>
        <w:rPr>
          <w:rFonts w:ascii="Century Gothic" w:hAnsi="Century Gothic"/>
          <w:b/>
          <w:w w:val="115"/>
        </w:rPr>
        <w:t>≥ </w:t>
      </w:r>
      <w:r>
        <w:rPr/>
        <w:t>As part of Research Week, the launch of a sponsored Poster Competition for all HDR Candidates with the work of 53HDR students being profiled</w:t>
      </w:r>
    </w:p>
    <w:p>
      <w:pPr>
        <w:pStyle w:val="BodyText"/>
        <w:spacing w:line="247" w:lineRule="auto" w:before="57"/>
        <w:ind w:left="407" w:right="344" w:hanging="199"/>
      </w:pPr>
      <w:r>
        <w:rPr>
          <w:rFonts w:ascii="Century Gothic" w:hAnsi="Century Gothic"/>
          <w:b/>
          <w:w w:val="115"/>
        </w:rPr>
        <w:t>≥ </w:t>
      </w:r>
      <w:r>
        <w:rPr/>
        <w:t>The continued expansion of the 3 Minute Thesis (3MT) Competition that is now an international event, and of the GRS Shield ‘Competition which pits staff against students in a collegial, though competitive 3MT environment</w:t>
      </w:r>
    </w:p>
    <w:p>
      <w:pPr>
        <w:pStyle w:val="BodyText"/>
        <w:spacing w:line="247" w:lineRule="auto" w:before="57"/>
        <w:ind w:left="407" w:right="344" w:hanging="199"/>
      </w:pPr>
      <w:r>
        <w:rPr>
          <w:rFonts w:ascii="Century Gothic" w:hAnsi="Century Gothic"/>
          <w:b/>
          <w:w w:val="115"/>
        </w:rPr>
        <w:t>≥ </w:t>
      </w:r>
      <w:r>
        <w:rPr/>
        <w:t>A more interactive Induction that ensures students start their writing journey from </w:t>
      </w:r>
      <w:r>
        <w:rPr>
          <w:w w:val="90"/>
        </w:rPr>
        <w:t>Day 1</w:t>
      </w:r>
    </w:p>
    <w:p>
      <w:pPr>
        <w:pStyle w:val="BodyText"/>
        <w:spacing w:line="244" w:lineRule="auto" w:before="57"/>
        <w:ind w:left="407" w:right="438" w:hanging="199"/>
      </w:pPr>
      <w:r>
        <w:rPr>
          <w:rFonts w:ascii="Century Gothic" w:hAnsi="Century Gothic"/>
          <w:b/>
          <w:w w:val="115"/>
        </w:rPr>
        <w:t>≥</w:t>
      </w:r>
      <w:r>
        <w:rPr>
          <w:rFonts w:ascii="Century Gothic" w:hAnsi="Century Gothic"/>
          <w:b/>
          <w:spacing w:val="-18"/>
          <w:w w:val="115"/>
        </w:rPr>
        <w:t> </w:t>
      </w:r>
      <w:r>
        <w:rPr>
          <w:w w:val="105"/>
        </w:rPr>
        <w:t>Continuation</w:t>
      </w:r>
      <w:r>
        <w:rPr>
          <w:spacing w:val="-34"/>
          <w:w w:val="105"/>
        </w:rPr>
        <w:t> </w:t>
      </w:r>
      <w:r>
        <w:rPr>
          <w:w w:val="105"/>
        </w:rPr>
        <w:t>and</w:t>
      </w:r>
      <w:r>
        <w:rPr>
          <w:spacing w:val="-34"/>
          <w:w w:val="105"/>
        </w:rPr>
        <w:t> </w:t>
      </w:r>
      <w:r>
        <w:rPr>
          <w:w w:val="105"/>
        </w:rPr>
        <w:t>expansion</w:t>
      </w:r>
      <w:r>
        <w:rPr>
          <w:spacing w:val="-34"/>
          <w:w w:val="105"/>
        </w:rPr>
        <w:t> </w:t>
      </w:r>
      <w:r>
        <w:rPr>
          <w:w w:val="105"/>
        </w:rPr>
        <w:t>of</w:t>
      </w:r>
      <w:r>
        <w:rPr>
          <w:spacing w:val="-34"/>
          <w:w w:val="105"/>
        </w:rPr>
        <w:t> </w:t>
      </w:r>
      <w:r>
        <w:rPr>
          <w:w w:val="105"/>
        </w:rPr>
        <w:t>Supervisor Forums</w:t>
      </w:r>
    </w:p>
    <w:p>
      <w:pPr>
        <w:pStyle w:val="BodyText"/>
        <w:spacing w:before="6"/>
        <w:rPr>
          <w:sz w:val="19"/>
        </w:rPr>
      </w:pPr>
    </w:p>
    <w:p>
      <w:pPr>
        <w:pStyle w:val="Heading7"/>
        <w:spacing w:before="1"/>
        <w:ind w:left="208" w:right="522"/>
      </w:pPr>
      <w:r>
        <w:rPr>
          <w:w w:val="95"/>
        </w:rPr>
        <w:t>MASTER OF RESEARCH</w:t>
      </w:r>
    </w:p>
    <w:p>
      <w:pPr>
        <w:pStyle w:val="BodyText"/>
        <w:spacing w:before="58"/>
        <w:ind w:left="208" w:right="344"/>
      </w:pPr>
      <w:r>
        <w:rPr>
          <w:spacing w:val="2"/>
          <w:w w:val="92"/>
        </w:rPr>
        <w:t>T</w:t>
      </w:r>
      <w:r>
        <w:rPr>
          <w:spacing w:val="2"/>
          <w:w w:val="95"/>
        </w:rPr>
        <w:t>h</w:t>
      </w:r>
      <w:r>
        <w:rPr>
          <w:w w:val="95"/>
        </w:rPr>
        <w:t>e</w:t>
      </w:r>
      <w:r>
        <w:rPr>
          <w:spacing w:val="-12"/>
        </w:rPr>
        <w:t> </w:t>
      </w:r>
      <w:r>
        <w:rPr>
          <w:spacing w:val="3"/>
          <w:w w:val="97"/>
        </w:rPr>
        <w:t>M</w:t>
      </w:r>
      <w:r>
        <w:rPr>
          <w:spacing w:val="2"/>
          <w:w w:val="94"/>
        </w:rPr>
        <w:t>a</w:t>
      </w:r>
      <w:r>
        <w:rPr>
          <w:spacing w:val="3"/>
          <w:w w:val="95"/>
        </w:rPr>
        <w:t>s</w:t>
      </w:r>
      <w:r>
        <w:rPr>
          <w:spacing w:val="-2"/>
          <w:w w:val="102"/>
        </w:rPr>
        <w:t>t</w:t>
      </w:r>
      <w:r>
        <w:rPr>
          <w:spacing w:val="2"/>
          <w:w w:val="95"/>
        </w:rPr>
        <w:t>e</w:t>
      </w:r>
      <w:r>
        <w:rPr>
          <w:w w:val="95"/>
        </w:rPr>
        <w:t>r</w:t>
      </w:r>
      <w:r>
        <w:rPr>
          <w:spacing w:val="-12"/>
        </w:rPr>
        <w:t> </w:t>
      </w:r>
      <w:r>
        <w:rPr>
          <w:w w:val="100"/>
        </w:rPr>
        <w:t>o</w:t>
      </w:r>
      <w:r>
        <w:rPr>
          <w:w w:val="98"/>
        </w:rPr>
        <w:t>f</w:t>
      </w:r>
      <w:r>
        <w:rPr>
          <w:spacing w:val="-12"/>
        </w:rPr>
        <w:t> </w:t>
      </w:r>
      <w:r>
        <w:rPr>
          <w:spacing w:val="1"/>
          <w:w w:val="99"/>
        </w:rPr>
        <w:t>R</w:t>
      </w:r>
      <w:r>
        <w:rPr>
          <w:spacing w:val="3"/>
          <w:w w:val="95"/>
        </w:rPr>
        <w:t>e</w:t>
      </w:r>
      <w:r>
        <w:rPr>
          <w:spacing w:val="2"/>
          <w:w w:val="95"/>
        </w:rPr>
        <w:t>s</w:t>
      </w:r>
      <w:r>
        <w:rPr>
          <w:spacing w:val="2"/>
          <w:w w:val="95"/>
        </w:rPr>
        <w:t>e</w:t>
      </w:r>
      <w:r>
        <w:rPr>
          <w:spacing w:val="2"/>
          <w:w w:val="94"/>
        </w:rPr>
        <w:t>a</w:t>
      </w:r>
      <w:r>
        <w:rPr>
          <w:spacing w:val="-1"/>
          <w:w w:val="95"/>
        </w:rPr>
        <w:t>r</w:t>
      </w:r>
      <w:r>
        <w:rPr>
          <w:spacing w:val="1"/>
          <w:w w:val="102"/>
        </w:rPr>
        <w:t>c</w:t>
      </w:r>
      <w:r>
        <w:rPr>
          <w:w w:val="95"/>
        </w:rPr>
        <w:t>h</w:t>
      </w:r>
      <w:r>
        <w:rPr>
          <w:spacing w:val="-12"/>
        </w:rPr>
        <w:t> </w:t>
      </w:r>
      <w:r>
        <w:rPr>
          <w:w w:val="101"/>
        </w:rPr>
        <w:t>w</w:t>
      </w:r>
      <w:r>
        <w:rPr>
          <w:spacing w:val="2"/>
          <w:w w:val="94"/>
        </w:rPr>
        <w:t>a</w:t>
      </w:r>
      <w:r>
        <w:rPr>
          <w:w w:val="95"/>
        </w:rPr>
        <w:t>s</w:t>
      </w:r>
      <w:r>
        <w:rPr>
          <w:spacing w:val="-12"/>
        </w:rPr>
        <w:t> </w:t>
      </w:r>
      <w:r>
        <w:rPr>
          <w:spacing w:val="1"/>
          <w:w w:val="95"/>
        </w:rPr>
        <w:t>l</w:t>
      </w:r>
      <w:r>
        <w:rPr>
          <w:spacing w:val="2"/>
          <w:w w:val="94"/>
        </w:rPr>
        <w:t>a</w:t>
      </w:r>
      <w:r>
        <w:rPr>
          <w:spacing w:val="1"/>
          <w:w w:val="95"/>
        </w:rPr>
        <w:t>u</w:t>
      </w:r>
      <w:r>
        <w:rPr>
          <w:spacing w:val="2"/>
          <w:w w:val="95"/>
        </w:rPr>
        <w:t>n</w:t>
      </w:r>
      <w:r>
        <w:rPr>
          <w:spacing w:val="1"/>
          <w:w w:val="102"/>
        </w:rPr>
        <w:t>c</w:t>
      </w:r>
      <w:r>
        <w:rPr>
          <w:spacing w:val="2"/>
          <w:w w:val="95"/>
        </w:rPr>
        <w:t>h</w:t>
      </w:r>
      <w:r>
        <w:rPr>
          <w:spacing w:val="3"/>
          <w:w w:val="95"/>
        </w:rPr>
        <w:t>e</w:t>
      </w:r>
      <w:r>
        <w:rPr>
          <w:w w:val="102"/>
        </w:rPr>
        <w:t>d</w:t>
      </w:r>
      <w:r>
        <w:rPr>
          <w:spacing w:val="-12"/>
        </w:rPr>
        <w:t> </w:t>
      </w:r>
      <w:r>
        <w:rPr>
          <w:spacing w:val="1"/>
          <w:w w:val="95"/>
        </w:rPr>
        <w:t>i</w:t>
      </w:r>
      <w:r>
        <w:rPr>
          <w:w w:val="95"/>
        </w:rPr>
        <w:t>n</w:t>
      </w:r>
      <w:r>
        <w:rPr>
          <w:spacing w:val="-12"/>
        </w:rPr>
        <w:t> </w:t>
      </w:r>
      <w:r>
        <w:rPr>
          <w:spacing w:val="2"/>
          <w:w w:val="93"/>
        </w:rPr>
        <w:t>2</w:t>
      </w:r>
      <w:r>
        <w:rPr>
          <w:spacing w:val="1"/>
          <w:w w:val="111"/>
        </w:rPr>
        <w:t>0</w:t>
      </w:r>
      <w:r>
        <w:rPr>
          <w:spacing w:val="2"/>
          <w:w w:val="54"/>
        </w:rPr>
        <w:t>1</w:t>
      </w:r>
      <w:r>
        <w:rPr>
          <w:spacing w:val="4"/>
          <w:w w:val="95"/>
        </w:rPr>
        <w:t>5</w:t>
      </w:r>
      <w:r>
        <w:rPr>
          <w:w w:val="68"/>
        </w:rPr>
        <w:t>.</w:t>
      </w:r>
    </w:p>
    <w:p>
      <w:pPr>
        <w:pStyle w:val="BodyText"/>
        <w:spacing w:before="7"/>
        <w:rPr>
          <w:sz w:val="14"/>
        </w:rPr>
      </w:pPr>
    </w:p>
    <w:p>
      <w:pPr>
        <w:pStyle w:val="BodyText"/>
        <w:spacing w:line="249" w:lineRule="auto" w:before="1"/>
        <w:ind w:left="208" w:right="372"/>
      </w:pPr>
      <w:r>
        <w:rPr/>
        <w:t>The degree is a pathway to PhD study and provides an innovative inter-disciplinary research training framework to equip students with analytical, research, and communication skills. The first year of the degree focuses on building research literacy, as well as methodological and discipline- specific research training and development.</w:t>
      </w:r>
    </w:p>
    <w:p>
      <w:pPr>
        <w:pStyle w:val="BodyText"/>
        <w:rPr>
          <w:sz w:val="14"/>
        </w:rPr>
      </w:pPr>
    </w:p>
    <w:p>
      <w:pPr>
        <w:pStyle w:val="BodyText"/>
        <w:spacing w:line="249" w:lineRule="auto"/>
        <w:ind w:left="208" w:right="522"/>
      </w:pPr>
      <w:r>
        <w:rPr/>
        <w:t>The</w:t>
      </w:r>
      <w:r>
        <w:rPr>
          <w:spacing w:val="-19"/>
        </w:rPr>
        <w:t> </w:t>
      </w:r>
      <w:r>
        <w:rPr/>
        <w:t>response</w:t>
      </w:r>
      <w:r>
        <w:rPr>
          <w:spacing w:val="-19"/>
        </w:rPr>
        <w:t> </w:t>
      </w:r>
      <w:r>
        <w:rPr/>
        <w:t>to</w:t>
      </w:r>
      <w:r>
        <w:rPr>
          <w:spacing w:val="-19"/>
        </w:rPr>
        <w:t> </w:t>
      </w:r>
      <w:r>
        <w:rPr/>
        <w:t>the</w:t>
      </w:r>
      <w:r>
        <w:rPr>
          <w:spacing w:val="-19"/>
        </w:rPr>
        <w:t> </w:t>
      </w:r>
      <w:r>
        <w:rPr/>
        <w:t>Master</w:t>
      </w:r>
      <w:r>
        <w:rPr>
          <w:spacing w:val="-19"/>
        </w:rPr>
        <w:t> </w:t>
      </w:r>
      <w:r>
        <w:rPr/>
        <w:t>of</w:t>
      </w:r>
      <w:r>
        <w:rPr>
          <w:spacing w:val="-19"/>
        </w:rPr>
        <w:t> </w:t>
      </w:r>
      <w:r>
        <w:rPr/>
        <w:t>Research</w:t>
      </w:r>
      <w:r>
        <w:rPr>
          <w:spacing w:val="-19"/>
        </w:rPr>
        <w:t> </w:t>
      </w:r>
      <w:r>
        <w:rPr/>
        <w:t>has been outstanding, with students reporting very positively on the Master of Research subjects</w:t>
      </w:r>
      <w:r>
        <w:rPr>
          <w:spacing w:val="-15"/>
        </w:rPr>
        <w:t> </w:t>
      </w:r>
      <w:r>
        <w:rPr/>
        <w:t>in</w:t>
      </w:r>
      <w:r>
        <w:rPr>
          <w:spacing w:val="-15"/>
        </w:rPr>
        <w:t> </w:t>
      </w:r>
      <w:r>
        <w:rPr/>
        <w:t>SFUs,</w:t>
      </w:r>
      <w:r>
        <w:rPr>
          <w:spacing w:val="-15"/>
        </w:rPr>
        <w:t> </w:t>
      </w:r>
      <w:r>
        <w:rPr/>
        <w:t>and</w:t>
      </w:r>
      <w:r>
        <w:rPr>
          <w:spacing w:val="-15"/>
        </w:rPr>
        <w:t> </w:t>
      </w:r>
      <w:r>
        <w:rPr/>
        <w:t>both</w:t>
      </w:r>
      <w:r>
        <w:rPr>
          <w:spacing w:val="-15"/>
        </w:rPr>
        <w:t> </w:t>
      </w:r>
      <w:r>
        <w:rPr/>
        <w:t>supervisors</w:t>
      </w:r>
      <w:r>
        <w:rPr>
          <w:spacing w:val="-15"/>
        </w:rPr>
        <w:t> </w:t>
      </w:r>
      <w:r>
        <w:rPr/>
        <w:t>and </w:t>
      </w:r>
      <w:r>
        <w:rPr>
          <w:spacing w:val="2"/>
        </w:rPr>
        <w:t>HDR</w:t>
      </w:r>
      <w:r>
        <w:rPr>
          <w:spacing w:val="-15"/>
        </w:rPr>
        <w:t> </w:t>
      </w:r>
      <w:r>
        <w:rPr/>
        <w:t>Directors</w:t>
      </w:r>
      <w:r>
        <w:rPr>
          <w:spacing w:val="-15"/>
        </w:rPr>
        <w:t> </w:t>
      </w:r>
      <w:r>
        <w:rPr/>
        <w:t>informally</w:t>
      </w:r>
      <w:r>
        <w:rPr>
          <w:spacing w:val="-15"/>
        </w:rPr>
        <w:t> </w:t>
      </w:r>
      <w:r>
        <w:rPr/>
        <w:t>providing</w:t>
      </w:r>
      <w:r>
        <w:rPr>
          <w:spacing w:val="-15"/>
        </w:rPr>
        <w:t> </w:t>
      </w:r>
      <w:r>
        <w:rPr/>
        <w:t>positive feedback</w:t>
      </w:r>
      <w:r>
        <w:rPr>
          <w:spacing w:val="-16"/>
        </w:rPr>
        <w:t> </w:t>
      </w:r>
      <w:r>
        <w:rPr/>
        <w:t>about</w:t>
      </w:r>
      <w:r>
        <w:rPr>
          <w:spacing w:val="-16"/>
        </w:rPr>
        <w:t> </w:t>
      </w:r>
      <w:r>
        <w:rPr/>
        <w:t>PhD</w:t>
      </w:r>
      <w:r>
        <w:rPr>
          <w:spacing w:val="-16"/>
        </w:rPr>
        <w:t> </w:t>
      </w:r>
      <w:r>
        <w:rPr/>
        <w:t>preparedness.</w:t>
      </w:r>
    </w:p>
    <w:p>
      <w:pPr>
        <w:pStyle w:val="BodyText"/>
        <w:rPr>
          <w:sz w:val="14"/>
        </w:rPr>
      </w:pPr>
    </w:p>
    <w:p>
      <w:pPr>
        <w:pStyle w:val="BodyText"/>
        <w:spacing w:line="249" w:lineRule="auto"/>
        <w:ind w:left="208" w:right="512"/>
      </w:pPr>
      <w:r>
        <w:rPr/>
        <w:t>As a pathway program, the Master of Research degree prepares students for the demands and expectations of PhD study and equips students for various careers in research communication, community and not-for-profit organisations, industry and business, and government. As it closely aligns with Asian, European and North American qualifications, it also provides candidates who complete the course with an internationally recognised degree.</w:t>
      </w:r>
    </w:p>
    <w:p>
      <w:pPr>
        <w:spacing w:after="0" w:line="249" w:lineRule="auto"/>
        <w:sectPr>
          <w:type w:val="continuous"/>
          <w:pgSz w:w="11910" w:h="16840"/>
          <w:pgMar w:top="1580" w:bottom="280" w:left="580" w:right="580"/>
          <w:cols w:num="3" w:equalWidth="0">
            <w:col w:w="3538" w:space="40"/>
            <w:col w:w="3380" w:space="40"/>
            <w:col w:w="3752"/>
          </w:cols>
        </w:sectPr>
      </w:pPr>
    </w:p>
    <w:p>
      <w:pPr>
        <w:pStyle w:val="BodyText"/>
        <w:spacing w:before="9"/>
        <w:rPr>
          <w:sz w:val="28"/>
        </w:rPr>
      </w:pPr>
    </w:p>
    <w:p>
      <w:pPr>
        <w:pStyle w:val="Heading2"/>
        <w:spacing w:line="240" w:lineRule="auto" w:before="27"/>
        <w:ind w:right="6763"/>
        <w:rPr>
          <w:b w:val="0"/>
        </w:rPr>
      </w:pPr>
      <w:r>
        <w:rPr>
          <w:b w:val="0"/>
        </w:rPr>
        <w:t>Research</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24"/>
        </w:rPr>
      </w:pPr>
    </w:p>
    <w:p>
      <w:pPr>
        <w:spacing w:after="0"/>
        <w:rPr>
          <w:rFonts w:ascii="Chronicle Text G1"/>
          <w:sz w:val="24"/>
        </w:rPr>
        <w:sectPr>
          <w:pgSz w:w="11910" w:h="16840"/>
          <w:pgMar w:header="496" w:footer="472" w:top="680" w:bottom="660" w:left="800" w:right="800"/>
        </w:sectPr>
      </w:pPr>
    </w:p>
    <w:p>
      <w:pPr>
        <w:pStyle w:val="BodyText"/>
        <w:spacing w:line="249" w:lineRule="auto" w:before="72"/>
        <w:ind w:left="107" w:right="391"/>
      </w:pPr>
      <w:r>
        <w:rPr/>
        <w:t>Western Sydney University, in replacing the majority of Honours programs and</w:t>
      </w:r>
    </w:p>
    <w:p>
      <w:pPr>
        <w:pStyle w:val="BodyText"/>
        <w:spacing w:line="249" w:lineRule="auto"/>
        <w:ind w:left="107" w:right="-1"/>
      </w:pPr>
      <w:r>
        <w:rPr/>
        <w:t>introducing the Masters of Research, was the second</w:t>
      </w:r>
      <w:r>
        <w:rPr>
          <w:spacing w:val="-15"/>
        </w:rPr>
        <w:t> </w:t>
      </w:r>
      <w:r>
        <w:rPr/>
        <w:t>university</w:t>
      </w:r>
      <w:r>
        <w:rPr>
          <w:spacing w:val="-15"/>
        </w:rPr>
        <w:t> </w:t>
      </w:r>
      <w:r>
        <w:rPr/>
        <w:t>in</w:t>
      </w:r>
      <w:r>
        <w:rPr>
          <w:spacing w:val="-15"/>
        </w:rPr>
        <w:t> </w:t>
      </w:r>
      <w:r>
        <w:rPr/>
        <w:t>Australia</w:t>
      </w:r>
      <w:r>
        <w:rPr>
          <w:spacing w:val="-15"/>
        </w:rPr>
        <w:t> </w:t>
      </w:r>
      <w:r>
        <w:rPr/>
        <w:t>to</w:t>
      </w:r>
      <w:r>
        <w:rPr>
          <w:spacing w:val="-15"/>
        </w:rPr>
        <w:t> </w:t>
      </w:r>
      <w:r>
        <w:rPr/>
        <w:t>establish</w:t>
      </w:r>
      <w:r>
        <w:rPr>
          <w:spacing w:val="-15"/>
        </w:rPr>
        <w:t> </w:t>
      </w:r>
      <w:r>
        <w:rPr/>
        <w:t>this innovative</w:t>
      </w:r>
      <w:r>
        <w:rPr>
          <w:spacing w:val="-20"/>
        </w:rPr>
        <w:t> </w:t>
      </w:r>
      <w:r>
        <w:rPr/>
        <w:t>pathway</w:t>
      </w:r>
      <w:r>
        <w:rPr>
          <w:spacing w:val="-20"/>
        </w:rPr>
        <w:t> </w:t>
      </w:r>
      <w:r>
        <w:rPr/>
        <w:t>to</w:t>
      </w:r>
      <w:r>
        <w:rPr>
          <w:spacing w:val="-20"/>
        </w:rPr>
        <w:t> </w:t>
      </w:r>
      <w:r>
        <w:rPr/>
        <w:t>PhD</w:t>
      </w:r>
      <w:r>
        <w:rPr>
          <w:spacing w:val="-20"/>
        </w:rPr>
        <w:t> </w:t>
      </w:r>
      <w:r>
        <w:rPr/>
        <w:t>study.</w:t>
      </w:r>
      <w:r>
        <w:rPr>
          <w:spacing w:val="-20"/>
        </w:rPr>
        <w:t> </w:t>
      </w:r>
      <w:r>
        <w:rPr/>
        <w:t>Over</w:t>
      </w:r>
      <w:r>
        <w:rPr>
          <w:spacing w:val="-20"/>
        </w:rPr>
        <w:t> </w:t>
      </w:r>
      <w:r>
        <w:rPr/>
        <w:t>the</w:t>
      </w:r>
      <w:r>
        <w:rPr>
          <w:spacing w:val="-20"/>
        </w:rPr>
        <w:t> </w:t>
      </w:r>
      <w:r>
        <w:rPr/>
        <w:t>last 12 months, and in a report commissioned by the Australian Council of Graduate Research (ACGR), an increasing number of universities have</w:t>
      </w:r>
      <w:r>
        <w:rPr>
          <w:spacing w:val="-19"/>
        </w:rPr>
        <w:t> </w:t>
      </w:r>
      <w:r>
        <w:rPr/>
        <w:t>indicated</w:t>
      </w:r>
      <w:r>
        <w:rPr>
          <w:spacing w:val="-19"/>
        </w:rPr>
        <w:t> </w:t>
      </w:r>
      <w:r>
        <w:rPr/>
        <w:t>they</w:t>
      </w:r>
      <w:r>
        <w:rPr>
          <w:spacing w:val="-19"/>
        </w:rPr>
        <w:t> </w:t>
      </w:r>
      <w:r>
        <w:rPr/>
        <w:t>will</w:t>
      </w:r>
      <w:r>
        <w:rPr>
          <w:spacing w:val="-19"/>
        </w:rPr>
        <w:t> </w:t>
      </w:r>
      <w:r>
        <w:rPr/>
        <w:t>adopt</w:t>
      </w:r>
      <w:r>
        <w:rPr>
          <w:spacing w:val="-19"/>
        </w:rPr>
        <w:t> </w:t>
      </w:r>
      <w:r>
        <w:rPr/>
        <w:t>this</w:t>
      </w:r>
      <w:r>
        <w:rPr>
          <w:spacing w:val="-19"/>
        </w:rPr>
        <w:t> </w:t>
      </w:r>
      <w:r>
        <w:rPr/>
        <w:t>pathway;</w:t>
      </w:r>
    </w:p>
    <w:p>
      <w:pPr>
        <w:pStyle w:val="BodyText"/>
        <w:spacing w:line="249" w:lineRule="auto"/>
        <w:ind w:left="107" w:right="53"/>
      </w:pPr>
      <w:r>
        <w:rPr/>
        <w:t>as such the GRS remains committed to leading continued innovations in the degree.</w:t>
      </w:r>
    </w:p>
    <w:p>
      <w:pPr>
        <w:pStyle w:val="BodyText"/>
        <w:rPr>
          <w:sz w:val="14"/>
        </w:rPr>
      </w:pPr>
    </w:p>
    <w:p>
      <w:pPr>
        <w:pStyle w:val="BodyText"/>
        <w:spacing w:line="249" w:lineRule="auto"/>
        <w:ind w:left="107" w:right="527"/>
      </w:pPr>
      <w:r>
        <w:rPr/>
        <w:t>Following the initial intake of 55 </w:t>
      </w:r>
      <w:r>
        <w:rPr>
          <w:w w:val="97"/>
        </w:rPr>
        <w:t>students </w:t>
      </w:r>
      <w:r>
        <w:rPr>
          <w:w w:val="95"/>
        </w:rPr>
        <w:t>in </w:t>
      </w:r>
      <w:r>
        <w:rPr>
          <w:w w:val="100"/>
        </w:rPr>
        <w:t>July </w:t>
      </w:r>
      <w:r>
        <w:rPr>
          <w:w w:val="84"/>
        </w:rPr>
        <w:t>2015, </w:t>
      </w:r>
      <w:r>
        <w:rPr>
          <w:w w:val="97"/>
        </w:rPr>
        <w:t>the </w:t>
      </w:r>
      <w:r>
        <w:rPr>
          <w:w w:val="97"/>
        </w:rPr>
        <w:t>numbered </w:t>
      </w:r>
      <w:r>
        <w:rPr/>
        <w:t>students have increased as follows:</w:t>
      </w:r>
    </w:p>
    <w:p>
      <w:pPr>
        <w:pStyle w:val="BodyText"/>
        <w:spacing w:before="55"/>
        <w:ind w:left="107" w:right="-2"/>
      </w:pPr>
      <w:r>
        <w:rPr>
          <w:rFonts w:ascii="Century Gothic" w:hAnsi="Century Gothic"/>
          <w:b/>
          <w:w w:val="145"/>
        </w:rPr>
        <w:t>≥</w:t>
      </w:r>
      <w:r>
        <w:rPr>
          <w:rFonts w:ascii="Century Gothic" w:hAnsi="Century Gothic"/>
          <w:b/>
        </w:rPr>
        <w:t> </w:t>
      </w:r>
      <w:r>
        <w:rPr>
          <w:rFonts w:ascii="Century Gothic" w:hAnsi="Century Gothic"/>
          <w:b/>
          <w:spacing w:val="-19"/>
        </w:rPr>
        <w:t> </w:t>
      </w:r>
      <w:r>
        <w:rPr>
          <w:spacing w:val="2"/>
          <w:w w:val="54"/>
        </w:rPr>
        <w:t>1</w:t>
      </w:r>
      <w:r>
        <w:rPr>
          <w:spacing w:val="2"/>
          <w:w w:val="93"/>
        </w:rPr>
        <w:t>2</w:t>
      </w:r>
      <w:r>
        <w:rPr>
          <w:w w:val="98"/>
        </w:rPr>
        <w:t>8</w:t>
      </w:r>
      <w:r>
        <w:rPr>
          <w:spacing w:val="-12"/>
        </w:rPr>
        <w:t> </w:t>
      </w:r>
      <w:r>
        <w:rPr>
          <w:spacing w:val="2"/>
          <w:w w:val="95"/>
        </w:rPr>
        <w:t>e</w:t>
      </w:r>
      <w:r>
        <w:rPr>
          <w:spacing w:val="2"/>
          <w:w w:val="95"/>
        </w:rPr>
        <w:t>n</w:t>
      </w:r>
      <w:r>
        <w:rPr>
          <w:spacing w:val="-1"/>
          <w:w w:val="95"/>
        </w:rPr>
        <w:t>r</w:t>
      </w:r>
      <w:r>
        <w:rPr>
          <w:spacing w:val="2"/>
          <w:w w:val="100"/>
        </w:rPr>
        <w:t>o</w:t>
      </w:r>
      <w:r>
        <w:rPr>
          <w:spacing w:val="1"/>
          <w:w w:val="95"/>
        </w:rPr>
        <w:t>l</w:t>
      </w:r>
      <w:r>
        <w:rPr>
          <w:spacing w:val="2"/>
          <w:w w:val="98"/>
        </w:rPr>
        <w:t>m</w:t>
      </w:r>
      <w:r>
        <w:rPr>
          <w:spacing w:val="2"/>
          <w:w w:val="95"/>
        </w:rPr>
        <w:t>e</w:t>
      </w:r>
      <w:r>
        <w:rPr>
          <w:w w:val="95"/>
        </w:rPr>
        <w:t>n</w:t>
      </w:r>
      <w:r>
        <w:rPr>
          <w:spacing w:val="4"/>
          <w:w w:val="102"/>
        </w:rPr>
        <w:t>t</w:t>
      </w:r>
      <w:r>
        <w:rPr>
          <w:w w:val="95"/>
        </w:rPr>
        <w:t>s</w:t>
      </w:r>
      <w:r>
        <w:rPr>
          <w:spacing w:val="-12"/>
        </w:rPr>
        <w:t> </w:t>
      </w:r>
      <w:r>
        <w:rPr>
          <w:w w:val="98"/>
        </w:rPr>
        <w:t>f</w:t>
      </w:r>
      <w:r>
        <w:rPr>
          <w:spacing w:val="2"/>
          <w:w w:val="100"/>
        </w:rPr>
        <w:t>o</w:t>
      </w:r>
      <w:r>
        <w:rPr>
          <w:w w:val="95"/>
        </w:rPr>
        <w:t>r</w:t>
      </w:r>
      <w:r>
        <w:rPr>
          <w:spacing w:val="-12"/>
        </w:rPr>
        <w:t> </w:t>
      </w:r>
      <w:r>
        <w:rPr>
          <w:spacing w:val="2"/>
          <w:w w:val="93"/>
        </w:rPr>
        <w:t>2</w:t>
      </w:r>
      <w:r>
        <w:rPr>
          <w:spacing w:val="1"/>
          <w:w w:val="111"/>
        </w:rPr>
        <w:t>0</w:t>
      </w:r>
      <w:r>
        <w:rPr>
          <w:spacing w:val="4"/>
          <w:w w:val="54"/>
        </w:rPr>
        <w:t>1</w:t>
      </w:r>
      <w:r>
        <w:rPr>
          <w:w w:val="101"/>
        </w:rPr>
        <w:t>6</w:t>
      </w:r>
    </w:p>
    <w:p>
      <w:pPr>
        <w:pStyle w:val="BodyText"/>
        <w:spacing w:line="244" w:lineRule="auto" w:before="60"/>
        <w:ind w:left="305" w:right="-2" w:hanging="199"/>
      </w:pPr>
      <w:r>
        <w:rPr>
          <w:rFonts w:ascii="Century Gothic" w:hAnsi="Century Gothic"/>
          <w:b/>
          <w:w w:val="145"/>
        </w:rPr>
        <w:t>≥ </w:t>
      </w:r>
      <w:r>
        <w:rPr>
          <w:w w:val="67"/>
        </w:rPr>
        <w:t>115 </w:t>
      </w:r>
      <w:r>
        <w:rPr>
          <w:w w:val="99"/>
        </w:rPr>
        <w:t>accepted </w:t>
      </w:r>
      <w:r>
        <w:rPr>
          <w:w w:val="97"/>
        </w:rPr>
        <w:t>offers </w:t>
      </w:r>
      <w:r>
        <w:rPr>
          <w:w w:val="98"/>
        </w:rPr>
        <w:t>for </w:t>
      </w:r>
      <w:r>
        <w:rPr>
          <w:w w:val="98"/>
        </w:rPr>
        <w:t>February </w:t>
      </w:r>
      <w:r>
        <w:rPr>
          <w:w w:val="87"/>
        </w:rPr>
        <w:t>2017 </w:t>
      </w:r>
      <w:r>
        <w:rPr/>
        <w:t>commencement</w:t>
      </w:r>
    </w:p>
    <w:p>
      <w:pPr>
        <w:pStyle w:val="BodyText"/>
        <w:spacing w:before="4"/>
        <w:rPr>
          <w:sz w:val="14"/>
        </w:rPr>
      </w:pPr>
    </w:p>
    <w:p>
      <w:pPr>
        <w:pStyle w:val="BodyText"/>
        <w:spacing w:line="249" w:lineRule="auto"/>
        <w:ind w:left="107" w:right="297"/>
      </w:pPr>
      <w:r>
        <w:rPr>
          <w:spacing w:val="-5"/>
        </w:rPr>
        <w:t>To</w:t>
      </w:r>
      <w:r>
        <w:rPr>
          <w:spacing w:val="-19"/>
        </w:rPr>
        <w:t> </w:t>
      </w:r>
      <w:r>
        <w:rPr/>
        <w:t>date,</w:t>
      </w:r>
      <w:r>
        <w:rPr>
          <w:spacing w:val="-19"/>
        </w:rPr>
        <w:t> </w:t>
      </w:r>
      <w:r>
        <w:rPr/>
        <w:t>the</w:t>
      </w:r>
      <w:r>
        <w:rPr>
          <w:spacing w:val="-19"/>
        </w:rPr>
        <w:t> </w:t>
      </w:r>
      <w:r>
        <w:rPr/>
        <w:t>GRS</w:t>
      </w:r>
      <w:r>
        <w:rPr>
          <w:spacing w:val="-19"/>
        </w:rPr>
        <w:t> </w:t>
      </w:r>
      <w:r>
        <w:rPr/>
        <w:t>has</w:t>
      </w:r>
      <w:r>
        <w:rPr>
          <w:spacing w:val="-19"/>
        </w:rPr>
        <w:t> </w:t>
      </w:r>
      <w:r>
        <w:rPr/>
        <w:t>received</w:t>
      </w:r>
      <w:r>
        <w:rPr>
          <w:spacing w:val="-19"/>
        </w:rPr>
        <w:t> </w:t>
      </w:r>
      <w:r>
        <w:rPr/>
        <w:t>nine</w:t>
      </w:r>
      <w:r>
        <w:rPr>
          <w:spacing w:val="-19"/>
        </w:rPr>
        <w:t> </w:t>
      </w:r>
      <w:r>
        <w:rPr/>
        <w:t>Master of Research thesis submissions, five of which</w:t>
      </w:r>
      <w:r>
        <w:rPr>
          <w:spacing w:val="-15"/>
        </w:rPr>
        <w:t> </w:t>
      </w:r>
      <w:r>
        <w:rPr/>
        <w:t>have</w:t>
      </w:r>
      <w:r>
        <w:rPr>
          <w:spacing w:val="-15"/>
        </w:rPr>
        <w:t> </w:t>
      </w:r>
      <w:r>
        <w:rPr/>
        <w:t>been</w:t>
      </w:r>
      <w:r>
        <w:rPr>
          <w:spacing w:val="-15"/>
        </w:rPr>
        <w:t> </w:t>
      </w:r>
      <w:r>
        <w:rPr/>
        <w:t>completed</w:t>
      </w:r>
      <w:r>
        <w:rPr>
          <w:spacing w:val="-15"/>
        </w:rPr>
        <w:t> </w:t>
      </w:r>
      <w:r>
        <w:rPr/>
        <w:t>with</w:t>
      </w:r>
      <w:r>
        <w:rPr>
          <w:spacing w:val="-15"/>
        </w:rPr>
        <w:t> </w:t>
      </w:r>
      <w:r>
        <w:rPr/>
        <w:t>students progressing</w:t>
      </w:r>
      <w:r>
        <w:rPr>
          <w:spacing w:val="-13"/>
        </w:rPr>
        <w:t> </w:t>
      </w:r>
      <w:r>
        <w:rPr/>
        <w:t>into</w:t>
      </w:r>
      <w:r>
        <w:rPr>
          <w:spacing w:val="-13"/>
        </w:rPr>
        <w:t> </w:t>
      </w:r>
      <w:r>
        <w:rPr/>
        <w:t>a</w:t>
      </w:r>
      <w:r>
        <w:rPr>
          <w:spacing w:val="-13"/>
        </w:rPr>
        <w:t> </w:t>
      </w:r>
      <w:r>
        <w:rPr/>
        <w:t>PhD</w:t>
      </w:r>
      <w:r>
        <w:rPr>
          <w:spacing w:val="-13"/>
        </w:rPr>
        <w:t> </w:t>
      </w:r>
      <w:r>
        <w:rPr/>
        <w:t>program</w:t>
      </w:r>
      <w:r>
        <w:rPr>
          <w:spacing w:val="-13"/>
        </w:rPr>
        <w:t> </w:t>
      </w:r>
      <w:r>
        <w:rPr/>
        <w:t>and</w:t>
      </w:r>
      <w:r>
        <w:rPr>
          <w:spacing w:val="-13"/>
        </w:rPr>
        <w:t> </w:t>
      </w:r>
      <w:r>
        <w:rPr/>
        <w:t>two</w:t>
      </w:r>
    </w:p>
    <w:p>
      <w:pPr>
        <w:pStyle w:val="BodyText"/>
        <w:spacing w:line="249" w:lineRule="auto"/>
        <w:ind w:left="107" w:right="51"/>
      </w:pPr>
      <w:r>
        <w:rPr/>
        <w:t>students with conditional offers into the PhD program pending their Master of Research results, all with Western Sydney University.</w:t>
      </w:r>
    </w:p>
    <w:p>
      <w:pPr>
        <w:pStyle w:val="BodyText"/>
        <w:spacing w:before="3"/>
        <w:rPr>
          <w:sz w:val="19"/>
        </w:rPr>
      </w:pPr>
    </w:p>
    <w:p>
      <w:pPr>
        <w:pStyle w:val="Heading7"/>
      </w:pPr>
      <w:r>
        <w:rPr>
          <w:w w:val="95"/>
        </w:rPr>
        <w:t>SUPERVISOR DEVELOPMENT</w:t>
      </w:r>
    </w:p>
    <w:p>
      <w:pPr>
        <w:pStyle w:val="BodyText"/>
        <w:spacing w:line="249" w:lineRule="auto" w:before="58"/>
        <w:ind w:left="107" w:right="455"/>
      </w:pPr>
      <w:r>
        <w:rPr/>
        <w:t>A high standard of practice by the academic supervisory team is essential to ensuring our HDR students have a fruitful journey and receive disciplinary</w:t>
      </w:r>
    </w:p>
    <w:p>
      <w:pPr>
        <w:pStyle w:val="BodyText"/>
        <w:spacing w:line="249" w:lineRule="auto"/>
        <w:ind w:left="107" w:right="151"/>
      </w:pPr>
      <w:r>
        <w:rPr/>
        <w:t>expertise and guidance. Following a review of the supervisor development program </w:t>
      </w:r>
      <w:r>
        <w:rPr>
          <w:w w:val="98"/>
        </w:rPr>
        <w:t>throughout </w:t>
      </w:r>
      <w:r>
        <w:rPr>
          <w:w w:val="84"/>
        </w:rPr>
        <w:t>2015, </w:t>
      </w:r>
      <w:r>
        <w:rPr>
          <w:w w:val="97"/>
        </w:rPr>
        <w:t>the </w:t>
      </w:r>
      <w:r>
        <w:rPr>
          <w:w w:val="99"/>
        </w:rPr>
        <w:t>GRS </w:t>
      </w:r>
      <w:r>
        <w:rPr>
          <w:w w:val="95"/>
        </w:rPr>
        <w:t>has </w:t>
      </w:r>
      <w:r>
        <w:rPr>
          <w:w w:val="98"/>
        </w:rPr>
        <w:t>instigated</w:t>
      </w:r>
    </w:p>
    <w:p>
      <w:pPr>
        <w:pStyle w:val="BodyText"/>
        <w:spacing w:line="249" w:lineRule="auto"/>
        <w:ind w:left="107" w:right="432"/>
      </w:pPr>
      <w:r>
        <w:rPr/>
        <w:t>a more collegial approach by adopting a ‘communities of practice’ approach to</w:t>
      </w:r>
    </w:p>
    <w:p>
      <w:pPr>
        <w:pStyle w:val="BodyText"/>
        <w:spacing w:line="249" w:lineRule="auto"/>
        <w:ind w:left="107" w:right="-2"/>
      </w:pPr>
      <w:r>
        <w:rPr/>
        <w:t>supervisory development and support. The ‘Supervisor’s Digest’ newsletter and the Supervisor Forums promote this approach.</w:t>
      </w:r>
    </w:p>
    <w:p>
      <w:pPr>
        <w:pStyle w:val="BodyText"/>
        <w:rPr>
          <w:sz w:val="14"/>
        </w:rPr>
      </w:pPr>
    </w:p>
    <w:p>
      <w:pPr>
        <w:pStyle w:val="BodyText"/>
        <w:spacing w:line="249" w:lineRule="auto"/>
        <w:ind w:left="107" w:right="130"/>
      </w:pPr>
      <w:r>
        <w:rPr/>
        <w:t>Facilitating supervisors’ development is one of the key focuses of the GRS in moving ahead, as Federal Government funding pressures mean students will increasingly be required to complete their PhD within</w:t>
      </w:r>
    </w:p>
    <w:p>
      <w:pPr>
        <w:pStyle w:val="BodyText"/>
        <w:spacing w:line="249" w:lineRule="auto"/>
        <w:ind w:left="107" w:right="178"/>
      </w:pPr>
      <w:r>
        <w:rPr/>
        <w:t>a three-year timeframe. This will require the continual evolution of the supervision framework to ensure meaningful and effective collaboration and communication enable tighter completion times.</w:t>
      </w:r>
    </w:p>
    <w:p>
      <w:pPr>
        <w:pStyle w:val="Heading7"/>
        <w:spacing w:before="78"/>
      </w:pPr>
      <w:r>
        <w:rPr>
          <w:b w:val="0"/>
        </w:rPr>
        <w:br w:type="column"/>
      </w:r>
      <w:r>
        <w:rPr/>
        <w:t>ENGAGEMENT</w:t>
      </w:r>
    </w:p>
    <w:p>
      <w:pPr>
        <w:pStyle w:val="BodyText"/>
        <w:spacing w:line="249" w:lineRule="auto" w:before="58"/>
        <w:ind w:left="107" w:right="-2"/>
      </w:pPr>
      <w:r>
        <w:rPr/>
        <w:t>The GRS continues to develop strong communication channels between all </w:t>
      </w:r>
      <w:r>
        <w:rPr>
          <w:spacing w:val="2"/>
        </w:rPr>
        <w:t>HDR </w:t>
      </w:r>
      <w:r>
        <w:rPr/>
        <w:t>staff</w:t>
      </w:r>
      <w:r>
        <w:rPr>
          <w:spacing w:val="-16"/>
        </w:rPr>
        <w:t> </w:t>
      </w:r>
      <w:r>
        <w:rPr/>
        <w:t>and</w:t>
      </w:r>
      <w:r>
        <w:rPr>
          <w:spacing w:val="-16"/>
        </w:rPr>
        <w:t> </w:t>
      </w:r>
      <w:r>
        <w:rPr/>
        <w:t>students</w:t>
      </w:r>
      <w:r>
        <w:rPr>
          <w:spacing w:val="-16"/>
        </w:rPr>
        <w:t> </w:t>
      </w:r>
      <w:r>
        <w:rPr/>
        <w:t>to</w:t>
      </w:r>
      <w:r>
        <w:rPr>
          <w:spacing w:val="-16"/>
        </w:rPr>
        <w:t> </w:t>
      </w:r>
      <w:r>
        <w:rPr/>
        <w:t>keep</w:t>
      </w:r>
      <w:r>
        <w:rPr>
          <w:spacing w:val="-16"/>
        </w:rPr>
        <w:t> </w:t>
      </w:r>
      <w:r>
        <w:rPr/>
        <w:t>abreast</w:t>
      </w:r>
      <w:r>
        <w:rPr>
          <w:spacing w:val="-16"/>
        </w:rPr>
        <w:t> </w:t>
      </w:r>
      <w:r>
        <w:rPr/>
        <w:t>of</w:t>
      </w:r>
      <w:r>
        <w:rPr>
          <w:spacing w:val="-16"/>
        </w:rPr>
        <w:t> </w:t>
      </w:r>
      <w:r>
        <w:rPr/>
        <w:t>issues affecting</w:t>
      </w:r>
      <w:r>
        <w:rPr>
          <w:spacing w:val="-17"/>
        </w:rPr>
        <w:t> </w:t>
      </w:r>
      <w:r>
        <w:rPr/>
        <w:t>students</w:t>
      </w:r>
      <w:r>
        <w:rPr>
          <w:spacing w:val="-17"/>
        </w:rPr>
        <w:t> </w:t>
      </w:r>
      <w:r>
        <w:rPr/>
        <w:t>and</w:t>
      </w:r>
      <w:r>
        <w:rPr>
          <w:spacing w:val="-17"/>
        </w:rPr>
        <w:t> </w:t>
      </w:r>
      <w:r>
        <w:rPr/>
        <w:t>their</w:t>
      </w:r>
      <w:r>
        <w:rPr>
          <w:spacing w:val="-17"/>
        </w:rPr>
        <w:t> </w:t>
      </w:r>
      <w:r>
        <w:rPr/>
        <w:t>supervisors.</w:t>
      </w:r>
    </w:p>
    <w:p>
      <w:pPr>
        <w:pStyle w:val="BodyText"/>
        <w:spacing w:line="249" w:lineRule="auto"/>
        <w:ind w:left="107" w:right="-3"/>
      </w:pPr>
      <w:r>
        <w:rPr/>
        <w:t>The School has expanded the use of its newsletters to facilitate this communication flow: ‘Resonate: Graduate Research Newsletter’ and ‘Supervisor’s </w:t>
      </w:r>
      <w:r>
        <w:rPr>
          <w:spacing w:val="2"/>
        </w:rPr>
        <w:t>Digest’ </w:t>
      </w:r>
      <w:r>
        <w:rPr/>
        <w:t>are monthly</w:t>
      </w:r>
      <w:r>
        <w:rPr>
          <w:spacing w:val="-18"/>
        </w:rPr>
        <w:t> </w:t>
      </w:r>
      <w:r>
        <w:rPr/>
        <w:t>information</w:t>
      </w:r>
      <w:r>
        <w:rPr>
          <w:spacing w:val="-18"/>
        </w:rPr>
        <w:t> </w:t>
      </w:r>
      <w:r>
        <w:rPr/>
        <w:t>digests</w:t>
      </w:r>
      <w:r>
        <w:rPr>
          <w:spacing w:val="-18"/>
        </w:rPr>
        <w:t> </w:t>
      </w:r>
      <w:r>
        <w:rPr/>
        <w:t>for</w:t>
      </w:r>
      <w:r>
        <w:rPr>
          <w:spacing w:val="-18"/>
        </w:rPr>
        <w:t> </w:t>
      </w:r>
      <w:r>
        <w:rPr>
          <w:spacing w:val="2"/>
        </w:rPr>
        <w:t>HDR</w:t>
      </w:r>
      <w:r>
        <w:rPr>
          <w:spacing w:val="-18"/>
        </w:rPr>
        <w:t> </w:t>
      </w:r>
      <w:r>
        <w:rPr/>
        <w:t>students, </w:t>
      </w:r>
      <w:r>
        <w:rPr>
          <w:spacing w:val="2"/>
        </w:rPr>
        <w:t>HDR</w:t>
      </w:r>
      <w:r>
        <w:rPr>
          <w:spacing w:val="-19"/>
        </w:rPr>
        <w:t> </w:t>
      </w:r>
      <w:r>
        <w:rPr/>
        <w:t>Directors</w:t>
      </w:r>
      <w:r>
        <w:rPr>
          <w:spacing w:val="-19"/>
        </w:rPr>
        <w:t> </w:t>
      </w:r>
      <w:r>
        <w:rPr/>
        <w:t>and</w:t>
      </w:r>
      <w:r>
        <w:rPr>
          <w:spacing w:val="-19"/>
        </w:rPr>
        <w:t> </w:t>
      </w:r>
      <w:r>
        <w:rPr/>
        <w:t>Supervisors</w:t>
      </w:r>
      <w:r>
        <w:rPr>
          <w:spacing w:val="-19"/>
        </w:rPr>
        <w:t> </w:t>
      </w:r>
      <w:r>
        <w:rPr/>
        <w:t>respectively.</w:t>
      </w:r>
    </w:p>
    <w:p>
      <w:pPr>
        <w:pStyle w:val="BodyText"/>
        <w:rPr>
          <w:sz w:val="14"/>
        </w:rPr>
      </w:pPr>
    </w:p>
    <w:p>
      <w:pPr>
        <w:pStyle w:val="BodyText"/>
        <w:spacing w:line="249" w:lineRule="auto"/>
        <w:ind w:left="107" w:right="62"/>
      </w:pPr>
      <w:r>
        <w:rPr>
          <w:w w:val="97"/>
        </w:rPr>
        <w:t>Additionally, </w:t>
      </w:r>
      <w:r>
        <w:rPr>
          <w:w w:val="95"/>
        </w:rPr>
        <w:t>in </w:t>
      </w:r>
      <w:r>
        <w:rPr>
          <w:w w:val="85"/>
        </w:rPr>
        <w:t>2016, </w:t>
      </w:r>
      <w:r>
        <w:rPr>
          <w:w w:val="97"/>
        </w:rPr>
        <w:t>the </w:t>
      </w:r>
      <w:r>
        <w:rPr>
          <w:w w:val="99"/>
        </w:rPr>
        <w:t>GRS </w:t>
      </w:r>
      <w:r>
        <w:rPr>
          <w:w w:val="97"/>
        </w:rPr>
        <w:t>launched </w:t>
      </w:r>
      <w:r>
        <w:rPr>
          <w:w w:val="97"/>
        </w:rPr>
        <w:t>its </w:t>
      </w:r>
      <w:r>
        <w:rPr/>
        <w:t>own YouTube Channel, Twitter account and Facebook page to increase engagement and ensure the School reaches candidates and potential candidates across popular social media modes. The GRS YouTube Channel has had over 50,000 views, gained over 550</w:t>
      </w:r>
    </w:p>
    <w:p>
      <w:pPr>
        <w:pStyle w:val="BodyText"/>
        <w:spacing w:line="249" w:lineRule="auto"/>
        <w:ind w:left="107" w:right="51"/>
      </w:pPr>
      <w:r>
        <w:rPr/>
        <w:t>subscribers</w:t>
      </w:r>
      <w:r>
        <w:rPr>
          <w:spacing w:val="-17"/>
        </w:rPr>
        <w:t> </w:t>
      </w:r>
      <w:r>
        <w:rPr/>
        <w:t>and</w:t>
      </w:r>
      <w:r>
        <w:rPr>
          <w:spacing w:val="-17"/>
        </w:rPr>
        <w:t> </w:t>
      </w:r>
      <w:r>
        <w:rPr/>
        <w:t>continues</w:t>
      </w:r>
      <w:r>
        <w:rPr>
          <w:spacing w:val="-17"/>
        </w:rPr>
        <w:t> </w:t>
      </w:r>
      <w:r>
        <w:rPr/>
        <w:t>to</w:t>
      </w:r>
      <w:r>
        <w:rPr>
          <w:spacing w:val="-17"/>
        </w:rPr>
        <w:t> </w:t>
      </w:r>
      <w:r>
        <w:rPr/>
        <w:t>generate</w:t>
      </w:r>
      <w:r>
        <w:rPr>
          <w:spacing w:val="-17"/>
        </w:rPr>
        <w:t> </w:t>
      </w:r>
      <w:r>
        <w:rPr/>
        <w:t>a</w:t>
      </w:r>
      <w:r>
        <w:rPr>
          <w:spacing w:val="-17"/>
        </w:rPr>
        <w:t> </w:t>
      </w:r>
      <w:r>
        <w:rPr/>
        <w:t>great deal of positive feedback. It is increasingly popular</w:t>
      </w:r>
      <w:r>
        <w:rPr>
          <w:spacing w:val="-20"/>
        </w:rPr>
        <w:t> </w:t>
      </w:r>
      <w:r>
        <w:rPr/>
        <w:t>in</w:t>
      </w:r>
      <w:r>
        <w:rPr>
          <w:spacing w:val="-20"/>
        </w:rPr>
        <w:t> </w:t>
      </w:r>
      <w:r>
        <w:rPr/>
        <w:t>key</w:t>
      </w:r>
      <w:r>
        <w:rPr>
          <w:spacing w:val="-20"/>
        </w:rPr>
        <w:t> </w:t>
      </w:r>
      <w:r>
        <w:rPr/>
        <w:t>international</w:t>
      </w:r>
      <w:r>
        <w:rPr>
          <w:spacing w:val="-20"/>
        </w:rPr>
        <w:t> </w:t>
      </w:r>
      <w:r>
        <w:rPr/>
        <w:t>markets</w:t>
      </w:r>
      <w:r>
        <w:rPr>
          <w:spacing w:val="-20"/>
        </w:rPr>
        <w:t> </w:t>
      </w:r>
      <w:r>
        <w:rPr/>
        <w:t>such</w:t>
      </w:r>
    </w:p>
    <w:p>
      <w:pPr>
        <w:pStyle w:val="BodyText"/>
        <w:spacing w:line="192" w:lineRule="exact"/>
        <w:ind w:left="107" w:right="-2"/>
      </w:pPr>
      <w:r>
        <w:rPr/>
        <w:t>as India for PhD related search terms.</w:t>
      </w:r>
    </w:p>
    <w:p>
      <w:pPr>
        <w:pStyle w:val="BodyText"/>
        <w:spacing w:before="7"/>
        <w:rPr>
          <w:sz w:val="14"/>
        </w:rPr>
      </w:pPr>
    </w:p>
    <w:p>
      <w:pPr>
        <w:pStyle w:val="BodyText"/>
        <w:spacing w:line="249" w:lineRule="auto" w:before="1"/>
        <w:ind w:left="107" w:right="156"/>
      </w:pPr>
      <w:r>
        <w:rPr/>
        <w:t>The</w:t>
      </w:r>
      <w:r>
        <w:rPr>
          <w:spacing w:val="-17"/>
        </w:rPr>
        <w:t> </w:t>
      </w:r>
      <w:r>
        <w:rPr/>
        <w:t>Dean</w:t>
      </w:r>
      <w:r>
        <w:rPr>
          <w:spacing w:val="-17"/>
        </w:rPr>
        <w:t> </w:t>
      </w:r>
      <w:r>
        <w:rPr/>
        <w:t>of</w:t>
      </w:r>
      <w:r>
        <w:rPr>
          <w:spacing w:val="-17"/>
        </w:rPr>
        <w:t> </w:t>
      </w:r>
      <w:r>
        <w:rPr/>
        <w:t>Graduate</w:t>
      </w:r>
      <w:r>
        <w:rPr>
          <w:spacing w:val="-17"/>
        </w:rPr>
        <w:t> </w:t>
      </w:r>
      <w:r>
        <w:rPr/>
        <w:t>Studies</w:t>
      </w:r>
      <w:r>
        <w:rPr>
          <w:spacing w:val="-17"/>
        </w:rPr>
        <w:t> </w:t>
      </w:r>
      <w:r>
        <w:rPr/>
        <w:t>promoted</w:t>
      </w:r>
      <w:r>
        <w:rPr>
          <w:spacing w:val="-17"/>
        </w:rPr>
        <w:t> </w:t>
      </w:r>
      <w:r>
        <w:rPr/>
        <w:t>the University by delivering several significant </w:t>
      </w:r>
      <w:r>
        <w:rPr>
          <w:w w:val="98"/>
        </w:rPr>
        <w:t>invited </w:t>
      </w:r>
      <w:r>
        <w:rPr>
          <w:spacing w:val="-1"/>
          <w:w w:val="98"/>
        </w:rPr>
        <w:t>keynote</w:t>
      </w:r>
      <w:r>
        <w:rPr>
          <w:w w:val="98"/>
        </w:rPr>
        <w:t> </w:t>
      </w:r>
      <w:r>
        <w:rPr>
          <w:spacing w:val="1"/>
          <w:w w:val="96"/>
        </w:rPr>
        <w:t>addresses</w:t>
      </w:r>
      <w:r>
        <w:rPr>
          <w:w w:val="96"/>
        </w:rPr>
        <w:t> </w:t>
      </w:r>
      <w:r>
        <w:rPr>
          <w:w w:val="95"/>
        </w:rPr>
        <w:t>in </w:t>
      </w:r>
      <w:r>
        <w:rPr>
          <w:spacing w:val="2"/>
          <w:w w:val="85"/>
        </w:rPr>
        <w:t>2016.</w:t>
      </w:r>
      <w:r>
        <w:rPr>
          <w:w w:val="85"/>
        </w:rPr>
        <w:t> </w:t>
      </w:r>
      <w:r>
        <w:rPr>
          <w:spacing w:val="-4"/>
          <w:w w:val="98"/>
        </w:rPr>
        <w:t>Two</w:t>
      </w:r>
      <w:r>
        <w:rPr>
          <w:w w:val="98"/>
        </w:rPr>
        <w:t> </w:t>
      </w:r>
      <w:r>
        <w:rPr>
          <w:w w:val="95"/>
        </w:rPr>
        <w:t>in </w:t>
      </w:r>
      <w:r>
        <w:rPr/>
        <w:t>particular</w:t>
      </w:r>
      <w:r>
        <w:rPr>
          <w:spacing w:val="-18"/>
        </w:rPr>
        <w:t> </w:t>
      </w:r>
      <w:r>
        <w:rPr/>
        <w:t>reached</w:t>
      </w:r>
      <w:r>
        <w:rPr>
          <w:spacing w:val="-18"/>
        </w:rPr>
        <w:t> </w:t>
      </w:r>
      <w:r>
        <w:rPr/>
        <w:t>a</w:t>
      </w:r>
      <w:r>
        <w:rPr>
          <w:spacing w:val="-18"/>
        </w:rPr>
        <w:t> </w:t>
      </w:r>
      <w:r>
        <w:rPr/>
        <w:t>significant</w:t>
      </w:r>
      <w:r>
        <w:rPr>
          <w:spacing w:val="-18"/>
        </w:rPr>
        <w:t> </w:t>
      </w:r>
      <w:r>
        <w:rPr/>
        <w:t>international audience in profiling the work of the University,</w:t>
      </w:r>
      <w:r>
        <w:rPr>
          <w:spacing w:val="-21"/>
        </w:rPr>
        <w:t> </w:t>
      </w:r>
      <w:r>
        <w:rPr/>
        <w:t>being</w:t>
      </w:r>
      <w:r>
        <w:rPr>
          <w:spacing w:val="-21"/>
        </w:rPr>
        <w:t> </w:t>
      </w:r>
      <w:r>
        <w:rPr/>
        <w:t>the</w:t>
      </w:r>
      <w:r>
        <w:rPr>
          <w:spacing w:val="-21"/>
        </w:rPr>
        <w:t> </w:t>
      </w:r>
      <w:r>
        <w:rPr/>
        <w:t>opening</w:t>
      </w:r>
      <w:r>
        <w:rPr>
          <w:spacing w:val="-21"/>
        </w:rPr>
        <w:t> </w:t>
      </w:r>
      <w:r>
        <w:rPr/>
        <w:t>keynotes</w:t>
      </w:r>
    </w:p>
    <w:p>
      <w:pPr>
        <w:spacing w:line="244" w:lineRule="auto" w:before="0"/>
        <w:ind w:left="107" w:right="361" w:firstLine="0"/>
        <w:jc w:val="left"/>
        <w:rPr>
          <w:sz w:val="16"/>
        </w:rPr>
      </w:pPr>
      <w:r>
        <w:rPr>
          <w:w w:val="95"/>
          <w:sz w:val="16"/>
        </w:rPr>
        <w:t>at</w:t>
      </w:r>
      <w:r>
        <w:rPr>
          <w:spacing w:val="-29"/>
          <w:w w:val="95"/>
          <w:sz w:val="16"/>
        </w:rPr>
        <w:t> </w:t>
      </w:r>
      <w:r>
        <w:rPr>
          <w:w w:val="95"/>
          <w:sz w:val="16"/>
        </w:rPr>
        <w:t>the</w:t>
      </w:r>
      <w:r>
        <w:rPr>
          <w:spacing w:val="-29"/>
          <w:w w:val="95"/>
          <w:sz w:val="16"/>
        </w:rPr>
        <w:t> </w:t>
      </w:r>
      <w:r>
        <w:rPr>
          <w:rFonts w:ascii="Century Gothic"/>
          <w:i/>
          <w:w w:val="95"/>
          <w:sz w:val="16"/>
        </w:rPr>
        <w:t>Quality</w:t>
      </w:r>
      <w:r>
        <w:rPr>
          <w:rFonts w:ascii="Century Gothic"/>
          <w:i/>
          <w:spacing w:val="-24"/>
          <w:w w:val="95"/>
          <w:sz w:val="16"/>
        </w:rPr>
        <w:t> </w:t>
      </w:r>
      <w:r>
        <w:rPr>
          <w:rFonts w:ascii="Century Gothic"/>
          <w:i/>
          <w:w w:val="95"/>
          <w:sz w:val="16"/>
        </w:rPr>
        <w:t>in</w:t>
      </w:r>
      <w:r>
        <w:rPr>
          <w:rFonts w:ascii="Century Gothic"/>
          <w:i/>
          <w:spacing w:val="-24"/>
          <w:w w:val="95"/>
          <w:sz w:val="16"/>
        </w:rPr>
        <w:t> </w:t>
      </w:r>
      <w:r>
        <w:rPr>
          <w:rFonts w:ascii="Century Gothic"/>
          <w:i/>
          <w:w w:val="95"/>
          <w:sz w:val="16"/>
        </w:rPr>
        <w:t>Postgraduate</w:t>
      </w:r>
      <w:r>
        <w:rPr>
          <w:rFonts w:ascii="Century Gothic"/>
          <w:i/>
          <w:spacing w:val="-24"/>
          <w:w w:val="95"/>
          <w:sz w:val="16"/>
        </w:rPr>
        <w:t> </w:t>
      </w:r>
      <w:r>
        <w:rPr>
          <w:rFonts w:ascii="Century Gothic"/>
          <w:i/>
          <w:w w:val="95"/>
          <w:sz w:val="16"/>
        </w:rPr>
        <w:t>Research </w:t>
      </w:r>
      <w:r>
        <w:rPr>
          <w:sz w:val="16"/>
        </w:rPr>
        <w:t>conference</w:t>
      </w:r>
      <w:r>
        <w:rPr>
          <w:spacing w:val="-23"/>
          <w:sz w:val="16"/>
        </w:rPr>
        <w:t> </w:t>
      </w:r>
      <w:r>
        <w:rPr>
          <w:sz w:val="16"/>
        </w:rPr>
        <w:t>(Adelaide)</w:t>
      </w:r>
      <w:r>
        <w:rPr>
          <w:spacing w:val="-23"/>
          <w:sz w:val="16"/>
        </w:rPr>
        <w:t> </w:t>
      </w:r>
      <w:r>
        <w:rPr>
          <w:sz w:val="16"/>
        </w:rPr>
        <w:t>and</w:t>
      </w:r>
      <w:r>
        <w:rPr>
          <w:spacing w:val="-23"/>
          <w:sz w:val="16"/>
        </w:rPr>
        <w:t> </w:t>
      </w:r>
      <w:r>
        <w:rPr>
          <w:sz w:val="16"/>
        </w:rPr>
        <w:t>the</w:t>
      </w:r>
      <w:r>
        <w:rPr>
          <w:spacing w:val="-23"/>
          <w:sz w:val="16"/>
        </w:rPr>
        <w:t> </w:t>
      </w:r>
      <w:r>
        <w:rPr>
          <w:rFonts w:ascii="Century Gothic"/>
          <w:i/>
          <w:sz w:val="16"/>
        </w:rPr>
        <w:t>Ministry</w:t>
      </w:r>
      <w:r>
        <w:rPr>
          <w:rFonts w:ascii="Century Gothic"/>
          <w:i/>
          <w:spacing w:val="-18"/>
          <w:sz w:val="16"/>
        </w:rPr>
        <w:t> </w:t>
      </w:r>
      <w:r>
        <w:rPr>
          <w:rFonts w:ascii="Century Gothic"/>
          <w:i/>
          <w:sz w:val="16"/>
        </w:rPr>
        <w:t>of </w:t>
      </w:r>
      <w:r>
        <w:rPr>
          <w:rFonts w:ascii="Century Gothic"/>
          <w:i/>
          <w:w w:val="95"/>
          <w:sz w:val="16"/>
        </w:rPr>
        <w:t>Religious Affairs </w:t>
      </w:r>
      <w:r>
        <w:rPr>
          <w:w w:val="95"/>
          <w:sz w:val="16"/>
        </w:rPr>
        <w:t>conference in</w:t>
      </w:r>
      <w:r>
        <w:rPr>
          <w:spacing w:val="-5"/>
          <w:w w:val="95"/>
          <w:sz w:val="16"/>
        </w:rPr>
        <w:t> </w:t>
      </w:r>
      <w:r>
        <w:rPr>
          <w:w w:val="95"/>
          <w:sz w:val="16"/>
        </w:rPr>
        <w:t>Indonesia.</w:t>
      </w:r>
    </w:p>
    <w:p>
      <w:pPr>
        <w:pStyle w:val="BodyText"/>
        <w:spacing w:before="4"/>
        <w:rPr>
          <w:sz w:val="19"/>
        </w:rPr>
      </w:pPr>
    </w:p>
    <w:p>
      <w:pPr>
        <w:pStyle w:val="Heading7"/>
        <w:spacing w:line="249" w:lineRule="auto"/>
      </w:pPr>
      <w:r>
        <w:rPr>
          <w:w w:val="95"/>
        </w:rPr>
        <w:t>THE HDR STUDENT ADMINISTRATION SUPPORT JOURNEY</w:t>
      </w:r>
    </w:p>
    <w:p>
      <w:pPr>
        <w:pStyle w:val="BodyText"/>
        <w:spacing w:line="249" w:lineRule="auto" w:before="50"/>
        <w:ind w:left="107" w:right="108"/>
        <w:jc w:val="both"/>
      </w:pPr>
      <w:r>
        <w:rPr/>
        <w:t>The</w:t>
      </w:r>
      <w:r>
        <w:rPr>
          <w:spacing w:val="-15"/>
        </w:rPr>
        <w:t> </w:t>
      </w:r>
      <w:r>
        <w:rPr/>
        <w:t>GRS</w:t>
      </w:r>
      <w:r>
        <w:rPr>
          <w:spacing w:val="-15"/>
        </w:rPr>
        <w:t> </w:t>
      </w:r>
      <w:r>
        <w:rPr/>
        <w:t>continues</w:t>
      </w:r>
      <w:r>
        <w:rPr>
          <w:spacing w:val="-15"/>
        </w:rPr>
        <w:t> </w:t>
      </w:r>
      <w:r>
        <w:rPr/>
        <w:t>to</w:t>
      </w:r>
      <w:r>
        <w:rPr>
          <w:spacing w:val="-15"/>
        </w:rPr>
        <w:t> </w:t>
      </w:r>
      <w:r>
        <w:rPr/>
        <w:t>provide</w:t>
      </w:r>
      <w:r>
        <w:rPr>
          <w:spacing w:val="-15"/>
        </w:rPr>
        <w:t> </w:t>
      </w:r>
      <w:r>
        <w:rPr/>
        <w:t>accessible</w:t>
      </w:r>
      <w:r>
        <w:rPr>
          <w:spacing w:val="-15"/>
        </w:rPr>
        <w:t> </w:t>
      </w:r>
      <w:r>
        <w:rPr/>
        <w:t>and personalised</w:t>
      </w:r>
      <w:r>
        <w:rPr>
          <w:spacing w:val="-14"/>
        </w:rPr>
        <w:t> </w:t>
      </w:r>
      <w:r>
        <w:rPr/>
        <w:t>administration</w:t>
      </w:r>
      <w:r>
        <w:rPr>
          <w:spacing w:val="-14"/>
        </w:rPr>
        <w:t> </w:t>
      </w:r>
      <w:r>
        <w:rPr/>
        <w:t>support</w:t>
      </w:r>
      <w:r>
        <w:rPr>
          <w:spacing w:val="-14"/>
        </w:rPr>
        <w:t> </w:t>
      </w:r>
      <w:r>
        <w:rPr/>
        <w:t>services to</w:t>
      </w:r>
      <w:r>
        <w:rPr>
          <w:spacing w:val="-17"/>
        </w:rPr>
        <w:t> </w:t>
      </w:r>
      <w:r>
        <w:rPr/>
        <w:t>all</w:t>
      </w:r>
      <w:r>
        <w:rPr>
          <w:spacing w:val="-17"/>
        </w:rPr>
        <w:t> </w:t>
      </w:r>
      <w:r>
        <w:rPr>
          <w:spacing w:val="2"/>
        </w:rPr>
        <w:t>HDR</w:t>
      </w:r>
      <w:r>
        <w:rPr>
          <w:spacing w:val="-17"/>
        </w:rPr>
        <w:t> </w:t>
      </w:r>
      <w:r>
        <w:rPr/>
        <w:t>students.</w:t>
      </w:r>
      <w:r>
        <w:rPr>
          <w:spacing w:val="-17"/>
        </w:rPr>
        <w:t> </w:t>
      </w:r>
      <w:r>
        <w:rPr/>
        <w:t>This</w:t>
      </w:r>
      <w:r>
        <w:rPr>
          <w:spacing w:val="-17"/>
        </w:rPr>
        <w:t> </w:t>
      </w:r>
      <w:r>
        <w:rPr/>
        <w:t>support</w:t>
      </w:r>
      <w:r>
        <w:rPr>
          <w:spacing w:val="-17"/>
        </w:rPr>
        <w:t> </w:t>
      </w:r>
      <w:r>
        <w:rPr/>
        <w:t>covers</w:t>
      </w:r>
    </w:p>
    <w:p>
      <w:pPr>
        <w:pStyle w:val="BodyText"/>
        <w:spacing w:line="249" w:lineRule="auto"/>
        <w:ind w:left="107" w:right="198"/>
      </w:pPr>
      <w:r>
        <w:rPr/>
        <w:t>the</w:t>
      </w:r>
      <w:r>
        <w:rPr>
          <w:spacing w:val="-19"/>
        </w:rPr>
        <w:t> </w:t>
      </w:r>
      <w:r>
        <w:rPr/>
        <w:t>whole</w:t>
      </w:r>
      <w:r>
        <w:rPr>
          <w:spacing w:val="-19"/>
        </w:rPr>
        <w:t> </w:t>
      </w:r>
      <w:r>
        <w:rPr/>
        <w:t>of</w:t>
      </w:r>
      <w:r>
        <w:rPr>
          <w:spacing w:val="-19"/>
        </w:rPr>
        <w:t> </w:t>
      </w:r>
      <w:r>
        <w:rPr/>
        <w:t>the</w:t>
      </w:r>
      <w:r>
        <w:rPr>
          <w:spacing w:val="-19"/>
        </w:rPr>
        <w:t> </w:t>
      </w:r>
      <w:r>
        <w:rPr>
          <w:spacing w:val="2"/>
        </w:rPr>
        <w:t>HDR</w:t>
      </w:r>
      <w:r>
        <w:rPr>
          <w:spacing w:val="-19"/>
        </w:rPr>
        <w:t> </w:t>
      </w:r>
      <w:r>
        <w:rPr/>
        <w:t>student</w:t>
      </w:r>
      <w:r>
        <w:rPr>
          <w:spacing w:val="-19"/>
        </w:rPr>
        <w:t> </w:t>
      </w:r>
      <w:r>
        <w:rPr/>
        <w:t>journey:</w:t>
      </w:r>
      <w:r>
        <w:rPr>
          <w:spacing w:val="-19"/>
        </w:rPr>
        <w:t> </w:t>
      </w:r>
      <w:r>
        <w:rPr/>
        <w:t>from their initial enquiry through to graduation, </w:t>
      </w:r>
      <w:r>
        <w:rPr>
          <w:spacing w:val="1"/>
          <w:w w:val="98"/>
        </w:rPr>
        <w:t>supporting</w:t>
      </w:r>
      <w:r>
        <w:rPr>
          <w:w w:val="98"/>
        </w:rPr>
        <w:t> </w:t>
      </w:r>
      <w:r>
        <w:rPr>
          <w:w w:val="95"/>
        </w:rPr>
        <w:t>in </w:t>
      </w:r>
      <w:r>
        <w:rPr>
          <w:w w:val="97"/>
        </w:rPr>
        <w:t>excess </w:t>
      </w:r>
      <w:r>
        <w:rPr>
          <w:w w:val="99"/>
        </w:rPr>
        <w:t>of </w:t>
      </w:r>
      <w:r>
        <w:rPr>
          <w:spacing w:val="2"/>
          <w:w w:val="82"/>
        </w:rPr>
        <w:t>1100</w:t>
      </w:r>
      <w:r>
        <w:rPr>
          <w:spacing w:val="-19"/>
          <w:w w:val="82"/>
        </w:rPr>
        <w:t> </w:t>
      </w:r>
      <w:r>
        <w:rPr>
          <w:spacing w:val="1"/>
          <w:w w:val="95"/>
        </w:rPr>
        <w:t>candidates.</w:t>
      </w:r>
    </w:p>
    <w:p>
      <w:pPr>
        <w:pStyle w:val="BodyText"/>
        <w:rPr>
          <w:sz w:val="14"/>
        </w:rPr>
      </w:pPr>
    </w:p>
    <w:p>
      <w:pPr>
        <w:pStyle w:val="BodyText"/>
        <w:spacing w:line="249" w:lineRule="auto"/>
        <w:ind w:left="107" w:right="593"/>
      </w:pPr>
      <w:r>
        <w:rPr>
          <w:w w:val="80"/>
        </w:rPr>
        <w:t>In </w:t>
      </w:r>
      <w:r>
        <w:rPr>
          <w:w w:val="85"/>
        </w:rPr>
        <w:t>2016, </w:t>
      </w:r>
      <w:r>
        <w:rPr>
          <w:w w:val="97"/>
        </w:rPr>
        <w:t>the </w:t>
      </w:r>
      <w:r>
        <w:rPr>
          <w:w w:val="99"/>
        </w:rPr>
        <w:t>GRS </w:t>
      </w:r>
      <w:r>
        <w:rPr>
          <w:w w:val="98"/>
        </w:rPr>
        <w:t>continued </w:t>
      </w:r>
      <w:r>
        <w:rPr>
          <w:w w:val="97"/>
        </w:rPr>
        <w:t>its </w:t>
      </w:r>
      <w:r>
        <w:rPr>
          <w:w w:val="97"/>
        </w:rPr>
        <w:t>cultural </w:t>
      </w:r>
      <w:r>
        <w:rPr/>
        <w:t>shift from a transactional approach</w:t>
      </w:r>
    </w:p>
    <w:p>
      <w:pPr>
        <w:pStyle w:val="BodyText"/>
        <w:spacing w:line="249" w:lineRule="auto"/>
        <w:ind w:left="107" w:right="719"/>
      </w:pPr>
      <w:r>
        <w:rPr/>
        <w:t>to a personalised, student-centred approach to uphold and reinforce the University’s commitment to the primacy of the student experience.</w:t>
      </w:r>
    </w:p>
    <w:p>
      <w:pPr>
        <w:pStyle w:val="BodyText"/>
        <w:spacing w:before="72"/>
        <w:ind w:left="107"/>
      </w:pPr>
      <w:r>
        <w:rPr/>
        <w:br w:type="column"/>
      </w:r>
      <w:r>
        <w:rPr>
          <w:spacing w:val="3"/>
          <w:w w:val="100"/>
        </w:rPr>
        <w:t>O</w:t>
      </w:r>
      <w:r>
        <w:rPr>
          <w:w w:val="102"/>
        </w:rPr>
        <w:t>t</w:t>
      </w:r>
      <w:r>
        <w:rPr>
          <w:spacing w:val="2"/>
          <w:w w:val="95"/>
        </w:rPr>
        <w:t>h</w:t>
      </w:r>
      <w:r>
        <w:rPr>
          <w:spacing w:val="2"/>
          <w:w w:val="95"/>
        </w:rPr>
        <w:t>e</w:t>
      </w:r>
      <w:r>
        <w:rPr>
          <w:w w:val="95"/>
        </w:rPr>
        <w:t>r</w:t>
      </w:r>
      <w:r>
        <w:rPr>
          <w:spacing w:val="-12"/>
        </w:rPr>
        <w:t> </w:t>
      </w:r>
      <w:r>
        <w:rPr>
          <w:spacing w:val="1"/>
          <w:w w:val="95"/>
        </w:rPr>
        <w:t>h</w:t>
      </w:r>
      <w:r>
        <w:rPr>
          <w:spacing w:val="1"/>
          <w:w w:val="95"/>
        </w:rPr>
        <w:t>i</w:t>
      </w:r>
      <w:r>
        <w:rPr>
          <w:spacing w:val="2"/>
          <w:w w:val="102"/>
        </w:rPr>
        <w:t>g</w:t>
      </w:r>
      <w:r>
        <w:rPr>
          <w:spacing w:val="2"/>
          <w:w w:val="95"/>
        </w:rPr>
        <w:t>h</w:t>
      </w:r>
      <w:r>
        <w:rPr>
          <w:w w:val="95"/>
        </w:rPr>
        <w:t>l</w:t>
      </w:r>
      <w:r>
        <w:rPr>
          <w:spacing w:val="1"/>
          <w:w w:val="95"/>
        </w:rPr>
        <w:t>i</w:t>
      </w:r>
      <w:r>
        <w:rPr>
          <w:spacing w:val="2"/>
          <w:w w:val="102"/>
        </w:rPr>
        <w:t>g</w:t>
      </w:r>
      <w:r>
        <w:rPr>
          <w:w w:val="95"/>
        </w:rPr>
        <w:t>h</w:t>
      </w:r>
      <w:r>
        <w:rPr>
          <w:spacing w:val="4"/>
          <w:w w:val="102"/>
        </w:rPr>
        <w:t>t</w:t>
      </w:r>
      <w:r>
        <w:rPr>
          <w:w w:val="95"/>
        </w:rPr>
        <w:t>s</w:t>
      </w:r>
      <w:r>
        <w:rPr>
          <w:spacing w:val="-12"/>
        </w:rPr>
        <w:t> </w:t>
      </w:r>
      <w:r>
        <w:rPr>
          <w:w w:val="100"/>
        </w:rPr>
        <w:t>o</w:t>
      </w:r>
      <w:r>
        <w:rPr>
          <w:w w:val="98"/>
        </w:rPr>
        <w:t>f</w:t>
      </w:r>
      <w:r>
        <w:rPr>
          <w:spacing w:val="-12"/>
        </w:rPr>
        <w:t> </w:t>
      </w:r>
      <w:r>
        <w:rPr>
          <w:spacing w:val="2"/>
          <w:w w:val="93"/>
        </w:rPr>
        <w:t>2</w:t>
      </w:r>
      <w:r>
        <w:rPr>
          <w:spacing w:val="1"/>
          <w:w w:val="111"/>
        </w:rPr>
        <w:t>0</w:t>
      </w:r>
      <w:r>
        <w:rPr>
          <w:spacing w:val="4"/>
          <w:w w:val="54"/>
        </w:rPr>
        <w:t>1</w:t>
      </w:r>
      <w:r>
        <w:rPr>
          <w:w w:val="101"/>
        </w:rPr>
        <w:t>6</w:t>
      </w:r>
      <w:r>
        <w:rPr>
          <w:spacing w:val="-12"/>
        </w:rPr>
        <w:t> </w:t>
      </w:r>
      <w:r>
        <w:rPr>
          <w:w w:val="98"/>
        </w:rPr>
        <w:t>f</w:t>
      </w:r>
      <w:r>
        <w:rPr>
          <w:spacing w:val="2"/>
          <w:w w:val="100"/>
        </w:rPr>
        <w:t>o</w:t>
      </w:r>
      <w:r>
        <w:rPr>
          <w:w w:val="95"/>
        </w:rPr>
        <w:t>r</w:t>
      </w:r>
      <w:r>
        <w:rPr>
          <w:spacing w:val="-12"/>
        </w:rPr>
        <w:t> </w:t>
      </w:r>
      <w:r>
        <w:rPr>
          <w:w w:val="102"/>
        </w:rPr>
        <w:t>t</w:t>
      </w:r>
      <w:r>
        <w:rPr>
          <w:spacing w:val="2"/>
          <w:w w:val="95"/>
        </w:rPr>
        <w:t>h</w:t>
      </w:r>
      <w:r>
        <w:rPr>
          <w:w w:val="95"/>
        </w:rPr>
        <w:t>e</w:t>
      </w:r>
      <w:r>
        <w:rPr>
          <w:spacing w:val="-12"/>
        </w:rPr>
        <w:t> </w:t>
      </w:r>
      <w:r>
        <w:rPr>
          <w:spacing w:val="3"/>
          <w:w w:val="99"/>
        </w:rPr>
        <w:t>G</w:t>
      </w:r>
      <w:r>
        <w:rPr>
          <w:spacing w:val="2"/>
          <w:w w:val="99"/>
        </w:rPr>
        <w:t>R</w:t>
      </w:r>
      <w:r>
        <w:rPr>
          <w:w w:val="98"/>
        </w:rPr>
        <w:t>S</w:t>
      </w:r>
      <w:r>
        <w:rPr>
          <w:spacing w:val="-12"/>
        </w:rPr>
        <w:t> </w:t>
      </w:r>
      <w:r>
        <w:rPr>
          <w:spacing w:val="1"/>
          <w:w w:val="95"/>
        </w:rPr>
        <w:t>i</w:t>
      </w:r>
      <w:r>
        <w:rPr>
          <w:spacing w:val="2"/>
          <w:w w:val="95"/>
        </w:rPr>
        <w:t>n</w:t>
      </w:r>
      <w:r>
        <w:rPr>
          <w:spacing w:val="1"/>
          <w:w w:val="102"/>
        </w:rPr>
        <w:t>c</w:t>
      </w:r>
      <w:r>
        <w:rPr>
          <w:spacing w:val="1"/>
          <w:w w:val="95"/>
        </w:rPr>
        <w:t>l</w:t>
      </w:r>
      <w:r>
        <w:rPr>
          <w:spacing w:val="2"/>
          <w:w w:val="95"/>
        </w:rPr>
        <w:t>u</w:t>
      </w:r>
      <w:r>
        <w:rPr>
          <w:spacing w:val="2"/>
          <w:w w:val="102"/>
        </w:rPr>
        <w:t>d</w:t>
      </w:r>
      <w:r>
        <w:rPr>
          <w:spacing w:val="1"/>
          <w:w w:val="95"/>
        </w:rPr>
        <w:t>e</w:t>
      </w:r>
      <w:r>
        <w:rPr>
          <w:w w:val="61"/>
        </w:rPr>
        <w:t>:</w:t>
      </w:r>
    </w:p>
    <w:p>
      <w:pPr>
        <w:pStyle w:val="BodyText"/>
        <w:spacing w:line="247" w:lineRule="auto" w:before="62"/>
        <w:ind w:left="305" w:hanging="199"/>
      </w:pPr>
      <w:r>
        <w:rPr>
          <w:rFonts w:ascii="Century Gothic" w:hAnsi="Century Gothic"/>
          <w:b/>
          <w:w w:val="145"/>
        </w:rPr>
        <w:t>≥ </w:t>
      </w:r>
      <w:r>
        <w:rPr>
          <w:w w:val="94"/>
        </w:rPr>
        <w:t>The </w:t>
      </w:r>
      <w:r>
        <w:rPr>
          <w:w w:val="99"/>
        </w:rPr>
        <w:t>GRS </w:t>
      </w:r>
      <w:r>
        <w:rPr>
          <w:w w:val="95"/>
        </w:rPr>
        <w:t>has </w:t>
      </w:r>
      <w:r>
        <w:rPr>
          <w:w w:val="78"/>
        </w:rPr>
        <w:t>1015 </w:t>
      </w:r>
      <w:r>
        <w:rPr>
          <w:w w:val="98"/>
        </w:rPr>
        <w:t>HDR </w:t>
      </w:r>
      <w:r>
        <w:rPr>
          <w:w w:val="98"/>
        </w:rPr>
        <w:t>(excluding </w:t>
      </w:r>
      <w:r>
        <w:rPr>
          <w:w w:val="96"/>
        </w:rPr>
        <w:t>MRes) </w:t>
      </w:r>
      <w:r>
        <w:rPr/>
        <w:t>candidates who were working towards </w:t>
      </w:r>
      <w:r>
        <w:rPr>
          <w:w w:val="99"/>
        </w:rPr>
        <w:t>PhD/MPhil </w:t>
      </w:r>
      <w:r>
        <w:rPr>
          <w:w w:val="97"/>
        </w:rPr>
        <w:t>degrees </w:t>
      </w:r>
      <w:r>
        <w:rPr>
          <w:w w:val="95"/>
        </w:rPr>
        <w:t>in </w:t>
      </w:r>
      <w:r>
        <w:rPr>
          <w:w w:val="90"/>
        </w:rPr>
        <w:t>2016</w:t>
      </w:r>
    </w:p>
    <w:p>
      <w:pPr>
        <w:pStyle w:val="BodyText"/>
        <w:spacing w:before="57"/>
        <w:ind w:left="107"/>
      </w:pPr>
      <w:r>
        <w:rPr>
          <w:rFonts w:ascii="Century Gothic" w:hAnsi="Century Gothic"/>
          <w:b/>
          <w:w w:val="145"/>
        </w:rPr>
        <w:t>≥</w:t>
      </w:r>
      <w:r>
        <w:rPr>
          <w:rFonts w:ascii="Century Gothic" w:hAnsi="Century Gothic"/>
          <w:b/>
        </w:rPr>
        <w:t> </w:t>
      </w:r>
      <w:r>
        <w:rPr>
          <w:rFonts w:ascii="Century Gothic" w:hAnsi="Century Gothic"/>
          <w:b/>
          <w:spacing w:val="-19"/>
        </w:rPr>
        <w:t> </w:t>
      </w:r>
      <w:r>
        <w:rPr>
          <w:spacing w:val="3"/>
          <w:w w:val="101"/>
        </w:rPr>
        <w:t>9</w:t>
      </w:r>
      <w:r>
        <w:rPr>
          <w:w w:val="101"/>
        </w:rPr>
        <w:t>9</w:t>
      </w:r>
      <w:r>
        <w:rPr>
          <w:spacing w:val="-12"/>
        </w:rPr>
        <w:t> </w:t>
      </w:r>
      <w:r>
        <w:rPr>
          <w:spacing w:val="2"/>
          <w:w w:val="104"/>
        </w:rPr>
        <w:t>P</w:t>
      </w:r>
      <w:r>
        <w:rPr>
          <w:spacing w:val="3"/>
          <w:w w:val="95"/>
        </w:rPr>
        <w:t>h</w:t>
      </w:r>
      <w:r>
        <w:rPr>
          <w:w w:val="98"/>
        </w:rPr>
        <w:t>D</w:t>
      </w:r>
      <w:r>
        <w:rPr>
          <w:spacing w:val="-12"/>
        </w:rPr>
        <w:t> </w:t>
      </w:r>
      <w:r>
        <w:rPr>
          <w:spacing w:val="3"/>
          <w:w w:val="95"/>
        </w:rPr>
        <w:t>s</w:t>
      </w:r>
      <w:r>
        <w:rPr>
          <w:spacing w:val="1"/>
          <w:w w:val="102"/>
        </w:rPr>
        <w:t>t</w:t>
      </w:r>
      <w:r>
        <w:rPr>
          <w:spacing w:val="2"/>
          <w:w w:val="95"/>
        </w:rPr>
        <w:t>u</w:t>
      </w:r>
      <w:r>
        <w:rPr>
          <w:spacing w:val="2"/>
          <w:w w:val="102"/>
        </w:rPr>
        <w:t>d</w:t>
      </w:r>
      <w:r>
        <w:rPr>
          <w:spacing w:val="2"/>
          <w:w w:val="95"/>
        </w:rPr>
        <w:t>e</w:t>
      </w:r>
      <w:r>
        <w:rPr>
          <w:w w:val="95"/>
        </w:rPr>
        <w:t>n</w:t>
      </w:r>
      <w:r>
        <w:rPr>
          <w:spacing w:val="4"/>
          <w:w w:val="102"/>
        </w:rPr>
        <w:t>t</w:t>
      </w:r>
      <w:r>
        <w:rPr>
          <w:w w:val="95"/>
        </w:rPr>
        <w:t>s</w:t>
      </w:r>
      <w:r>
        <w:rPr>
          <w:spacing w:val="-12"/>
        </w:rPr>
        <w:t> </w:t>
      </w:r>
      <w:r>
        <w:rPr>
          <w:spacing w:val="2"/>
          <w:w w:val="102"/>
        </w:rPr>
        <w:t>g</w:t>
      </w:r>
      <w:r>
        <w:rPr>
          <w:spacing w:val="2"/>
          <w:w w:val="95"/>
        </w:rPr>
        <w:t>r</w:t>
      </w:r>
      <w:r>
        <w:rPr>
          <w:spacing w:val="2"/>
          <w:w w:val="94"/>
        </w:rPr>
        <w:t>a</w:t>
      </w:r>
      <w:r>
        <w:rPr>
          <w:spacing w:val="2"/>
          <w:w w:val="102"/>
        </w:rPr>
        <w:t>d</w:t>
      </w:r>
      <w:r>
        <w:rPr>
          <w:spacing w:val="2"/>
          <w:w w:val="95"/>
        </w:rPr>
        <w:t>u</w:t>
      </w:r>
      <w:r>
        <w:rPr>
          <w:w w:val="94"/>
        </w:rPr>
        <w:t>a</w:t>
      </w:r>
      <w:r>
        <w:rPr>
          <w:spacing w:val="-2"/>
          <w:w w:val="102"/>
        </w:rPr>
        <w:t>t</w:t>
      </w:r>
      <w:r>
        <w:rPr>
          <w:spacing w:val="3"/>
          <w:w w:val="95"/>
        </w:rPr>
        <w:t>e</w:t>
      </w:r>
      <w:r>
        <w:rPr>
          <w:w w:val="102"/>
        </w:rPr>
        <w:t>d</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w w:val="101"/>
        </w:rPr>
        <w:t>6</w:t>
      </w:r>
    </w:p>
    <w:p>
      <w:pPr>
        <w:pStyle w:val="BodyText"/>
        <w:spacing w:before="60"/>
        <w:ind w:left="107"/>
      </w:pPr>
      <w:r>
        <w:rPr>
          <w:rFonts w:ascii="Century Gothic" w:hAnsi="Century Gothic"/>
          <w:b/>
          <w:w w:val="115"/>
        </w:rPr>
        <w:t>≥ </w:t>
      </w:r>
      <w:r>
        <w:rPr>
          <w:w w:val="105"/>
        </w:rPr>
        <w:t>The GRS facilitated the development of</w:t>
      </w:r>
    </w:p>
    <w:p>
      <w:pPr>
        <w:pStyle w:val="BodyText"/>
        <w:spacing w:line="249" w:lineRule="auto" w:before="4"/>
        <w:ind w:left="305" w:right="154"/>
      </w:pPr>
      <w:r>
        <w:rPr/>
        <w:t>8 Dual Awards with Universities, including but not limited to:</w:t>
      </w:r>
    </w:p>
    <w:p>
      <w:pPr>
        <w:pStyle w:val="ListParagraph"/>
        <w:numPr>
          <w:ilvl w:val="0"/>
          <w:numId w:val="1"/>
        </w:numPr>
        <w:tabs>
          <w:tab w:pos="448" w:val="left" w:leader="none"/>
        </w:tabs>
        <w:spacing w:line="240" w:lineRule="auto" w:before="55" w:after="0"/>
        <w:ind w:left="447" w:right="0" w:hanging="142"/>
        <w:jc w:val="left"/>
        <w:rPr>
          <w:sz w:val="16"/>
        </w:rPr>
      </w:pPr>
      <w:r>
        <w:rPr>
          <w:sz w:val="16"/>
        </w:rPr>
        <w:t>University of</w:t>
      </w:r>
      <w:r>
        <w:rPr>
          <w:spacing w:val="-32"/>
          <w:sz w:val="16"/>
        </w:rPr>
        <w:t> </w:t>
      </w:r>
      <w:r>
        <w:rPr>
          <w:sz w:val="16"/>
        </w:rPr>
        <w:t>Montpellier</w:t>
      </w:r>
    </w:p>
    <w:p>
      <w:pPr>
        <w:pStyle w:val="ListParagraph"/>
        <w:numPr>
          <w:ilvl w:val="0"/>
          <w:numId w:val="1"/>
        </w:numPr>
        <w:tabs>
          <w:tab w:pos="448" w:val="left" w:leader="none"/>
        </w:tabs>
        <w:spacing w:line="240" w:lineRule="auto" w:before="63" w:after="0"/>
        <w:ind w:left="447" w:right="0" w:hanging="142"/>
        <w:jc w:val="left"/>
        <w:rPr>
          <w:sz w:val="16"/>
        </w:rPr>
      </w:pPr>
      <w:r>
        <w:rPr>
          <w:sz w:val="16"/>
        </w:rPr>
        <w:t>Cape </w:t>
      </w:r>
      <w:r>
        <w:rPr>
          <w:spacing w:val="-3"/>
          <w:sz w:val="16"/>
        </w:rPr>
        <w:t>Town</w:t>
      </w:r>
      <w:r>
        <w:rPr>
          <w:spacing w:val="-29"/>
          <w:sz w:val="16"/>
        </w:rPr>
        <w:t> </w:t>
      </w:r>
      <w:r>
        <w:rPr>
          <w:sz w:val="16"/>
        </w:rPr>
        <w:t>University</w:t>
      </w:r>
    </w:p>
    <w:p>
      <w:pPr>
        <w:pStyle w:val="ListParagraph"/>
        <w:numPr>
          <w:ilvl w:val="0"/>
          <w:numId w:val="1"/>
        </w:numPr>
        <w:tabs>
          <w:tab w:pos="448" w:val="left" w:leader="none"/>
        </w:tabs>
        <w:spacing w:line="240" w:lineRule="auto" w:before="63" w:after="0"/>
        <w:ind w:left="447" w:right="0" w:hanging="142"/>
        <w:jc w:val="left"/>
        <w:rPr>
          <w:sz w:val="16"/>
        </w:rPr>
      </w:pPr>
      <w:r>
        <w:rPr>
          <w:sz w:val="16"/>
        </w:rPr>
        <w:t>University of</w:t>
      </w:r>
      <w:r>
        <w:rPr>
          <w:spacing w:val="-26"/>
          <w:sz w:val="16"/>
        </w:rPr>
        <w:t> </w:t>
      </w:r>
      <w:r>
        <w:rPr>
          <w:sz w:val="16"/>
        </w:rPr>
        <w:t>Padua</w:t>
      </w:r>
    </w:p>
    <w:p>
      <w:pPr>
        <w:pStyle w:val="ListParagraph"/>
        <w:numPr>
          <w:ilvl w:val="0"/>
          <w:numId w:val="1"/>
        </w:numPr>
        <w:tabs>
          <w:tab w:pos="448" w:val="left" w:leader="none"/>
        </w:tabs>
        <w:spacing w:line="240" w:lineRule="auto" w:before="63" w:after="0"/>
        <w:ind w:left="447" w:right="0" w:hanging="142"/>
        <w:jc w:val="left"/>
        <w:rPr>
          <w:sz w:val="16"/>
        </w:rPr>
      </w:pPr>
      <w:r>
        <w:rPr>
          <w:sz w:val="16"/>
        </w:rPr>
        <w:t>University of</w:t>
      </w:r>
      <w:r>
        <w:rPr>
          <w:spacing w:val="-16"/>
          <w:sz w:val="16"/>
        </w:rPr>
        <w:t> </w:t>
      </w:r>
      <w:r>
        <w:rPr>
          <w:sz w:val="16"/>
        </w:rPr>
        <w:t>Aberdeen</w:t>
      </w:r>
    </w:p>
    <w:p>
      <w:pPr>
        <w:pStyle w:val="ListParagraph"/>
        <w:numPr>
          <w:ilvl w:val="0"/>
          <w:numId w:val="1"/>
        </w:numPr>
        <w:tabs>
          <w:tab w:pos="448" w:val="left" w:leader="none"/>
        </w:tabs>
        <w:spacing w:line="240" w:lineRule="auto" w:before="63" w:after="0"/>
        <w:ind w:left="447" w:right="0" w:hanging="142"/>
        <w:jc w:val="left"/>
        <w:rPr>
          <w:sz w:val="16"/>
        </w:rPr>
      </w:pPr>
      <w:r>
        <w:rPr>
          <w:sz w:val="16"/>
        </w:rPr>
        <w:t>Xiamen</w:t>
      </w:r>
      <w:r>
        <w:rPr>
          <w:spacing w:val="-17"/>
          <w:sz w:val="16"/>
        </w:rPr>
        <w:t> </w:t>
      </w:r>
      <w:r>
        <w:rPr>
          <w:sz w:val="16"/>
        </w:rPr>
        <w:t>University</w:t>
      </w:r>
    </w:p>
    <w:p>
      <w:pPr>
        <w:pStyle w:val="ListParagraph"/>
        <w:numPr>
          <w:ilvl w:val="0"/>
          <w:numId w:val="1"/>
        </w:numPr>
        <w:tabs>
          <w:tab w:pos="448" w:val="left" w:leader="none"/>
        </w:tabs>
        <w:spacing w:line="249" w:lineRule="auto" w:before="63" w:after="0"/>
        <w:ind w:left="447" w:right="1249" w:hanging="142"/>
        <w:jc w:val="left"/>
        <w:rPr>
          <w:sz w:val="16"/>
        </w:rPr>
      </w:pPr>
      <w:r>
        <w:rPr>
          <w:sz w:val="16"/>
        </w:rPr>
        <w:t>Universitat Autònoma</w:t>
      </w:r>
      <w:r>
        <w:rPr>
          <w:spacing w:val="-26"/>
          <w:sz w:val="16"/>
        </w:rPr>
        <w:t> </w:t>
      </w:r>
      <w:r>
        <w:rPr>
          <w:sz w:val="16"/>
        </w:rPr>
        <w:t>de Barcelona</w:t>
      </w:r>
      <w:r>
        <w:rPr>
          <w:spacing w:val="-4"/>
          <w:sz w:val="16"/>
        </w:rPr>
        <w:t> </w:t>
      </w:r>
      <w:r>
        <w:rPr>
          <w:sz w:val="16"/>
        </w:rPr>
        <w:t>(UAB)</w:t>
      </w:r>
    </w:p>
    <w:p>
      <w:pPr>
        <w:pStyle w:val="BodyText"/>
        <w:spacing w:line="247" w:lineRule="auto" w:before="55"/>
        <w:ind w:left="305" w:right="212" w:hanging="199"/>
      </w:pPr>
      <w:r>
        <w:rPr>
          <w:rFonts w:ascii="Century Gothic" w:hAnsi="Century Gothic"/>
          <w:b/>
          <w:w w:val="145"/>
        </w:rPr>
        <w:t>≥ </w:t>
      </w:r>
      <w:r>
        <w:rPr>
          <w:w w:val="98"/>
        </w:rPr>
        <w:t>Over </w:t>
      </w:r>
      <w:r>
        <w:rPr>
          <w:w w:val="86"/>
        </w:rPr>
        <w:t>150 </w:t>
      </w:r>
      <w:r>
        <w:rPr>
          <w:w w:val="98"/>
        </w:rPr>
        <w:t>HDR </w:t>
      </w:r>
      <w:r>
        <w:rPr>
          <w:w w:val="98"/>
        </w:rPr>
        <w:t>candidates </w:t>
      </w:r>
      <w:r>
        <w:rPr>
          <w:w w:val="96"/>
        </w:rPr>
        <w:t>have </w:t>
      </w:r>
      <w:r>
        <w:rPr>
          <w:w w:val="97"/>
        </w:rPr>
        <w:t>been </w:t>
      </w:r>
      <w:r>
        <w:rPr/>
        <w:t>supported in their academic writing abilities and/or developing their understanding to progress their work/ writing</w:t>
      </w:r>
    </w:p>
    <w:p>
      <w:pPr>
        <w:pStyle w:val="BodyText"/>
        <w:spacing w:before="57"/>
        <w:ind w:left="107"/>
      </w:pPr>
      <w:r>
        <w:rPr>
          <w:rFonts w:ascii="Century Gothic" w:hAnsi="Century Gothic"/>
          <w:b/>
          <w:w w:val="145"/>
        </w:rPr>
        <w:t>≥</w:t>
      </w:r>
      <w:r>
        <w:rPr>
          <w:rFonts w:ascii="Century Gothic" w:hAnsi="Century Gothic"/>
          <w:b/>
        </w:rPr>
        <w:t> </w:t>
      </w:r>
      <w:r>
        <w:rPr>
          <w:rFonts w:ascii="Century Gothic" w:hAnsi="Century Gothic"/>
          <w:b/>
          <w:spacing w:val="-19"/>
        </w:rPr>
        <w:t> </w:t>
      </w:r>
      <w:r>
        <w:rPr>
          <w:spacing w:val="4"/>
          <w:w w:val="93"/>
        </w:rPr>
        <w:t>2</w:t>
      </w:r>
      <w:r>
        <w:rPr>
          <w:spacing w:val="4"/>
          <w:w w:val="54"/>
        </w:rPr>
        <w:t>1</w:t>
      </w:r>
      <w:r>
        <w:rPr>
          <w:w w:val="111"/>
        </w:rPr>
        <w:t>0</w:t>
      </w:r>
      <w:r>
        <w:rPr>
          <w:spacing w:val="-12"/>
        </w:rPr>
        <w:t> </w:t>
      </w:r>
      <w:r>
        <w:rPr>
          <w:spacing w:val="2"/>
          <w:w w:val="95"/>
        </w:rPr>
        <w:t>s</w:t>
      </w:r>
      <w:r>
        <w:rPr>
          <w:spacing w:val="1"/>
          <w:w w:val="102"/>
        </w:rPr>
        <w:t>c</w:t>
      </w:r>
      <w:r>
        <w:rPr>
          <w:spacing w:val="2"/>
          <w:w w:val="95"/>
        </w:rPr>
        <w:t>h</w:t>
      </w:r>
      <w:r>
        <w:rPr>
          <w:spacing w:val="2"/>
          <w:w w:val="100"/>
        </w:rPr>
        <w:t>o</w:t>
      </w:r>
      <w:r>
        <w:rPr>
          <w:spacing w:val="1"/>
          <w:w w:val="95"/>
        </w:rPr>
        <w:t>l</w:t>
      </w:r>
      <w:r>
        <w:rPr>
          <w:spacing w:val="2"/>
          <w:w w:val="94"/>
        </w:rPr>
        <w:t>a</w:t>
      </w:r>
      <w:r>
        <w:rPr>
          <w:spacing w:val="2"/>
          <w:w w:val="95"/>
        </w:rPr>
        <w:t>r</w:t>
      </w:r>
      <w:r>
        <w:rPr>
          <w:spacing w:val="1"/>
          <w:w w:val="95"/>
        </w:rPr>
        <w:t>s</w:t>
      </w:r>
      <w:r>
        <w:rPr>
          <w:spacing w:val="1"/>
          <w:w w:val="95"/>
        </w:rPr>
        <w:t>h</w:t>
      </w:r>
      <w:r>
        <w:rPr>
          <w:spacing w:val="1"/>
          <w:w w:val="95"/>
        </w:rPr>
        <w:t>i</w:t>
      </w:r>
      <w:r>
        <w:rPr>
          <w:spacing w:val="1"/>
          <w:w w:val="102"/>
        </w:rPr>
        <w:t>p</w:t>
      </w:r>
      <w:r>
        <w:rPr>
          <w:w w:val="95"/>
        </w:rPr>
        <w:t>s</w:t>
      </w:r>
      <w:r>
        <w:rPr>
          <w:spacing w:val="-12"/>
        </w:rPr>
        <w:t> </w:t>
      </w:r>
      <w:r>
        <w:rPr>
          <w:spacing w:val="-1"/>
          <w:w w:val="101"/>
        </w:rPr>
        <w:t>w</w:t>
      </w:r>
      <w:r>
        <w:rPr>
          <w:spacing w:val="2"/>
          <w:w w:val="95"/>
        </w:rPr>
        <w:t>e</w:t>
      </w:r>
      <w:r>
        <w:rPr>
          <w:spacing w:val="-1"/>
          <w:w w:val="95"/>
        </w:rPr>
        <w:t>r</w:t>
      </w:r>
      <w:r>
        <w:rPr>
          <w:w w:val="95"/>
        </w:rPr>
        <w:t>e</w:t>
      </w:r>
      <w:r>
        <w:rPr>
          <w:spacing w:val="-12"/>
        </w:rPr>
        <w:t> </w:t>
      </w:r>
      <w:r>
        <w:rPr>
          <w:spacing w:val="-1"/>
          <w:w w:val="94"/>
        </w:rPr>
        <w:t>a</w:t>
      </w:r>
      <w:r>
        <w:rPr>
          <w:w w:val="101"/>
        </w:rPr>
        <w:t>w</w:t>
      </w:r>
      <w:r>
        <w:rPr>
          <w:spacing w:val="2"/>
          <w:w w:val="94"/>
        </w:rPr>
        <w:t>a</w:t>
      </w:r>
      <w:r>
        <w:rPr>
          <w:spacing w:val="-1"/>
          <w:w w:val="95"/>
        </w:rPr>
        <w:t>r</w:t>
      </w:r>
      <w:r>
        <w:rPr>
          <w:spacing w:val="2"/>
          <w:w w:val="102"/>
        </w:rPr>
        <w:t>d</w:t>
      </w:r>
      <w:r>
        <w:rPr>
          <w:spacing w:val="3"/>
          <w:w w:val="95"/>
        </w:rPr>
        <w:t>e</w:t>
      </w:r>
      <w:r>
        <w:rPr>
          <w:w w:val="102"/>
        </w:rPr>
        <w:t>d</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w w:val="101"/>
        </w:rPr>
        <w:t>6</w:t>
      </w:r>
    </w:p>
    <w:p>
      <w:pPr>
        <w:pStyle w:val="BodyText"/>
        <w:spacing w:line="247" w:lineRule="auto" w:before="60"/>
        <w:ind w:left="305" w:hanging="199"/>
      </w:pPr>
      <w:r>
        <w:rPr>
          <w:rFonts w:ascii="Century Gothic" w:hAnsi="Century Gothic"/>
          <w:b/>
          <w:w w:val="115"/>
        </w:rPr>
        <w:t>≥ </w:t>
      </w:r>
      <w:r>
        <w:rPr/>
        <w:t>Expanding scholarship opportunities by establishing 20 co-funded scholarship awards, in keeping with the vision</w:t>
      </w:r>
    </w:p>
    <w:p>
      <w:pPr>
        <w:pStyle w:val="BodyText"/>
        <w:spacing w:line="249" w:lineRule="auto" w:before="1"/>
        <w:ind w:left="305" w:right="568"/>
      </w:pPr>
      <w:r>
        <w:rPr/>
        <w:t>of engaged research across the key dimensions of futures, impact and capacity.</w:t>
      </w:r>
      <w:r>
        <w:rPr>
          <w:spacing w:val="-25"/>
        </w:rPr>
        <w:t> </w:t>
      </w:r>
      <w:r>
        <w:rPr/>
        <w:t>In</w:t>
      </w:r>
      <w:r>
        <w:rPr>
          <w:spacing w:val="-25"/>
        </w:rPr>
        <w:t> </w:t>
      </w:r>
      <w:r>
        <w:rPr/>
        <w:t>essence,</w:t>
      </w:r>
      <w:r>
        <w:rPr>
          <w:spacing w:val="-25"/>
        </w:rPr>
        <w:t> </w:t>
      </w:r>
      <w:r>
        <w:rPr/>
        <w:t>these</w:t>
      </w:r>
      <w:r>
        <w:rPr>
          <w:spacing w:val="-25"/>
        </w:rPr>
        <w:t> </w:t>
      </w:r>
      <w:r>
        <w:rPr/>
        <w:t>are</w:t>
      </w:r>
      <w:r>
        <w:rPr>
          <w:spacing w:val="-25"/>
        </w:rPr>
        <w:t> </w:t>
      </w:r>
      <w:r>
        <w:rPr/>
        <w:t>three- way funded partnerships between the </w:t>
      </w:r>
      <w:r>
        <w:rPr>
          <w:spacing w:val="2"/>
        </w:rPr>
        <w:t>GRS, </w:t>
      </w:r>
      <w:r>
        <w:rPr/>
        <w:t>the discipline School/ Institute</w:t>
      </w:r>
      <w:r>
        <w:rPr>
          <w:spacing w:val="-20"/>
        </w:rPr>
        <w:t> </w:t>
      </w:r>
      <w:r>
        <w:rPr/>
        <w:t>and</w:t>
      </w:r>
      <w:r>
        <w:rPr>
          <w:spacing w:val="-20"/>
        </w:rPr>
        <w:t> </w:t>
      </w:r>
      <w:r>
        <w:rPr/>
        <w:t>an</w:t>
      </w:r>
      <w:r>
        <w:rPr>
          <w:spacing w:val="-20"/>
        </w:rPr>
        <w:t> </w:t>
      </w:r>
      <w:r>
        <w:rPr/>
        <w:t>industry</w:t>
      </w:r>
      <w:r>
        <w:rPr>
          <w:spacing w:val="-20"/>
        </w:rPr>
        <w:t> </w:t>
      </w:r>
      <w:r>
        <w:rPr/>
        <w:t>partner</w:t>
      </w:r>
    </w:p>
    <w:p>
      <w:pPr>
        <w:spacing w:after="0" w:line="249" w:lineRule="auto"/>
        <w:sectPr>
          <w:type w:val="continuous"/>
          <w:pgSz w:w="11910" w:h="16840"/>
          <w:pgMar w:top="1580" w:bottom="280" w:left="800" w:right="800"/>
          <w:cols w:num="3" w:equalWidth="0">
            <w:col w:w="3320" w:space="119"/>
            <w:col w:w="3320" w:space="119"/>
            <w:col w:w="3432"/>
          </w:cols>
        </w:sectPr>
      </w:pPr>
    </w:p>
    <w:p>
      <w:pPr>
        <w:pStyle w:val="BodyText"/>
        <w:spacing w:before="9"/>
        <w:rPr>
          <w:sz w:val="28"/>
        </w:rPr>
      </w:pPr>
    </w:p>
    <w:p>
      <w:pPr>
        <w:pStyle w:val="Heading2"/>
        <w:ind w:right="8063"/>
        <w:rPr>
          <w:b w:val="0"/>
        </w:rPr>
      </w:pPr>
      <w:bookmarkStart w:name="_TOC_250025" w:id="29"/>
      <w:bookmarkEnd w:id="29"/>
      <w:r>
        <w:rPr>
          <w:b w:val="0"/>
        </w:rPr>
        <w:t>Finance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3"/>
        <w:rPr>
          <w:rFonts w:ascii="Chronicle Text G1"/>
          <w:b w:val="0"/>
          <w:sz w:val="18"/>
        </w:rPr>
      </w:pPr>
    </w:p>
    <w:p>
      <w:pPr>
        <w:pStyle w:val="Heading5"/>
        <w:spacing w:line="260" w:lineRule="exact"/>
        <w:ind w:right="462"/>
      </w:pPr>
      <w:r>
        <w:rPr>
          <w:w w:val="95"/>
        </w:rPr>
        <w:t>DIVISION OF FINANCE AND RESOURCES</w:t>
      </w:r>
    </w:p>
    <w:p>
      <w:pPr>
        <w:pStyle w:val="BodyText"/>
        <w:spacing w:line="249" w:lineRule="auto" w:before="101"/>
        <w:ind w:left="107" w:right="327"/>
      </w:pPr>
      <w:r>
        <w:rPr/>
        <w:t>The</w:t>
      </w:r>
      <w:r>
        <w:rPr>
          <w:spacing w:val="-19"/>
        </w:rPr>
        <w:t> </w:t>
      </w:r>
      <w:r>
        <w:rPr/>
        <w:t>Division</w:t>
      </w:r>
      <w:r>
        <w:rPr>
          <w:spacing w:val="-19"/>
        </w:rPr>
        <w:t> </w:t>
      </w:r>
      <w:r>
        <w:rPr/>
        <w:t>of</w:t>
      </w:r>
      <w:r>
        <w:rPr>
          <w:spacing w:val="-19"/>
        </w:rPr>
        <w:t> </w:t>
      </w:r>
      <w:r>
        <w:rPr/>
        <w:t>Finance</w:t>
      </w:r>
      <w:r>
        <w:rPr>
          <w:spacing w:val="-19"/>
        </w:rPr>
        <w:t> </w:t>
      </w:r>
      <w:r>
        <w:rPr/>
        <w:t>&amp;</w:t>
      </w:r>
      <w:r>
        <w:rPr>
          <w:spacing w:val="-19"/>
        </w:rPr>
        <w:t> </w:t>
      </w:r>
      <w:r>
        <w:rPr/>
        <w:t>Resources</w:t>
      </w:r>
      <w:r>
        <w:rPr>
          <w:spacing w:val="-19"/>
        </w:rPr>
        <w:t> </w:t>
      </w:r>
      <w:r>
        <w:rPr/>
        <w:t>plays a</w:t>
      </w:r>
      <w:r>
        <w:rPr>
          <w:spacing w:val="-17"/>
        </w:rPr>
        <w:t> </w:t>
      </w:r>
      <w:r>
        <w:rPr/>
        <w:t>critical</w:t>
      </w:r>
      <w:r>
        <w:rPr>
          <w:spacing w:val="-17"/>
        </w:rPr>
        <w:t> </w:t>
      </w:r>
      <w:r>
        <w:rPr/>
        <w:t>role</w:t>
      </w:r>
      <w:r>
        <w:rPr>
          <w:spacing w:val="-17"/>
        </w:rPr>
        <w:t> </w:t>
      </w:r>
      <w:r>
        <w:rPr/>
        <w:t>in</w:t>
      </w:r>
      <w:r>
        <w:rPr>
          <w:spacing w:val="-17"/>
        </w:rPr>
        <w:t> </w:t>
      </w:r>
      <w:r>
        <w:rPr/>
        <w:t>delivering,</w:t>
      </w:r>
      <w:r>
        <w:rPr>
          <w:spacing w:val="-17"/>
        </w:rPr>
        <w:t> </w:t>
      </w:r>
      <w:r>
        <w:rPr/>
        <w:t>optimising</w:t>
      </w:r>
      <w:r>
        <w:rPr>
          <w:spacing w:val="-17"/>
        </w:rPr>
        <w:t> </w:t>
      </w:r>
      <w:r>
        <w:rPr/>
        <w:t>and sustaining the organisational strength of </w:t>
      </w:r>
      <w:r>
        <w:rPr>
          <w:w w:val="95"/>
        </w:rPr>
        <w:t>the</w:t>
      </w:r>
      <w:r>
        <w:rPr>
          <w:spacing w:val="12"/>
          <w:w w:val="95"/>
        </w:rPr>
        <w:t> </w:t>
      </w:r>
      <w:r>
        <w:rPr>
          <w:w w:val="95"/>
        </w:rPr>
        <w:t>University.</w:t>
      </w:r>
    </w:p>
    <w:p>
      <w:pPr>
        <w:pStyle w:val="BodyText"/>
        <w:rPr>
          <w:sz w:val="14"/>
        </w:rPr>
      </w:pPr>
    </w:p>
    <w:p>
      <w:pPr>
        <w:pStyle w:val="BodyText"/>
        <w:spacing w:line="249" w:lineRule="auto"/>
        <w:ind w:left="107" w:right="382"/>
      </w:pPr>
      <w:r>
        <w:rPr/>
        <w:t>The Division is responsible for the University’s overall planning, strategy, policy and accountability in relation to Finance,</w:t>
      </w:r>
      <w:r>
        <w:rPr>
          <w:spacing w:val="-32"/>
        </w:rPr>
        <w:t> </w:t>
      </w:r>
      <w:r>
        <w:rPr/>
        <w:t>Information</w:t>
      </w:r>
      <w:r>
        <w:rPr>
          <w:spacing w:val="-32"/>
        </w:rPr>
        <w:t> </w:t>
      </w:r>
      <w:r>
        <w:rPr/>
        <w:t>Technology,</w:t>
      </w:r>
      <w:r>
        <w:rPr>
          <w:spacing w:val="-32"/>
        </w:rPr>
        <w:t> </w:t>
      </w:r>
      <w:r>
        <w:rPr/>
        <w:t>Capital Works and Facilities, Commercial and Estate Planning, Project Management and Procurement</w:t>
      </w:r>
      <w:r>
        <w:rPr>
          <w:spacing w:val="-40"/>
        </w:rPr>
        <w:t> </w:t>
      </w:r>
      <w:r>
        <w:rPr/>
        <w:t>functions.</w:t>
      </w:r>
    </w:p>
    <w:p>
      <w:pPr>
        <w:pStyle w:val="BodyText"/>
        <w:rPr>
          <w:sz w:val="14"/>
        </w:rPr>
      </w:pPr>
    </w:p>
    <w:p>
      <w:pPr>
        <w:pStyle w:val="BodyText"/>
        <w:spacing w:line="249" w:lineRule="auto"/>
        <w:ind w:left="107" w:right="16"/>
      </w:pPr>
      <w:r>
        <w:rPr/>
        <w:t>The Division is responsible for managing the University’s annual budget process, including capital funding, developing appropriate financial policies and monitoring, advising and reporting on the financial health of</w:t>
      </w:r>
    </w:p>
    <w:p>
      <w:pPr>
        <w:pStyle w:val="BodyText"/>
        <w:spacing w:line="249" w:lineRule="auto"/>
        <w:ind w:left="107" w:right="226"/>
      </w:pPr>
      <w:r>
        <w:rPr/>
        <w:t>the University, including its controlled and associated entities.</w:t>
      </w:r>
    </w:p>
    <w:p>
      <w:pPr>
        <w:pStyle w:val="BodyText"/>
        <w:rPr>
          <w:sz w:val="14"/>
        </w:rPr>
      </w:pPr>
    </w:p>
    <w:p>
      <w:pPr>
        <w:pStyle w:val="BodyText"/>
        <w:spacing w:line="249" w:lineRule="auto"/>
        <w:ind w:left="107" w:right="-1"/>
      </w:pPr>
      <w:r>
        <w:rPr/>
        <w:t>The Division is also responsible for delivering the IT systems and technology infrastructure </w:t>
      </w:r>
      <w:r>
        <w:rPr>
          <w:spacing w:val="2"/>
        </w:rPr>
        <w:t>necessary</w:t>
      </w:r>
      <w:r>
        <w:rPr>
          <w:spacing w:val="-19"/>
        </w:rPr>
        <w:t> </w:t>
      </w:r>
      <w:r>
        <w:rPr/>
        <w:t>to</w:t>
      </w:r>
      <w:r>
        <w:rPr>
          <w:spacing w:val="-19"/>
        </w:rPr>
        <w:t> </w:t>
      </w:r>
      <w:r>
        <w:rPr/>
        <w:t>underpin</w:t>
      </w:r>
      <w:r>
        <w:rPr>
          <w:spacing w:val="-19"/>
        </w:rPr>
        <w:t> </w:t>
      </w:r>
      <w:r>
        <w:rPr/>
        <w:t>and</w:t>
      </w:r>
      <w:r>
        <w:rPr>
          <w:spacing w:val="-19"/>
        </w:rPr>
        <w:t> </w:t>
      </w:r>
      <w:r>
        <w:rPr/>
        <w:t>enable</w:t>
      </w:r>
      <w:r>
        <w:rPr>
          <w:spacing w:val="-19"/>
        </w:rPr>
        <w:t> </w:t>
      </w:r>
      <w:r>
        <w:rPr/>
        <w:t>our</w:t>
      </w:r>
      <w:r>
        <w:rPr>
          <w:spacing w:val="-19"/>
        </w:rPr>
        <w:t> </w:t>
      </w:r>
      <w:r>
        <w:rPr/>
        <w:t>learning and</w:t>
      </w:r>
      <w:r>
        <w:rPr>
          <w:spacing w:val="-21"/>
        </w:rPr>
        <w:t> </w:t>
      </w:r>
      <w:r>
        <w:rPr/>
        <w:t>teaching</w:t>
      </w:r>
      <w:r>
        <w:rPr>
          <w:spacing w:val="-21"/>
        </w:rPr>
        <w:t> </w:t>
      </w:r>
      <w:r>
        <w:rPr/>
        <w:t>and</w:t>
      </w:r>
      <w:r>
        <w:rPr>
          <w:spacing w:val="-21"/>
        </w:rPr>
        <w:t> </w:t>
      </w:r>
      <w:r>
        <w:rPr/>
        <w:t>research</w:t>
      </w:r>
      <w:r>
        <w:rPr>
          <w:spacing w:val="-21"/>
        </w:rPr>
        <w:t> </w:t>
      </w:r>
      <w:r>
        <w:rPr/>
        <w:t>programs.</w:t>
      </w:r>
    </w:p>
    <w:p>
      <w:pPr>
        <w:pStyle w:val="BodyText"/>
        <w:rPr>
          <w:sz w:val="14"/>
        </w:rPr>
      </w:pPr>
    </w:p>
    <w:p>
      <w:pPr>
        <w:pStyle w:val="BodyText"/>
        <w:spacing w:line="249" w:lineRule="auto"/>
        <w:ind w:left="107" w:right="247"/>
        <w:jc w:val="both"/>
      </w:pPr>
      <w:r>
        <w:rPr/>
        <w:t>The</w:t>
      </w:r>
      <w:r>
        <w:rPr>
          <w:spacing w:val="-18"/>
        </w:rPr>
        <w:t> </w:t>
      </w:r>
      <w:r>
        <w:rPr/>
        <w:t>Division</w:t>
      </w:r>
      <w:r>
        <w:rPr>
          <w:spacing w:val="-18"/>
        </w:rPr>
        <w:t> </w:t>
      </w:r>
      <w:r>
        <w:rPr/>
        <w:t>of</w:t>
      </w:r>
      <w:r>
        <w:rPr>
          <w:spacing w:val="-18"/>
        </w:rPr>
        <w:t> </w:t>
      </w:r>
      <w:r>
        <w:rPr/>
        <w:t>Finance</w:t>
      </w:r>
      <w:r>
        <w:rPr>
          <w:spacing w:val="-18"/>
        </w:rPr>
        <w:t> </w:t>
      </w:r>
      <w:r>
        <w:rPr/>
        <w:t>&amp;</w:t>
      </w:r>
      <w:r>
        <w:rPr>
          <w:spacing w:val="-18"/>
        </w:rPr>
        <w:t> </w:t>
      </w:r>
      <w:r>
        <w:rPr/>
        <w:t>Resources</w:t>
      </w:r>
      <w:r>
        <w:rPr>
          <w:spacing w:val="-18"/>
        </w:rPr>
        <w:t> </w:t>
      </w:r>
      <w:r>
        <w:rPr/>
        <w:t>works to</w:t>
      </w:r>
      <w:r>
        <w:rPr>
          <w:spacing w:val="-18"/>
        </w:rPr>
        <w:t> </w:t>
      </w:r>
      <w:r>
        <w:rPr/>
        <w:t>ensure</w:t>
      </w:r>
      <w:r>
        <w:rPr>
          <w:spacing w:val="-18"/>
        </w:rPr>
        <w:t> </w:t>
      </w:r>
      <w:r>
        <w:rPr/>
        <w:t>that</w:t>
      </w:r>
      <w:r>
        <w:rPr>
          <w:spacing w:val="-18"/>
        </w:rPr>
        <w:t> </w:t>
      </w:r>
      <w:r>
        <w:rPr/>
        <w:t>the</w:t>
      </w:r>
      <w:r>
        <w:rPr>
          <w:spacing w:val="-18"/>
        </w:rPr>
        <w:t> </w:t>
      </w:r>
      <w:r>
        <w:rPr/>
        <w:t>financial</w:t>
      </w:r>
      <w:r>
        <w:rPr>
          <w:spacing w:val="-18"/>
        </w:rPr>
        <w:t> </w:t>
      </w:r>
      <w:r>
        <w:rPr/>
        <w:t>and</w:t>
      </w:r>
      <w:r>
        <w:rPr>
          <w:spacing w:val="-18"/>
        </w:rPr>
        <w:t> </w:t>
      </w:r>
      <w:r>
        <w:rPr/>
        <w:t>operational planning,</w:t>
      </w:r>
      <w:r>
        <w:rPr>
          <w:spacing w:val="-17"/>
        </w:rPr>
        <w:t> </w:t>
      </w:r>
      <w:r>
        <w:rPr/>
        <w:t>strategy</w:t>
      </w:r>
      <w:r>
        <w:rPr>
          <w:spacing w:val="-17"/>
        </w:rPr>
        <w:t> </w:t>
      </w:r>
      <w:r>
        <w:rPr/>
        <w:t>and</w:t>
      </w:r>
      <w:r>
        <w:rPr>
          <w:spacing w:val="-17"/>
        </w:rPr>
        <w:t> </w:t>
      </w:r>
      <w:r>
        <w:rPr/>
        <w:t>performance</w:t>
      </w:r>
      <w:r>
        <w:rPr>
          <w:spacing w:val="-17"/>
        </w:rPr>
        <w:t> </w:t>
      </w:r>
      <w:r>
        <w:rPr/>
        <w:t>of</w:t>
      </w:r>
    </w:p>
    <w:p>
      <w:pPr>
        <w:pStyle w:val="BodyText"/>
        <w:spacing w:line="249" w:lineRule="auto"/>
        <w:ind w:left="107" w:right="20"/>
      </w:pPr>
      <w:r>
        <w:rPr/>
        <w:t>the University is optimised. The VP (F&amp;R) provides strategic direction and oversight on the University’s financial activities, including commercial arrangements and opportunities, investments</w:t>
      </w:r>
      <w:r>
        <w:rPr>
          <w:spacing w:val="-17"/>
        </w:rPr>
        <w:t> </w:t>
      </w:r>
      <w:r>
        <w:rPr/>
        <w:t>and</w:t>
      </w:r>
      <w:r>
        <w:rPr>
          <w:spacing w:val="-17"/>
        </w:rPr>
        <w:t> </w:t>
      </w:r>
      <w:r>
        <w:rPr/>
        <w:t>the</w:t>
      </w:r>
      <w:r>
        <w:rPr>
          <w:spacing w:val="-17"/>
        </w:rPr>
        <w:t> </w:t>
      </w:r>
      <w:r>
        <w:rPr/>
        <w:t>utilisation</w:t>
      </w:r>
      <w:r>
        <w:rPr>
          <w:spacing w:val="-17"/>
        </w:rPr>
        <w:t> </w:t>
      </w:r>
      <w:r>
        <w:rPr/>
        <w:t>of</w:t>
      </w:r>
      <w:r>
        <w:rPr>
          <w:spacing w:val="-17"/>
        </w:rPr>
        <w:t> </w:t>
      </w:r>
      <w:r>
        <w:rPr/>
        <w:t>building</w:t>
      </w:r>
      <w:r>
        <w:rPr>
          <w:spacing w:val="-17"/>
        </w:rPr>
        <w:t> </w:t>
      </w:r>
      <w:r>
        <w:rPr/>
        <w:t>and land </w:t>
      </w:r>
      <w:r>
        <w:rPr>
          <w:spacing w:val="2"/>
        </w:rPr>
        <w:t>assets, </w:t>
      </w:r>
      <w:r>
        <w:rPr/>
        <w:t>as well as a focus on improving efficiency and reducing costs across the University.</w:t>
      </w:r>
      <w:r>
        <w:rPr>
          <w:spacing w:val="-20"/>
        </w:rPr>
        <w:t> </w:t>
      </w:r>
      <w:r>
        <w:rPr/>
        <w:t>The</w:t>
      </w:r>
      <w:r>
        <w:rPr>
          <w:spacing w:val="-20"/>
        </w:rPr>
        <w:t> </w:t>
      </w:r>
      <w:r>
        <w:rPr/>
        <w:t>VP</w:t>
      </w:r>
      <w:r>
        <w:rPr>
          <w:spacing w:val="-20"/>
        </w:rPr>
        <w:t> </w:t>
      </w:r>
      <w:r>
        <w:rPr/>
        <w:t>(F&amp;R)</w:t>
      </w:r>
      <w:r>
        <w:rPr>
          <w:spacing w:val="-20"/>
        </w:rPr>
        <w:t> </w:t>
      </w:r>
      <w:r>
        <w:rPr/>
        <w:t>and</w:t>
      </w:r>
      <w:r>
        <w:rPr>
          <w:spacing w:val="-20"/>
        </w:rPr>
        <w:t> </w:t>
      </w:r>
      <w:r>
        <w:rPr/>
        <w:t>his</w:t>
      </w:r>
      <w:r>
        <w:rPr>
          <w:spacing w:val="-20"/>
        </w:rPr>
        <w:t> </w:t>
      </w:r>
      <w:r>
        <w:rPr/>
        <w:t>senior</w:t>
      </w:r>
    </w:p>
    <w:p>
      <w:pPr>
        <w:pStyle w:val="BodyText"/>
        <w:spacing w:line="249" w:lineRule="auto"/>
        <w:ind w:left="107" w:right="88"/>
      </w:pPr>
      <w:r>
        <w:rPr/>
        <w:t>team sponsors a series of projects across the portfolio that are being undertaken to help the University achieve optimal financial sustainability into the future.</w:t>
      </w:r>
    </w:p>
    <w:p>
      <w:pPr>
        <w:pStyle w:val="BodyText"/>
        <w:rPr>
          <w:sz w:val="14"/>
        </w:rPr>
      </w:pPr>
    </w:p>
    <w:p>
      <w:pPr>
        <w:pStyle w:val="BodyText"/>
        <w:spacing w:line="249" w:lineRule="auto"/>
        <w:ind w:left="107" w:right="391"/>
      </w:pPr>
      <w:r>
        <w:rPr/>
        <w:t>Core</w:t>
      </w:r>
      <w:r>
        <w:rPr>
          <w:spacing w:val="-17"/>
        </w:rPr>
        <w:t> </w:t>
      </w:r>
      <w:r>
        <w:rPr/>
        <w:t>business</w:t>
      </w:r>
      <w:r>
        <w:rPr>
          <w:spacing w:val="-17"/>
        </w:rPr>
        <w:t> </w:t>
      </w:r>
      <w:r>
        <w:rPr/>
        <w:t>units</w:t>
      </w:r>
      <w:r>
        <w:rPr>
          <w:spacing w:val="-17"/>
        </w:rPr>
        <w:t> </w:t>
      </w:r>
      <w:r>
        <w:rPr/>
        <w:t>within</w:t>
      </w:r>
      <w:r>
        <w:rPr>
          <w:spacing w:val="-17"/>
        </w:rPr>
        <w:t> </w:t>
      </w:r>
      <w:r>
        <w:rPr/>
        <w:t>the</w:t>
      </w:r>
      <w:r>
        <w:rPr>
          <w:spacing w:val="-17"/>
        </w:rPr>
        <w:t> </w:t>
      </w:r>
      <w:r>
        <w:rPr/>
        <w:t>Division</w:t>
      </w:r>
      <w:r>
        <w:rPr>
          <w:spacing w:val="-17"/>
        </w:rPr>
        <w:t> </w:t>
      </w:r>
      <w:r>
        <w:rPr/>
        <w:t>of Finance</w:t>
      </w:r>
      <w:r>
        <w:rPr>
          <w:spacing w:val="-24"/>
        </w:rPr>
        <w:t> </w:t>
      </w:r>
      <w:r>
        <w:rPr/>
        <w:t>and</w:t>
      </w:r>
      <w:r>
        <w:rPr>
          <w:spacing w:val="-24"/>
        </w:rPr>
        <w:t> </w:t>
      </w:r>
      <w:r>
        <w:rPr/>
        <w:t>Resources</w:t>
      </w:r>
      <w:r>
        <w:rPr>
          <w:spacing w:val="-24"/>
        </w:rPr>
        <w:t> </w:t>
      </w:r>
      <w:r>
        <w:rPr/>
        <w:t>include:</w:t>
      </w:r>
    </w:p>
    <w:p>
      <w:pPr>
        <w:pStyle w:val="BodyText"/>
        <w:spacing w:line="244" w:lineRule="auto" w:before="55"/>
        <w:ind w:left="305" w:right="563" w:hanging="199"/>
      </w:pPr>
      <w:r>
        <w:rPr>
          <w:rFonts w:ascii="Century Gothic" w:hAnsi="Century Gothic"/>
          <w:b/>
          <w:w w:val="115"/>
        </w:rPr>
        <w:t>≥</w:t>
      </w:r>
      <w:r>
        <w:rPr>
          <w:rFonts w:ascii="Century Gothic" w:hAnsi="Century Gothic"/>
          <w:b/>
          <w:spacing w:val="-26"/>
          <w:w w:val="115"/>
        </w:rPr>
        <w:t> </w:t>
      </w:r>
      <w:r>
        <w:rPr>
          <w:w w:val="105"/>
        </w:rPr>
        <w:t>Information</w:t>
      </w:r>
      <w:r>
        <w:rPr>
          <w:spacing w:val="-39"/>
          <w:w w:val="105"/>
        </w:rPr>
        <w:t> </w:t>
      </w:r>
      <w:r>
        <w:rPr>
          <w:w w:val="105"/>
        </w:rPr>
        <w:t>Technology</w:t>
      </w:r>
      <w:r>
        <w:rPr>
          <w:spacing w:val="-39"/>
          <w:w w:val="105"/>
        </w:rPr>
        <w:t> </w:t>
      </w:r>
      <w:r>
        <w:rPr>
          <w:w w:val="105"/>
        </w:rPr>
        <w:t>and</w:t>
      </w:r>
      <w:r>
        <w:rPr>
          <w:spacing w:val="-39"/>
          <w:w w:val="105"/>
        </w:rPr>
        <w:t> </w:t>
      </w:r>
      <w:r>
        <w:rPr>
          <w:w w:val="105"/>
        </w:rPr>
        <w:t>Digital Services</w:t>
      </w:r>
    </w:p>
    <w:p>
      <w:pPr>
        <w:pStyle w:val="BodyText"/>
        <w:spacing w:before="58"/>
        <w:ind w:left="107" w:right="20"/>
      </w:pPr>
      <w:r>
        <w:rPr>
          <w:rFonts w:ascii="Century Gothic" w:hAnsi="Century Gothic"/>
          <w:b/>
          <w:w w:val="105"/>
        </w:rPr>
        <w:t>≥ </w:t>
      </w:r>
      <w:r>
        <w:rPr>
          <w:w w:val="105"/>
        </w:rPr>
        <w:t>Financial Operations</w:t>
      </w:r>
    </w:p>
    <w:p>
      <w:pPr>
        <w:pStyle w:val="BodyText"/>
        <w:spacing w:before="60"/>
        <w:ind w:left="107" w:right="20"/>
      </w:pPr>
      <w:r>
        <w:rPr>
          <w:rFonts w:ascii="Century Gothic" w:hAnsi="Century Gothic"/>
          <w:b/>
          <w:w w:val="115"/>
        </w:rPr>
        <w:t>≥</w:t>
      </w:r>
      <w:r>
        <w:rPr>
          <w:rFonts w:ascii="Century Gothic" w:hAnsi="Century Gothic"/>
          <w:b/>
          <w:spacing w:val="-12"/>
          <w:w w:val="115"/>
        </w:rPr>
        <w:t> </w:t>
      </w:r>
      <w:r>
        <w:rPr>
          <w:w w:val="105"/>
        </w:rPr>
        <w:t>Office</w:t>
      </w:r>
      <w:r>
        <w:rPr>
          <w:spacing w:val="-31"/>
          <w:w w:val="105"/>
        </w:rPr>
        <w:t> </w:t>
      </w:r>
      <w:r>
        <w:rPr>
          <w:w w:val="105"/>
        </w:rPr>
        <w:t>of</w:t>
      </w:r>
      <w:r>
        <w:rPr>
          <w:spacing w:val="-31"/>
          <w:w w:val="105"/>
        </w:rPr>
        <w:t> </w:t>
      </w:r>
      <w:r>
        <w:rPr>
          <w:w w:val="105"/>
        </w:rPr>
        <w:t>Commercial</w:t>
      </w:r>
      <w:r>
        <w:rPr>
          <w:spacing w:val="-31"/>
          <w:w w:val="105"/>
        </w:rPr>
        <w:t> </w:t>
      </w:r>
      <w:r>
        <w:rPr>
          <w:w w:val="105"/>
        </w:rPr>
        <w:t>and</w:t>
      </w:r>
      <w:r>
        <w:rPr>
          <w:spacing w:val="-31"/>
          <w:w w:val="105"/>
        </w:rPr>
        <w:t> </w:t>
      </w:r>
      <w:r>
        <w:rPr>
          <w:w w:val="105"/>
        </w:rPr>
        <w:t>Estate</w:t>
      </w:r>
      <w:r>
        <w:rPr>
          <w:spacing w:val="-31"/>
          <w:w w:val="105"/>
        </w:rPr>
        <w:t> </w:t>
      </w:r>
      <w:r>
        <w:rPr>
          <w:w w:val="105"/>
        </w:rPr>
        <w:t>Planning</w:t>
      </w:r>
    </w:p>
    <w:p>
      <w:pPr>
        <w:pStyle w:val="BodyText"/>
        <w:spacing w:before="60"/>
        <w:ind w:left="107" w:right="20"/>
      </w:pPr>
      <w:r>
        <w:rPr>
          <w:rFonts w:ascii="Century Gothic" w:hAnsi="Century Gothic"/>
          <w:b/>
          <w:w w:val="115"/>
        </w:rPr>
        <w:t>≥ </w:t>
      </w:r>
      <w:r>
        <w:rPr>
          <w:w w:val="105"/>
        </w:rPr>
        <w:t>Capital Works and Facilities</w:t>
      </w:r>
    </w:p>
    <w:p>
      <w:pPr>
        <w:pStyle w:val="BodyText"/>
        <w:spacing w:before="60"/>
        <w:ind w:left="107" w:right="20"/>
      </w:pPr>
      <w:r>
        <w:rPr>
          <w:rFonts w:ascii="Century Gothic" w:hAnsi="Century Gothic"/>
          <w:b/>
          <w:w w:val="105"/>
        </w:rPr>
        <w:t>≥ </w:t>
      </w:r>
      <w:r>
        <w:rPr>
          <w:w w:val="105"/>
        </w:rPr>
        <w:t>Project Management Office</w:t>
      </w:r>
    </w:p>
    <w:p>
      <w:pPr>
        <w:pStyle w:val="BodyText"/>
        <w:spacing w:before="9"/>
      </w:pPr>
      <w:r>
        <w:rPr/>
        <w:br w:type="column"/>
      </w:r>
      <w:r>
        <w:rPr/>
      </w:r>
    </w:p>
    <w:p>
      <w:pPr>
        <w:pStyle w:val="BodyText"/>
        <w:spacing w:line="249" w:lineRule="auto"/>
        <w:ind w:left="107" w:right="490"/>
      </w:pPr>
      <w:r>
        <w:rPr/>
        <w:t>The VP (F&amp;R) interacts with the Board of Trustees and a number of Board</w:t>
      </w:r>
    </w:p>
    <w:p>
      <w:pPr>
        <w:pStyle w:val="BodyText"/>
        <w:spacing w:line="249" w:lineRule="auto"/>
        <w:ind w:left="107" w:right="444"/>
      </w:pPr>
      <w:r>
        <w:rPr/>
        <w:t>sub-committees, such as the Audit and Risk Management Committee, Finance and Investment Committee and the University Infrastructure Committee.</w:t>
      </w:r>
    </w:p>
    <w:p>
      <w:pPr>
        <w:pStyle w:val="BodyText"/>
        <w:rPr>
          <w:sz w:val="14"/>
        </w:rPr>
      </w:pPr>
    </w:p>
    <w:p>
      <w:pPr>
        <w:pStyle w:val="BodyText"/>
        <w:spacing w:line="249" w:lineRule="auto"/>
        <w:ind w:left="107" w:right="-8"/>
      </w:pPr>
      <w:r>
        <w:rPr/>
        <w:t>Each</w:t>
      </w:r>
      <w:r>
        <w:rPr>
          <w:spacing w:val="-20"/>
        </w:rPr>
        <w:t> </w:t>
      </w:r>
      <w:r>
        <w:rPr/>
        <w:t>year,</w:t>
      </w:r>
      <w:r>
        <w:rPr>
          <w:spacing w:val="-20"/>
        </w:rPr>
        <w:t> </w:t>
      </w:r>
      <w:r>
        <w:rPr/>
        <w:t>the</w:t>
      </w:r>
      <w:r>
        <w:rPr>
          <w:spacing w:val="-20"/>
        </w:rPr>
        <w:t> </w:t>
      </w:r>
      <w:r>
        <w:rPr/>
        <w:t>Division</w:t>
      </w:r>
      <w:r>
        <w:rPr>
          <w:spacing w:val="-20"/>
        </w:rPr>
        <w:t> </w:t>
      </w:r>
      <w:r>
        <w:rPr/>
        <w:t>manages</w:t>
      </w:r>
      <w:r>
        <w:rPr>
          <w:spacing w:val="-20"/>
        </w:rPr>
        <w:t> </w:t>
      </w:r>
      <w:r>
        <w:rPr/>
        <w:t>projects</w:t>
      </w:r>
      <w:r>
        <w:rPr>
          <w:spacing w:val="-20"/>
        </w:rPr>
        <w:t> </w:t>
      </w:r>
      <w:r>
        <w:rPr/>
        <w:t>from the</w:t>
      </w:r>
      <w:r>
        <w:rPr>
          <w:spacing w:val="-16"/>
        </w:rPr>
        <w:t> </w:t>
      </w:r>
      <w:r>
        <w:rPr/>
        <w:t>planning</w:t>
      </w:r>
      <w:r>
        <w:rPr>
          <w:spacing w:val="-16"/>
        </w:rPr>
        <w:t> </w:t>
      </w:r>
      <w:r>
        <w:rPr/>
        <w:t>to</w:t>
      </w:r>
      <w:r>
        <w:rPr>
          <w:spacing w:val="-16"/>
        </w:rPr>
        <w:t> </w:t>
      </w:r>
      <w:r>
        <w:rPr/>
        <w:t>the</w:t>
      </w:r>
      <w:r>
        <w:rPr>
          <w:spacing w:val="-16"/>
        </w:rPr>
        <w:t> </w:t>
      </w:r>
      <w:r>
        <w:rPr/>
        <w:t>delivery</w:t>
      </w:r>
      <w:r>
        <w:rPr>
          <w:spacing w:val="-16"/>
        </w:rPr>
        <w:t> </w:t>
      </w:r>
      <w:r>
        <w:rPr/>
        <w:t>stages</w:t>
      </w:r>
      <w:r>
        <w:rPr>
          <w:spacing w:val="-16"/>
        </w:rPr>
        <w:t> </w:t>
      </w:r>
      <w:r>
        <w:rPr/>
        <w:t>in</w:t>
      </w:r>
      <w:r>
        <w:rPr>
          <w:spacing w:val="-16"/>
        </w:rPr>
        <w:t> </w:t>
      </w:r>
      <w:r>
        <w:rPr/>
        <w:t>finance, IT, commercial and estate planning, and campus development and capital works, and makes</w:t>
      </w:r>
      <w:r>
        <w:rPr>
          <w:spacing w:val="-18"/>
        </w:rPr>
        <w:t> </w:t>
      </w:r>
      <w:r>
        <w:rPr/>
        <w:t>sure</w:t>
      </w:r>
      <w:r>
        <w:rPr>
          <w:spacing w:val="-18"/>
        </w:rPr>
        <w:t> </w:t>
      </w:r>
      <w:r>
        <w:rPr/>
        <w:t>all</w:t>
      </w:r>
      <w:r>
        <w:rPr>
          <w:spacing w:val="-18"/>
        </w:rPr>
        <w:t> </w:t>
      </w:r>
      <w:r>
        <w:rPr/>
        <w:t>projects</w:t>
      </w:r>
      <w:r>
        <w:rPr>
          <w:spacing w:val="-18"/>
        </w:rPr>
        <w:t> </w:t>
      </w:r>
      <w:r>
        <w:rPr/>
        <w:t>align</w:t>
      </w:r>
      <w:r>
        <w:rPr>
          <w:spacing w:val="-18"/>
        </w:rPr>
        <w:t> </w:t>
      </w:r>
      <w:r>
        <w:rPr/>
        <w:t>with</w:t>
      </w:r>
      <w:r>
        <w:rPr>
          <w:spacing w:val="-18"/>
        </w:rPr>
        <w:t> </w:t>
      </w:r>
      <w:r>
        <w:rPr/>
        <w:t>the</w:t>
      </w:r>
      <w:r>
        <w:rPr>
          <w:spacing w:val="-18"/>
        </w:rPr>
        <w:t> </w:t>
      </w:r>
      <w:r>
        <w:rPr/>
        <w:t>strategic direction</w:t>
      </w:r>
      <w:r>
        <w:rPr>
          <w:spacing w:val="-18"/>
        </w:rPr>
        <w:t> </w:t>
      </w:r>
      <w:r>
        <w:rPr/>
        <w:t>and</w:t>
      </w:r>
      <w:r>
        <w:rPr>
          <w:spacing w:val="-18"/>
        </w:rPr>
        <w:t> </w:t>
      </w:r>
      <w:r>
        <w:rPr/>
        <w:t>objectives</w:t>
      </w:r>
      <w:r>
        <w:rPr>
          <w:spacing w:val="-18"/>
        </w:rPr>
        <w:t> </w:t>
      </w:r>
      <w:r>
        <w:rPr/>
        <w:t>of</w:t>
      </w:r>
      <w:r>
        <w:rPr>
          <w:spacing w:val="-18"/>
        </w:rPr>
        <w:t> </w:t>
      </w:r>
      <w:r>
        <w:rPr/>
        <w:t>the</w:t>
      </w:r>
      <w:r>
        <w:rPr>
          <w:spacing w:val="-18"/>
        </w:rPr>
        <w:t> </w:t>
      </w:r>
      <w:r>
        <w:rPr/>
        <w:t>University.</w:t>
      </w:r>
    </w:p>
    <w:p>
      <w:pPr>
        <w:pStyle w:val="BodyText"/>
        <w:rPr>
          <w:sz w:val="14"/>
        </w:rPr>
      </w:pPr>
    </w:p>
    <w:p>
      <w:pPr>
        <w:pStyle w:val="BodyText"/>
        <w:ind w:left="107" w:right="-8"/>
      </w:pPr>
      <w:r>
        <w:rPr>
          <w:spacing w:val="-4"/>
          <w:w w:val="105"/>
        </w:rPr>
        <w:t>W</w:t>
      </w:r>
      <w:r>
        <w:rPr>
          <w:w w:val="95"/>
        </w:rPr>
        <w:t>e</w:t>
      </w:r>
      <w:r>
        <w:rPr>
          <w:spacing w:val="-12"/>
        </w:rPr>
        <w:t> </w:t>
      </w:r>
      <w:r>
        <w:rPr>
          <w:w w:val="102"/>
        </w:rPr>
        <w:t>c</w:t>
      </w:r>
      <w:r>
        <w:rPr>
          <w:spacing w:val="2"/>
          <w:w w:val="100"/>
        </w:rPr>
        <w:t>o</w:t>
      </w:r>
      <w:r>
        <w:rPr>
          <w:spacing w:val="2"/>
          <w:w w:val="98"/>
        </w:rPr>
        <w:t>m</w:t>
      </w:r>
      <w:r>
        <w:rPr>
          <w:spacing w:val="2"/>
          <w:w w:val="102"/>
        </w:rPr>
        <w:t>p</w:t>
      </w:r>
      <w:r>
        <w:rPr>
          <w:spacing w:val="2"/>
          <w:w w:val="95"/>
        </w:rPr>
        <w:t>l</w:t>
      </w:r>
      <w:r>
        <w:rPr>
          <w:w w:val="95"/>
        </w:rPr>
        <w:t>e</w:t>
      </w:r>
      <w:r>
        <w:rPr>
          <w:spacing w:val="-2"/>
          <w:w w:val="102"/>
        </w:rPr>
        <w:t>t</w:t>
      </w:r>
      <w:r>
        <w:rPr>
          <w:spacing w:val="3"/>
          <w:w w:val="95"/>
        </w:rPr>
        <w:t>e</w:t>
      </w:r>
      <w:r>
        <w:rPr>
          <w:w w:val="102"/>
        </w:rPr>
        <w:t>d</w:t>
      </w:r>
      <w:r>
        <w:rPr>
          <w:spacing w:val="-12"/>
        </w:rPr>
        <w:t> </w:t>
      </w:r>
      <w:r>
        <w:rPr>
          <w:spacing w:val="2"/>
          <w:w w:val="98"/>
        </w:rPr>
        <w:t>m</w:t>
      </w:r>
      <w:r>
        <w:rPr>
          <w:spacing w:val="2"/>
          <w:w w:val="94"/>
        </w:rPr>
        <w:t>a</w:t>
      </w:r>
      <w:r>
        <w:rPr>
          <w:spacing w:val="-2"/>
          <w:w w:val="95"/>
        </w:rPr>
        <w:t>n</w:t>
      </w:r>
      <w:r>
        <w:rPr>
          <w:w w:val="101"/>
        </w:rPr>
        <w:t>y</w:t>
      </w:r>
      <w:r>
        <w:rPr>
          <w:spacing w:val="-12"/>
        </w:rPr>
        <w:t> </w:t>
      </w:r>
      <w:r>
        <w:rPr>
          <w:spacing w:val="-1"/>
          <w:w w:val="96"/>
        </w:rPr>
        <w:t>k</w:t>
      </w:r>
      <w:r>
        <w:rPr>
          <w:spacing w:val="-1"/>
          <w:w w:val="95"/>
        </w:rPr>
        <w:t>e</w:t>
      </w:r>
      <w:r>
        <w:rPr>
          <w:w w:val="101"/>
        </w:rPr>
        <w:t>y</w:t>
      </w:r>
      <w:r>
        <w:rPr>
          <w:spacing w:val="-12"/>
        </w:rPr>
        <w:t> </w:t>
      </w:r>
      <w:r>
        <w:rPr>
          <w:spacing w:val="2"/>
          <w:w w:val="102"/>
        </w:rPr>
        <w:t>p</w:t>
      </w:r>
      <w:r>
        <w:rPr>
          <w:spacing w:val="-1"/>
          <w:w w:val="95"/>
        </w:rPr>
        <w:t>r</w:t>
      </w:r>
      <w:r>
        <w:rPr>
          <w:spacing w:val="1"/>
          <w:w w:val="100"/>
        </w:rPr>
        <w:t>o</w:t>
      </w:r>
      <w:r>
        <w:rPr>
          <w:spacing w:val="1"/>
          <w:w w:val="77"/>
        </w:rPr>
        <w:t>j</w:t>
      </w:r>
      <w:r>
        <w:rPr>
          <w:spacing w:val="3"/>
          <w:w w:val="95"/>
        </w:rPr>
        <w:t>e</w:t>
      </w:r>
      <w:r>
        <w:rPr>
          <w:spacing w:val="4"/>
          <w:w w:val="102"/>
        </w:rPr>
        <w:t>c</w:t>
      </w:r>
      <w:r>
        <w:rPr>
          <w:spacing w:val="4"/>
          <w:w w:val="102"/>
        </w:rPr>
        <w:t>t</w:t>
      </w:r>
      <w:r>
        <w:rPr>
          <w:w w:val="95"/>
        </w:rPr>
        <w:t>s</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spacing w:val="4"/>
          <w:w w:val="101"/>
        </w:rPr>
        <w:t>6</w:t>
      </w:r>
      <w:r>
        <w:rPr>
          <w:w w:val="68"/>
        </w:rPr>
        <w:t>.</w:t>
      </w:r>
    </w:p>
    <w:p>
      <w:pPr>
        <w:pStyle w:val="BodyText"/>
        <w:spacing w:before="10"/>
        <w:rPr>
          <w:sz w:val="19"/>
        </w:rPr>
      </w:pPr>
    </w:p>
    <w:p>
      <w:pPr>
        <w:pStyle w:val="Heading7"/>
        <w:spacing w:line="249" w:lineRule="auto"/>
        <w:ind w:right="977"/>
      </w:pPr>
      <w:r>
        <w:rPr/>
        <w:t>THE OFFICE OF COMMERCIAL </w:t>
      </w:r>
      <w:r>
        <w:rPr>
          <w:w w:val="95"/>
        </w:rPr>
        <w:t>AND ESTATE PLANNING</w:t>
      </w:r>
    </w:p>
    <w:p>
      <w:pPr>
        <w:pStyle w:val="BodyText"/>
        <w:spacing w:line="249" w:lineRule="auto" w:before="50"/>
        <w:ind w:left="107" w:right="46"/>
        <w:jc w:val="both"/>
      </w:pPr>
      <w:r>
        <w:rPr/>
        <w:t>The</w:t>
      </w:r>
      <w:r>
        <w:rPr>
          <w:spacing w:val="-15"/>
        </w:rPr>
        <w:t> </w:t>
      </w:r>
      <w:r>
        <w:rPr/>
        <w:t>Office</w:t>
      </w:r>
      <w:r>
        <w:rPr>
          <w:spacing w:val="-15"/>
        </w:rPr>
        <w:t> </w:t>
      </w:r>
      <w:r>
        <w:rPr/>
        <w:t>of</w:t>
      </w:r>
      <w:r>
        <w:rPr>
          <w:spacing w:val="-15"/>
        </w:rPr>
        <w:t> </w:t>
      </w:r>
      <w:r>
        <w:rPr/>
        <w:t>Commercial</w:t>
      </w:r>
      <w:r>
        <w:rPr>
          <w:spacing w:val="-15"/>
        </w:rPr>
        <w:t> </w:t>
      </w:r>
      <w:r>
        <w:rPr/>
        <w:t>and</w:t>
      </w:r>
      <w:r>
        <w:rPr>
          <w:spacing w:val="-15"/>
        </w:rPr>
        <w:t> </w:t>
      </w:r>
      <w:r>
        <w:rPr/>
        <w:t>Estate</w:t>
      </w:r>
      <w:r>
        <w:rPr>
          <w:spacing w:val="-15"/>
        </w:rPr>
        <w:t> </w:t>
      </w:r>
      <w:r>
        <w:rPr/>
        <w:t>Planning </w:t>
      </w:r>
      <w:r>
        <w:rPr>
          <w:spacing w:val="2"/>
        </w:rPr>
        <w:t>supports</w:t>
      </w:r>
      <w:r>
        <w:rPr>
          <w:spacing w:val="-16"/>
        </w:rPr>
        <w:t> </w:t>
      </w:r>
      <w:r>
        <w:rPr/>
        <w:t>strategic</w:t>
      </w:r>
      <w:r>
        <w:rPr>
          <w:spacing w:val="-16"/>
        </w:rPr>
        <w:t> </w:t>
      </w:r>
      <w:r>
        <w:rPr/>
        <w:t>planning</w:t>
      </w:r>
      <w:r>
        <w:rPr>
          <w:spacing w:val="-16"/>
        </w:rPr>
        <w:t> </w:t>
      </w:r>
      <w:r>
        <w:rPr/>
        <w:t>and</w:t>
      </w:r>
      <w:r>
        <w:rPr>
          <w:spacing w:val="-16"/>
        </w:rPr>
        <w:t> </w:t>
      </w:r>
      <w:r>
        <w:rPr/>
        <w:t>development of</w:t>
      </w:r>
      <w:r>
        <w:rPr>
          <w:spacing w:val="-15"/>
        </w:rPr>
        <w:t> </w:t>
      </w:r>
      <w:r>
        <w:rPr/>
        <w:t>the</w:t>
      </w:r>
      <w:r>
        <w:rPr>
          <w:spacing w:val="-15"/>
        </w:rPr>
        <w:t> </w:t>
      </w:r>
      <w:r>
        <w:rPr/>
        <w:t>University’s</w:t>
      </w:r>
      <w:r>
        <w:rPr>
          <w:spacing w:val="-15"/>
        </w:rPr>
        <w:t> </w:t>
      </w:r>
      <w:r>
        <w:rPr/>
        <w:t>network</w:t>
      </w:r>
      <w:r>
        <w:rPr>
          <w:spacing w:val="-15"/>
        </w:rPr>
        <w:t> </w:t>
      </w:r>
      <w:r>
        <w:rPr/>
        <w:t>of</w:t>
      </w:r>
      <w:r>
        <w:rPr>
          <w:spacing w:val="-15"/>
        </w:rPr>
        <w:t> </w:t>
      </w:r>
      <w:r>
        <w:rPr/>
        <w:t>campuses</w:t>
      </w:r>
    </w:p>
    <w:p>
      <w:pPr>
        <w:pStyle w:val="BodyText"/>
        <w:spacing w:line="249" w:lineRule="auto"/>
        <w:ind w:left="107" w:right="39"/>
      </w:pPr>
      <w:r>
        <w:rPr/>
        <w:t>and assets. Our role is to identify and assess development opportunities and, if approved, manage the developments with the purpose of creating an endowment that will underpin the University’s financial sustainability.</w:t>
      </w:r>
    </w:p>
    <w:p>
      <w:pPr>
        <w:pStyle w:val="BodyText"/>
        <w:spacing w:before="6"/>
        <w:rPr>
          <w:sz w:val="14"/>
        </w:rPr>
      </w:pPr>
    </w:p>
    <w:p>
      <w:pPr>
        <w:pStyle w:val="Heading7"/>
        <w:ind w:right="-8"/>
      </w:pPr>
      <w:r>
        <w:rPr>
          <w:color w:val="615C58"/>
          <w:w w:val="95"/>
        </w:rPr>
        <w:t>Estate Planning and Development</w:t>
      </w:r>
    </w:p>
    <w:p>
      <w:pPr>
        <w:spacing w:line="244" w:lineRule="auto" w:before="85"/>
        <w:ind w:left="305" w:right="142" w:hanging="199"/>
        <w:jc w:val="left"/>
        <w:rPr>
          <w:sz w:val="16"/>
        </w:rPr>
      </w:pPr>
      <w:r>
        <w:rPr>
          <w:rFonts w:ascii="Century Gothic" w:hAnsi="Century Gothic"/>
          <w:b/>
          <w:w w:val="115"/>
          <w:sz w:val="16"/>
        </w:rPr>
        <w:t>≥ </w:t>
      </w:r>
      <w:r>
        <w:rPr>
          <w:rFonts w:ascii="Gotham Narrow Bold" w:hAnsi="Gotham Narrow Bold"/>
          <w:b/>
          <w:sz w:val="16"/>
        </w:rPr>
        <w:t>Westmead Campus Redevelopment: </w:t>
      </w:r>
      <w:r>
        <w:rPr>
          <w:sz w:val="16"/>
        </w:rPr>
        <w:t>Following the Expressions of Interest (EOI) and Request for Proposal (RFP)</w:t>
      </w:r>
    </w:p>
    <w:p>
      <w:pPr>
        <w:pStyle w:val="BodyText"/>
        <w:spacing w:line="249" w:lineRule="auto" w:before="3"/>
        <w:ind w:left="305" w:right="-1"/>
      </w:pPr>
      <w:r>
        <w:rPr>
          <w:spacing w:val="1"/>
          <w:w w:val="98"/>
        </w:rPr>
        <w:t>process</w:t>
      </w:r>
      <w:r>
        <w:rPr>
          <w:w w:val="98"/>
        </w:rPr>
        <w:t> </w:t>
      </w:r>
      <w:r>
        <w:rPr>
          <w:spacing w:val="1"/>
          <w:w w:val="97"/>
        </w:rPr>
        <w:t>undertaken</w:t>
      </w:r>
      <w:r>
        <w:rPr>
          <w:w w:val="97"/>
        </w:rPr>
        <w:t> </w:t>
      </w:r>
      <w:r>
        <w:rPr>
          <w:w w:val="95"/>
        </w:rPr>
        <w:t>in </w:t>
      </w:r>
      <w:r>
        <w:rPr>
          <w:spacing w:val="1"/>
          <w:w w:val="84"/>
        </w:rPr>
        <w:t>2015,</w:t>
      </w:r>
      <w:r>
        <w:rPr>
          <w:w w:val="84"/>
        </w:rPr>
        <w:t> </w:t>
      </w:r>
      <w:r>
        <w:rPr>
          <w:spacing w:val="1"/>
          <w:w w:val="95"/>
        </w:rPr>
        <w:t>sales</w:t>
      </w:r>
      <w:r>
        <w:rPr>
          <w:w w:val="95"/>
        </w:rPr>
        <w:t> </w:t>
      </w:r>
      <w:r>
        <w:rPr>
          <w:spacing w:val="1"/>
          <w:w w:val="99"/>
        </w:rPr>
        <w:t>contracts</w:t>
      </w:r>
      <w:r>
        <w:rPr>
          <w:w w:val="99"/>
        </w:rPr>
        <w:t> </w:t>
      </w:r>
      <w:r>
        <w:rPr>
          <w:w w:val="97"/>
        </w:rPr>
        <w:t>were </w:t>
      </w:r>
      <w:r>
        <w:rPr>
          <w:w w:val="98"/>
        </w:rPr>
        <w:t>exchanged </w:t>
      </w:r>
      <w:r>
        <w:rPr>
          <w:w w:val="95"/>
        </w:rPr>
        <w:t>in </w:t>
      </w:r>
      <w:r>
        <w:rPr>
          <w:spacing w:val="1"/>
          <w:w w:val="98"/>
        </w:rPr>
        <w:t>September</w:t>
      </w:r>
      <w:r>
        <w:rPr>
          <w:w w:val="98"/>
        </w:rPr>
        <w:t> </w:t>
      </w:r>
      <w:r>
        <w:rPr>
          <w:spacing w:val="1"/>
          <w:w w:val="90"/>
        </w:rPr>
        <w:t>2016</w:t>
      </w:r>
      <w:r>
        <w:rPr>
          <w:w w:val="90"/>
        </w:rPr>
        <w:t> </w:t>
      </w:r>
      <w:r>
        <w:rPr>
          <w:w w:val="98"/>
        </w:rPr>
        <w:t>with </w:t>
      </w:r>
      <w:r>
        <w:rPr/>
        <w:t>residential</w:t>
      </w:r>
      <w:r>
        <w:rPr>
          <w:spacing w:val="-15"/>
        </w:rPr>
        <w:t> </w:t>
      </w:r>
      <w:r>
        <w:rPr/>
        <w:t>developer</w:t>
      </w:r>
      <w:r>
        <w:rPr>
          <w:spacing w:val="-15"/>
        </w:rPr>
        <w:t> </w:t>
      </w:r>
      <w:r>
        <w:rPr/>
        <w:t>Deicorp</w:t>
      </w:r>
      <w:r>
        <w:rPr>
          <w:spacing w:val="-15"/>
        </w:rPr>
        <w:t> </w:t>
      </w:r>
      <w:r>
        <w:rPr/>
        <w:t>for</w:t>
      </w:r>
      <w:r>
        <w:rPr>
          <w:spacing w:val="-15"/>
        </w:rPr>
        <w:t> </w:t>
      </w:r>
      <w:r>
        <w:rPr/>
        <w:t>Lots</w:t>
      </w:r>
      <w:r>
        <w:rPr>
          <w:spacing w:val="-15"/>
        </w:rPr>
        <w:t> </w:t>
      </w:r>
      <w:r>
        <w:rPr/>
        <w:t>4</w:t>
      </w:r>
      <w:r>
        <w:rPr>
          <w:spacing w:val="-15"/>
        </w:rPr>
        <w:t> </w:t>
      </w:r>
      <w:r>
        <w:rPr/>
        <w:t>and</w:t>
      </w:r>
    </w:p>
    <w:p>
      <w:pPr>
        <w:pStyle w:val="BodyText"/>
        <w:spacing w:line="249" w:lineRule="auto"/>
        <w:ind w:left="305" w:right="-8"/>
      </w:pPr>
      <w:r>
        <w:rPr/>
        <w:t>5.</w:t>
      </w:r>
      <w:r>
        <w:rPr>
          <w:spacing w:val="-18"/>
        </w:rPr>
        <w:t> </w:t>
      </w:r>
      <w:r>
        <w:rPr/>
        <w:t>The</w:t>
      </w:r>
      <w:r>
        <w:rPr>
          <w:spacing w:val="-18"/>
        </w:rPr>
        <w:t> </w:t>
      </w:r>
      <w:r>
        <w:rPr/>
        <w:t>acquisition</w:t>
      </w:r>
      <w:r>
        <w:rPr>
          <w:spacing w:val="-18"/>
        </w:rPr>
        <w:t> </w:t>
      </w:r>
      <w:r>
        <w:rPr/>
        <w:t>of</w:t>
      </w:r>
      <w:r>
        <w:rPr>
          <w:spacing w:val="-18"/>
        </w:rPr>
        <w:t> </w:t>
      </w:r>
      <w:r>
        <w:rPr/>
        <w:t>an</w:t>
      </w:r>
      <w:r>
        <w:rPr>
          <w:spacing w:val="-18"/>
        </w:rPr>
        <w:t> </w:t>
      </w:r>
      <w:r>
        <w:rPr/>
        <w:t>adjoining</w:t>
      </w:r>
      <w:r>
        <w:rPr>
          <w:spacing w:val="-18"/>
        </w:rPr>
        <w:t> </w:t>
      </w:r>
      <w:r>
        <w:rPr/>
        <w:t>parcel</w:t>
      </w:r>
      <w:r>
        <w:rPr>
          <w:spacing w:val="-18"/>
        </w:rPr>
        <w:t> </w:t>
      </w:r>
      <w:r>
        <w:rPr/>
        <w:t>of land</w:t>
      </w:r>
      <w:r>
        <w:rPr>
          <w:spacing w:val="-17"/>
        </w:rPr>
        <w:t> </w:t>
      </w:r>
      <w:r>
        <w:rPr/>
        <w:t>from</w:t>
      </w:r>
      <w:r>
        <w:rPr>
          <w:spacing w:val="-17"/>
        </w:rPr>
        <w:t> </w:t>
      </w:r>
      <w:r>
        <w:rPr/>
        <w:t>the</w:t>
      </w:r>
      <w:r>
        <w:rPr>
          <w:spacing w:val="-17"/>
        </w:rPr>
        <w:t> </w:t>
      </w:r>
      <w:r>
        <w:rPr/>
        <w:t>Marist</w:t>
      </w:r>
      <w:r>
        <w:rPr>
          <w:spacing w:val="-17"/>
        </w:rPr>
        <w:t> </w:t>
      </w:r>
      <w:r>
        <w:rPr/>
        <w:t>Brothers</w:t>
      </w:r>
      <w:r>
        <w:rPr>
          <w:spacing w:val="-17"/>
        </w:rPr>
        <w:t> </w:t>
      </w:r>
      <w:r>
        <w:rPr/>
        <w:t>was</w:t>
      </w:r>
      <w:r>
        <w:rPr>
          <w:spacing w:val="-17"/>
        </w:rPr>
        <w:t> </w:t>
      </w:r>
      <w:r>
        <w:rPr/>
        <w:t>settled</w:t>
      </w:r>
      <w:r>
        <w:rPr>
          <w:spacing w:val="-17"/>
        </w:rPr>
        <w:t> </w:t>
      </w:r>
      <w:r>
        <w:rPr/>
        <w:t>in </w:t>
      </w:r>
      <w:r>
        <w:rPr>
          <w:spacing w:val="1"/>
          <w:w w:val="100"/>
        </w:rPr>
        <w:t>August</w:t>
      </w:r>
      <w:r>
        <w:rPr>
          <w:spacing w:val="-10"/>
          <w:w w:val="100"/>
        </w:rPr>
        <w:t> </w:t>
      </w:r>
      <w:r>
        <w:rPr>
          <w:spacing w:val="2"/>
          <w:w w:val="85"/>
        </w:rPr>
        <w:t>2016.</w:t>
      </w:r>
      <w:r>
        <w:rPr>
          <w:spacing w:val="-2"/>
          <w:w w:val="85"/>
        </w:rPr>
        <w:t> </w:t>
      </w:r>
      <w:r>
        <w:rPr>
          <w:w w:val="100"/>
        </w:rPr>
        <w:t>Approval</w:t>
      </w:r>
      <w:r>
        <w:rPr>
          <w:spacing w:val="-10"/>
          <w:w w:val="100"/>
        </w:rPr>
        <w:t> </w:t>
      </w:r>
      <w:r>
        <w:rPr>
          <w:w w:val="96"/>
        </w:rPr>
        <w:t>was</w:t>
      </w:r>
      <w:r>
        <w:rPr>
          <w:spacing w:val="-8"/>
          <w:w w:val="96"/>
        </w:rPr>
        <w:t> </w:t>
      </w:r>
      <w:r>
        <w:rPr>
          <w:w w:val="98"/>
        </w:rPr>
        <w:t>given</w:t>
      </w:r>
      <w:r>
        <w:rPr>
          <w:spacing w:val="-9"/>
          <w:w w:val="98"/>
        </w:rPr>
        <w:t> </w:t>
      </w:r>
      <w:r>
        <w:rPr>
          <w:w w:val="95"/>
        </w:rPr>
        <w:t>in</w:t>
      </w:r>
      <w:r>
        <w:rPr>
          <w:spacing w:val="-7"/>
          <w:w w:val="95"/>
        </w:rPr>
        <w:t> </w:t>
      </w:r>
      <w:r>
        <w:rPr>
          <w:spacing w:val="1"/>
          <w:w w:val="100"/>
        </w:rPr>
        <w:t>August</w:t>
      </w:r>
      <w:r>
        <w:rPr>
          <w:w w:val="100"/>
        </w:rPr>
        <w:t> </w:t>
      </w:r>
      <w:r>
        <w:rPr/>
        <w:t>by the Board of Trustees to a further EOI and RFP process to secure a development partner or partners for Lots 2 and 3. With the completion of the Estate Major Works in</w:t>
      </w:r>
      <w:r>
        <w:rPr>
          <w:spacing w:val="-22"/>
        </w:rPr>
        <w:t> </w:t>
      </w:r>
      <w:r>
        <w:rPr/>
        <w:t>November,</w:t>
      </w:r>
      <w:r>
        <w:rPr>
          <w:spacing w:val="-22"/>
        </w:rPr>
        <w:t> </w:t>
      </w:r>
      <w:r>
        <w:rPr/>
        <w:t>a</w:t>
      </w:r>
      <w:r>
        <w:rPr>
          <w:spacing w:val="-22"/>
        </w:rPr>
        <w:t> </w:t>
      </w:r>
      <w:r>
        <w:rPr/>
        <w:t>subdivision</w:t>
      </w:r>
      <w:r>
        <w:rPr>
          <w:spacing w:val="-22"/>
        </w:rPr>
        <w:t> </w:t>
      </w:r>
      <w:r>
        <w:rPr/>
        <w:t>application</w:t>
      </w:r>
    </w:p>
    <w:p>
      <w:pPr>
        <w:pStyle w:val="BodyText"/>
        <w:spacing w:line="249" w:lineRule="auto"/>
        <w:ind w:left="305" w:right="-8"/>
      </w:pPr>
      <w:r>
        <w:rPr/>
        <w:t>has</w:t>
      </w:r>
      <w:r>
        <w:rPr>
          <w:spacing w:val="-15"/>
        </w:rPr>
        <w:t> </w:t>
      </w:r>
      <w:r>
        <w:rPr/>
        <w:t>been</w:t>
      </w:r>
      <w:r>
        <w:rPr>
          <w:spacing w:val="-15"/>
        </w:rPr>
        <w:t> </w:t>
      </w:r>
      <w:r>
        <w:rPr/>
        <w:t>made</w:t>
      </w:r>
      <w:r>
        <w:rPr>
          <w:spacing w:val="-15"/>
        </w:rPr>
        <w:t> </w:t>
      </w:r>
      <w:r>
        <w:rPr/>
        <w:t>to</w:t>
      </w:r>
      <w:r>
        <w:rPr>
          <w:spacing w:val="-15"/>
        </w:rPr>
        <w:t> </w:t>
      </w:r>
      <w:r>
        <w:rPr/>
        <w:t>the</w:t>
      </w:r>
      <w:r>
        <w:rPr>
          <w:spacing w:val="-15"/>
        </w:rPr>
        <w:t> </w:t>
      </w:r>
      <w:r>
        <w:rPr/>
        <w:t>City</w:t>
      </w:r>
      <w:r>
        <w:rPr>
          <w:spacing w:val="-15"/>
        </w:rPr>
        <w:t> </w:t>
      </w:r>
      <w:r>
        <w:rPr/>
        <w:t>of</w:t>
      </w:r>
      <w:r>
        <w:rPr>
          <w:spacing w:val="-15"/>
        </w:rPr>
        <w:t> </w:t>
      </w:r>
      <w:r>
        <w:rPr/>
        <w:t>Parramatta Council</w:t>
      </w:r>
      <w:r>
        <w:rPr>
          <w:spacing w:val="-19"/>
        </w:rPr>
        <w:t> </w:t>
      </w:r>
      <w:r>
        <w:rPr/>
        <w:t>to</w:t>
      </w:r>
      <w:r>
        <w:rPr>
          <w:spacing w:val="-19"/>
        </w:rPr>
        <w:t> </w:t>
      </w:r>
      <w:r>
        <w:rPr/>
        <w:t>enable</w:t>
      </w:r>
      <w:r>
        <w:rPr>
          <w:spacing w:val="-19"/>
        </w:rPr>
        <w:t> </w:t>
      </w:r>
      <w:r>
        <w:rPr/>
        <w:t>registration</w:t>
      </w:r>
      <w:r>
        <w:rPr>
          <w:spacing w:val="-19"/>
        </w:rPr>
        <w:t> </w:t>
      </w:r>
      <w:r>
        <w:rPr/>
        <w:t>of</w:t>
      </w:r>
      <w:r>
        <w:rPr>
          <w:spacing w:val="-19"/>
        </w:rPr>
        <w:t> </w:t>
      </w:r>
      <w:r>
        <w:rPr/>
        <w:t>the</w:t>
      </w:r>
      <w:r>
        <w:rPr>
          <w:spacing w:val="-19"/>
        </w:rPr>
        <w:t> </w:t>
      </w:r>
      <w:r>
        <w:rPr/>
        <w:t>plan.</w:t>
      </w:r>
    </w:p>
    <w:p>
      <w:pPr>
        <w:pStyle w:val="BodyText"/>
        <w:spacing w:line="247" w:lineRule="auto" w:before="55"/>
        <w:ind w:left="305" w:right="11" w:hanging="199"/>
      </w:pPr>
      <w:r>
        <w:rPr>
          <w:rFonts w:ascii="Century Gothic" w:hAnsi="Century Gothic"/>
          <w:b/>
          <w:w w:val="115"/>
        </w:rPr>
        <w:t>≥ </w:t>
      </w:r>
      <w:r>
        <w:rPr>
          <w:rFonts w:ascii="Gotham Narrow Bold" w:hAnsi="Gotham Narrow Bold"/>
          <w:b/>
          <w:spacing w:val="2"/>
        </w:rPr>
        <w:t>Macarthur Heights Residential </w:t>
      </w:r>
      <w:r>
        <w:rPr>
          <w:rFonts w:ascii="Gotham Narrow Bold" w:hAnsi="Gotham Narrow Bold"/>
          <w:b/>
        </w:rPr>
        <w:t>Development</w:t>
      </w:r>
      <w:r>
        <w:rPr/>
        <w:t>, Campbelltown: Continued delivery of the Macarthur Gardens residential development comprising 950 lots in partnership between the University and Urban Growth NSW. At the end of October, the University had received sales revenue of </w:t>
      </w:r>
      <w:r>
        <w:rPr>
          <w:spacing w:val="2"/>
        </w:rPr>
        <w:t>$41.3M </w:t>
      </w:r>
      <w:r>
        <w:rPr/>
        <w:t>from the settlement of 293</w:t>
      </w:r>
      <w:r>
        <w:rPr>
          <w:spacing w:val="-24"/>
        </w:rPr>
        <w:t> </w:t>
      </w:r>
      <w:r>
        <w:rPr/>
        <w:t>lots</w:t>
      </w:r>
      <w:r>
        <w:rPr>
          <w:spacing w:val="-24"/>
        </w:rPr>
        <w:t> </w:t>
      </w:r>
      <w:r>
        <w:rPr/>
        <w:t>from</w:t>
      </w:r>
      <w:r>
        <w:rPr>
          <w:spacing w:val="-24"/>
        </w:rPr>
        <w:t> </w:t>
      </w:r>
      <w:r>
        <w:rPr/>
        <w:t>Stage</w:t>
      </w:r>
      <w:r>
        <w:rPr>
          <w:spacing w:val="-24"/>
        </w:rPr>
        <w:t> </w:t>
      </w:r>
      <w:r>
        <w:rPr/>
        <w:t>1,</w:t>
      </w:r>
      <w:r>
        <w:rPr>
          <w:spacing w:val="-24"/>
        </w:rPr>
        <w:t> </w:t>
      </w:r>
      <w:r>
        <w:rPr/>
        <w:t>with</w:t>
      </w:r>
      <w:r>
        <w:rPr>
          <w:spacing w:val="-24"/>
        </w:rPr>
        <w:t> </w:t>
      </w:r>
      <w:r>
        <w:rPr/>
        <w:t>a</w:t>
      </w:r>
      <w:r>
        <w:rPr>
          <w:spacing w:val="-24"/>
        </w:rPr>
        <w:t> </w:t>
      </w:r>
      <w:r>
        <w:rPr/>
        <w:t>further</w:t>
      </w:r>
      <w:r>
        <w:rPr>
          <w:spacing w:val="-24"/>
        </w:rPr>
        <w:t> </w:t>
      </w:r>
      <w:r>
        <w:rPr/>
        <w:t>197</w:t>
      </w:r>
      <w:r>
        <w:rPr>
          <w:spacing w:val="-24"/>
        </w:rPr>
        <w:t> </w:t>
      </w:r>
      <w:r>
        <w:rPr/>
        <w:t>lots under</w:t>
      </w:r>
      <w:r>
        <w:rPr>
          <w:spacing w:val="-18"/>
        </w:rPr>
        <w:t> </w:t>
      </w:r>
      <w:r>
        <w:rPr/>
        <w:t>contract</w:t>
      </w:r>
      <w:r>
        <w:rPr>
          <w:spacing w:val="-18"/>
        </w:rPr>
        <w:t> </w:t>
      </w:r>
      <w:r>
        <w:rPr/>
        <w:t>from</w:t>
      </w:r>
      <w:r>
        <w:rPr>
          <w:spacing w:val="-18"/>
        </w:rPr>
        <w:t> </w:t>
      </w:r>
      <w:r>
        <w:rPr/>
        <w:t>Stages</w:t>
      </w:r>
      <w:r>
        <w:rPr>
          <w:spacing w:val="-18"/>
        </w:rPr>
        <w:t> </w:t>
      </w:r>
      <w:r>
        <w:rPr/>
        <w:t>2,</w:t>
      </w:r>
      <w:r>
        <w:rPr>
          <w:spacing w:val="-18"/>
        </w:rPr>
        <w:t> </w:t>
      </w:r>
      <w:r>
        <w:rPr/>
        <w:t>3</w:t>
      </w:r>
      <w:r>
        <w:rPr>
          <w:spacing w:val="-18"/>
        </w:rPr>
        <w:t> </w:t>
      </w:r>
      <w:r>
        <w:rPr/>
        <w:t>and</w:t>
      </w:r>
      <w:r>
        <w:rPr>
          <w:spacing w:val="-18"/>
        </w:rPr>
        <w:t> </w:t>
      </w:r>
      <w:r>
        <w:rPr/>
        <w:t>4.</w:t>
      </w:r>
    </w:p>
    <w:p>
      <w:pPr>
        <w:pStyle w:val="BodyText"/>
        <w:spacing w:before="8"/>
      </w:pPr>
      <w:r>
        <w:rPr/>
        <w:br w:type="column"/>
      </w:r>
      <w:r>
        <w:rPr/>
      </w:r>
    </w:p>
    <w:p>
      <w:pPr>
        <w:pStyle w:val="BodyText"/>
        <w:spacing w:line="247" w:lineRule="auto" w:before="1"/>
        <w:ind w:left="305" w:right="67" w:hanging="199"/>
      </w:pPr>
      <w:r>
        <w:rPr>
          <w:rFonts w:ascii="Century Gothic" w:hAnsi="Century Gothic"/>
          <w:b/>
          <w:w w:val="115"/>
        </w:rPr>
        <w:t>≥ </w:t>
      </w:r>
      <w:r>
        <w:rPr>
          <w:rFonts w:ascii="Gotham Narrow Bold" w:hAnsi="Gotham Narrow Bold"/>
          <w:b/>
        </w:rPr>
        <w:t>Werrington Retail Centre: </w:t>
      </w:r>
      <w:r>
        <w:rPr/>
        <w:t>The selection of a preferred supermarket operator through an EOI process (Woolworths); preparation of a concept design for the centre and development feasibility (with construction </w:t>
      </w:r>
      <w:r>
        <w:rPr>
          <w:w w:val="101"/>
        </w:rPr>
        <w:t>to </w:t>
      </w:r>
      <w:r>
        <w:rPr>
          <w:w w:val="98"/>
        </w:rPr>
        <w:t>commence </w:t>
      </w:r>
      <w:r>
        <w:rPr>
          <w:w w:val="95"/>
        </w:rPr>
        <w:t>in </w:t>
      </w:r>
      <w:r>
        <w:rPr>
          <w:w w:val="84"/>
        </w:rPr>
        <w:t>2017); </w:t>
      </w:r>
      <w:r>
        <w:rPr>
          <w:w w:val="97"/>
        </w:rPr>
        <w:t>authorisation </w:t>
      </w:r>
      <w:r>
        <w:rPr>
          <w:w w:val="101"/>
        </w:rPr>
        <w:t>to </w:t>
      </w:r>
      <w:r>
        <w:rPr/>
        <w:t>enter into an Agreement for Lease with</w:t>
      </w:r>
    </w:p>
    <w:p>
      <w:pPr>
        <w:pStyle w:val="BodyText"/>
        <w:spacing w:line="249" w:lineRule="auto" w:before="1"/>
        <w:ind w:left="305" w:right="182"/>
      </w:pPr>
      <w:r>
        <w:rPr/>
        <w:t>the</w:t>
      </w:r>
      <w:r>
        <w:rPr>
          <w:spacing w:val="-16"/>
        </w:rPr>
        <w:t> </w:t>
      </w:r>
      <w:r>
        <w:rPr/>
        <w:t>preferred</w:t>
      </w:r>
      <w:r>
        <w:rPr>
          <w:spacing w:val="-16"/>
        </w:rPr>
        <w:t> </w:t>
      </w:r>
      <w:r>
        <w:rPr/>
        <w:t>operator;</w:t>
      </w:r>
      <w:r>
        <w:rPr>
          <w:spacing w:val="-16"/>
        </w:rPr>
        <w:t> </w:t>
      </w:r>
      <w:r>
        <w:rPr/>
        <w:t>and</w:t>
      </w:r>
      <w:r>
        <w:rPr>
          <w:spacing w:val="-16"/>
        </w:rPr>
        <w:t> </w:t>
      </w:r>
      <w:r>
        <w:rPr/>
        <w:t>finalisation</w:t>
      </w:r>
      <w:r>
        <w:rPr>
          <w:spacing w:val="-16"/>
        </w:rPr>
        <w:t> </w:t>
      </w:r>
      <w:r>
        <w:rPr/>
        <w:t>of a</w:t>
      </w:r>
      <w:r>
        <w:rPr>
          <w:spacing w:val="-14"/>
        </w:rPr>
        <w:t> </w:t>
      </w:r>
      <w:r>
        <w:rPr/>
        <w:t>business</w:t>
      </w:r>
      <w:r>
        <w:rPr>
          <w:spacing w:val="-14"/>
        </w:rPr>
        <w:t> </w:t>
      </w:r>
      <w:r>
        <w:rPr/>
        <w:t>case</w:t>
      </w:r>
      <w:r>
        <w:rPr>
          <w:spacing w:val="-14"/>
        </w:rPr>
        <w:t> </w:t>
      </w:r>
      <w:r>
        <w:rPr/>
        <w:t>pending</w:t>
      </w:r>
      <w:r>
        <w:rPr>
          <w:spacing w:val="-14"/>
        </w:rPr>
        <w:t> </w:t>
      </w:r>
      <w:r>
        <w:rPr/>
        <w:t>Board</w:t>
      </w:r>
      <w:r>
        <w:rPr>
          <w:spacing w:val="-14"/>
        </w:rPr>
        <w:t> </w:t>
      </w:r>
      <w:r>
        <w:rPr/>
        <w:t>approval</w:t>
      </w:r>
      <w:r>
        <w:rPr>
          <w:spacing w:val="-14"/>
        </w:rPr>
        <w:t> </w:t>
      </w:r>
      <w:r>
        <w:rPr/>
        <w:t>in December.</w:t>
      </w:r>
    </w:p>
    <w:p>
      <w:pPr>
        <w:spacing w:line="247" w:lineRule="auto" w:before="55"/>
        <w:ind w:left="305" w:right="341" w:hanging="199"/>
        <w:jc w:val="left"/>
        <w:rPr>
          <w:sz w:val="16"/>
        </w:rPr>
      </w:pPr>
      <w:r>
        <w:rPr>
          <w:rFonts w:ascii="Century Gothic" w:hAnsi="Century Gothic"/>
          <w:b/>
          <w:w w:val="115"/>
          <w:sz w:val="16"/>
        </w:rPr>
        <w:t>≥ </w:t>
      </w:r>
      <w:r>
        <w:rPr>
          <w:rFonts w:ascii="Gotham Narrow Bold" w:hAnsi="Gotham Narrow Bold"/>
          <w:b/>
          <w:sz w:val="16"/>
        </w:rPr>
        <w:t>Werrington Estate Master Plan: </w:t>
      </w:r>
      <w:r>
        <w:rPr>
          <w:sz w:val="16"/>
        </w:rPr>
        <w:t>Progress on master planning for the Werrington Estate, including technical assessments and a development staging plan.</w:t>
      </w:r>
    </w:p>
    <w:p>
      <w:pPr>
        <w:pStyle w:val="BodyText"/>
        <w:spacing w:line="247" w:lineRule="auto" w:before="57"/>
        <w:ind w:left="305" w:right="124" w:hanging="199"/>
      </w:pPr>
      <w:r>
        <w:rPr>
          <w:rFonts w:ascii="Century Gothic" w:hAnsi="Century Gothic"/>
          <w:b/>
          <w:w w:val="115"/>
        </w:rPr>
        <w:t>≥ </w:t>
      </w:r>
      <w:r>
        <w:rPr>
          <w:rFonts w:ascii="Gotham Narrow Bold" w:hAnsi="Gotham Narrow Bold"/>
          <w:b/>
          <w:spacing w:val="2"/>
        </w:rPr>
        <w:t>Community </w:t>
      </w:r>
      <w:r>
        <w:rPr>
          <w:rFonts w:ascii="Gotham Narrow Bold" w:hAnsi="Gotham Narrow Bold"/>
          <w:b/>
        </w:rPr>
        <w:t>Title </w:t>
      </w:r>
      <w:r>
        <w:rPr>
          <w:rFonts w:ascii="Gotham Narrow Bold" w:hAnsi="Gotham Narrow Bold"/>
          <w:b/>
          <w:spacing w:val="2"/>
        </w:rPr>
        <w:t>Subdivision</w:t>
      </w:r>
      <w:r>
        <w:rPr>
          <w:spacing w:val="2"/>
        </w:rPr>
        <w:t>, </w:t>
      </w:r>
      <w:r>
        <w:rPr/>
        <w:t>Nirimba Education Precinct: Subdivision approval by</w:t>
      </w:r>
      <w:r>
        <w:rPr>
          <w:spacing w:val="-14"/>
        </w:rPr>
        <w:t> </w:t>
      </w:r>
      <w:r>
        <w:rPr/>
        <w:t>City</w:t>
      </w:r>
      <w:r>
        <w:rPr>
          <w:spacing w:val="-14"/>
        </w:rPr>
        <w:t> </w:t>
      </w:r>
      <w:r>
        <w:rPr/>
        <w:t>of</w:t>
      </w:r>
      <w:r>
        <w:rPr>
          <w:spacing w:val="-14"/>
        </w:rPr>
        <w:t> </w:t>
      </w:r>
      <w:r>
        <w:rPr/>
        <w:t>Blacktown</w:t>
      </w:r>
      <w:r>
        <w:rPr>
          <w:spacing w:val="-14"/>
        </w:rPr>
        <w:t> </w:t>
      </w:r>
      <w:r>
        <w:rPr/>
        <w:t>Council;</w:t>
      </w:r>
      <w:r>
        <w:rPr>
          <w:spacing w:val="-14"/>
        </w:rPr>
        <w:t> </w:t>
      </w:r>
      <w:r>
        <w:rPr/>
        <w:t>final</w:t>
      </w:r>
      <w:r>
        <w:rPr>
          <w:spacing w:val="-14"/>
        </w:rPr>
        <w:t> </w:t>
      </w:r>
      <w:r>
        <w:rPr/>
        <w:t>approval by</w:t>
      </w:r>
      <w:r>
        <w:rPr>
          <w:spacing w:val="-16"/>
        </w:rPr>
        <w:t> </w:t>
      </w:r>
      <w:r>
        <w:rPr/>
        <w:t>the</w:t>
      </w:r>
      <w:r>
        <w:rPr>
          <w:spacing w:val="-16"/>
        </w:rPr>
        <w:t> </w:t>
      </w:r>
      <w:r>
        <w:rPr/>
        <w:t>Minster</w:t>
      </w:r>
      <w:r>
        <w:rPr>
          <w:spacing w:val="-16"/>
        </w:rPr>
        <w:t> </w:t>
      </w:r>
      <w:r>
        <w:rPr/>
        <w:t>for</w:t>
      </w:r>
      <w:r>
        <w:rPr>
          <w:spacing w:val="-16"/>
        </w:rPr>
        <w:t> </w:t>
      </w:r>
      <w:r>
        <w:rPr/>
        <w:t>Education</w:t>
      </w:r>
      <w:r>
        <w:rPr>
          <w:spacing w:val="-16"/>
        </w:rPr>
        <w:t> </w:t>
      </w:r>
      <w:r>
        <w:rPr/>
        <w:t>in</w:t>
      </w:r>
      <w:r>
        <w:rPr>
          <w:spacing w:val="-16"/>
        </w:rPr>
        <w:t> </w:t>
      </w:r>
      <w:r>
        <w:rPr/>
        <w:t>November; and lodgement of the plan for subdivision for</w:t>
      </w:r>
      <w:r>
        <w:rPr>
          <w:spacing w:val="-31"/>
        </w:rPr>
        <w:t> </w:t>
      </w:r>
      <w:r>
        <w:rPr/>
        <w:t>registration.</w:t>
      </w:r>
    </w:p>
    <w:p>
      <w:pPr>
        <w:pStyle w:val="BodyText"/>
        <w:spacing w:line="247" w:lineRule="auto" w:before="57"/>
        <w:ind w:left="305" w:right="123" w:hanging="199"/>
      </w:pPr>
      <w:r>
        <w:rPr>
          <w:rFonts w:ascii="Century Gothic" w:hAnsi="Century Gothic"/>
          <w:b/>
          <w:w w:val="115"/>
        </w:rPr>
        <w:t>≥  </w:t>
      </w:r>
      <w:r>
        <w:rPr>
          <w:rFonts w:ascii="Gotham Narrow Bold" w:hAnsi="Gotham Narrow Bold"/>
          <w:b/>
        </w:rPr>
        <w:t>Nirimba Freehold Lot: </w:t>
      </w:r>
      <w:r>
        <w:rPr/>
        <w:t>A Planning Proposal was lodged with City of Blacktown Council in </w:t>
      </w:r>
      <w:r>
        <w:rPr>
          <w:spacing w:val="2"/>
        </w:rPr>
        <w:t>January </w:t>
      </w:r>
      <w:r>
        <w:rPr/>
        <w:t>for the rezoning</w:t>
      </w:r>
      <w:r>
        <w:rPr>
          <w:spacing w:val="-16"/>
        </w:rPr>
        <w:t> </w:t>
      </w:r>
      <w:r>
        <w:rPr/>
        <w:t>to</w:t>
      </w:r>
      <w:r>
        <w:rPr>
          <w:spacing w:val="-16"/>
        </w:rPr>
        <w:t> </w:t>
      </w:r>
      <w:r>
        <w:rPr/>
        <w:t>residential</w:t>
      </w:r>
      <w:r>
        <w:rPr>
          <w:spacing w:val="-16"/>
        </w:rPr>
        <w:t> </w:t>
      </w:r>
      <w:r>
        <w:rPr/>
        <w:t>of</w:t>
      </w:r>
      <w:r>
        <w:rPr>
          <w:spacing w:val="-16"/>
        </w:rPr>
        <w:t> </w:t>
      </w:r>
      <w:r>
        <w:rPr/>
        <w:t>the</w:t>
      </w:r>
      <w:r>
        <w:rPr>
          <w:spacing w:val="-16"/>
        </w:rPr>
        <w:t> </w:t>
      </w:r>
      <w:r>
        <w:rPr/>
        <w:t>parcel</w:t>
      </w:r>
      <w:r>
        <w:rPr>
          <w:spacing w:val="-16"/>
        </w:rPr>
        <w:t> </w:t>
      </w:r>
      <w:r>
        <w:rPr/>
        <w:t>of</w:t>
      </w:r>
      <w:r>
        <w:rPr>
          <w:spacing w:val="-16"/>
        </w:rPr>
        <w:t> </w:t>
      </w:r>
      <w:r>
        <w:rPr/>
        <w:t>land owned by the University, adjoining the Nirimba Education Precinct. The proposal has</w:t>
      </w:r>
      <w:r>
        <w:rPr>
          <w:spacing w:val="-15"/>
        </w:rPr>
        <w:t> </w:t>
      </w:r>
      <w:r>
        <w:rPr/>
        <w:t>advanced</w:t>
      </w:r>
      <w:r>
        <w:rPr>
          <w:spacing w:val="-15"/>
        </w:rPr>
        <w:t> </w:t>
      </w:r>
      <w:r>
        <w:rPr/>
        <w:t>through</w:t>
      </w:r>
      <w:r>
        <w:rPr>
          <w:spacing w:val="-15"/>
        </w:rPr>
        <w:t> </w:t>
      </w:r>
      <w:r>
        <w:rPr/>
        <w:t>‘gateway’</w:t>
      </w:r>
      <w:r>
        <w:rPr>
          <w:spacing w:val="-15"/>
        </w:rPr>
        <w:t> </w:t>
      </w:r>
      <w:r>
        <w:rPr/>
        <w:t>and</w:t>
      </w:r>
      <w:r>
        <w:rPr>
          <w:spacing w:val="-15"/>
        </w:rPr>
        <w:t> </w:t>
      </w:r>
      <w:r>
        <w:rPr/>
        <w:t>public exhibition</w:t>
      </w:r>
      <w:r>
        <w:rPr>
          <w:spacing w:val="-18"/>
        </w:rPr>
        <w:t> </w:t>
      </w:r>
      <w:r>
        <w:rPr/>
        <w:t>and</w:t>
      </w:r>
      <w:r>
        <w:rPr>
          <w:spacing w:val="-18"/>
        </w:rPr>
        <w:t> </w:t>
      </w:r>
      <w:r>
        <w:rPr/>
        <w:t>is</w:t>
      </w:r>
      <w:r>
        <w:rPr>
          <w:spacing w:val="-18"/>
        </w:rPr>
        <w:t> </w:t>
      </w:r>
      <w:r>
        <w:rPr/>
        <w:t>pending</w:t>
      </w:r>
      <w:r>
        <w:rPr>
          <w:spacing w:val="-18"/>
        </w:rPr>
        <w:t> </w:t>
      </w:r>
      <w:r>
        <w:rPr/>
        <w:t>final</w:t>
      </w:r>
      <w:r>
        <w:rPr>
          <w:spacing w:val="-18"/>
        </w:rPr>
        <w:t> </w:t>
      </w:r>
      <w:r>
        <w:rPr/>
        <w:t>approvals.</w:t>
      </w:r>
    </w:p>
    <w:p>
      <w:pPr>
        <w:pStyle w:val="BodyText"/>
        <w:spacing w:line="247" w:lineRule="auto" w:before="57"/>
        <w:ind w:left="305" w:right="82" w:hanging="199"/>
      </w:pPr>
      <w:r>
        <w:rPr>
          <w:rFonts w:ascii="Century Gothic" w:hAnsi="Century Gothic"/>
          <w:b/>
          <w:w w:val="115"/>
        </w:rPr>
        <w:t>≥ </w:t>
      </w:r>
      <w:r>
        <w:rPr>
          <w:rFonts w:ascii="Gotham Narrow Bold" w:hAnsi="Gotham Narrow Bold"/>
          <w:b/>
          <w:spacing w:val="2"/>
        </w:rPr>
        <w:t>Aboriginal Land Claims: </w:t>
      </w:r>
      <w:r>
        <w:rPr/>
        <w:t>All Aboriginal Land Claims associated with the Hawkesbury and Parramatta South </w:t>
      </w:r>
      <w:r>
        <w:rPr>
          <w:spacing w:val="2"/>
        </w:rPr>
        <w:t>Campuses </w:t>
      </w:r>
      <w:r>
        <w:rPr/>
        <w:t>made by the Deerubbin Aboriginal Land Council have been reviewed. A determination by the Minster was</w:t>
      </w:r>
      <w:r>
        <w:rPr>
          <w:spacing w:val="-16"/>
        </w:rPr>
        <w:t> </w:t>
      </w:r>
      <w:r>
        <w:rPr/>
        <w:t>made</w:t>
      </w:r>
      <w:r>
        <w:rPr>
          <w:spacing w:val="-16"/>
        </w:rPr>
        <w:t> </w:t>
      </w:r>
      <w:r>
        <w:rPr/>
        <w:t>on</w:t>
      </w:r>
      <w:r>
        <w:rPr>
          <w:spacing w:val="-16"/>
        </w:rPr>
        <w:t> </w:t>
      </w:r>
      <w:r>
        <w:rPr/>
        <w:t>5</w:t>
      </w:r>
      <w:r>
        <w:rPr>
          <w:spacing w:val="-16"/>
        </w:rPr>
        <w:t> </w:t>
      </w:r>
      <w:r>
        <w:rPr/>
        <w:t>December.</w:t>
      </w:r>
      <w:r>
        <w:rPr>
          <w:spacing w:val="-16"/>
        </w:rPr>
        <w:t> </w:t>
      </w:r>
      <w:r>
        <w:rPr/>
        <w:t>Rights</w:t>
      </w:r>
      <w:r>
        <w:rPr>
          <w:spacing w:val="-16"/>
        </w:rPr>
        <w:t> </w:t>
      </w:r>
      <w:r>
        <w:rPr/>
        <w:t>of</w:t>
      </w:r>
      <w:r>
        <w:rPr>
          <w:spacing w:val="-16"/>
        </w:rPr>
        <w:t> </w:t>
      </w:r>
      <w:r>
        <w:rPr/>
        <w:t>appeal are</w:t>
      </w:r>
      <w:r>
        <w:rPr>
          <w:spacing w:val="-13"/>
        </w:rPr>
        <w:t> </w:t>
      </w:r>
      <w:r>
        <w:rPr/>
        <w:t>available</w:t>
      </w:r>
      <w:r>
        <w:rPr>
          <w:spacing w:val="-13"/>
        </w:rPr>
        <w:t> </w:t>
      </w:r>
      <w:r>
        <w:rPr/>
        <w:t>to</w:t>
      </w:r>
      <w:r>
        <w:rPr>
          <w:spacing w:val="-13"/>
        </w:rPr>
        <w:t> </w:t>
      </w:r>
      <w:r>
        <w:rPr/>
        <w:t>the</w:t>
      </w:r>
      <w:r>
        <w:rPr>
          <w:spacing w:val="-13"/>
        </w:rPr>
        <w:t> </w:t>
      </w:r>
      <w:r>
        <w:rPr/>
        <w:t>Aboriginal</w:t>
      </w:r>
      <w:r>
        <w:rPr>
          <w:spacing w:val="-13"/>
        </w:rPr>
        <w:t> </w:t>
      </w:r>
      <w:r>
        <w:rPr/>
        <w:t>Land</w:t>
      </w:r>
      <w:r>
        <w:rPr>
          <w:spacing w:val="-13"/>
        </w:rPr>
        <w:t> </w:t>
      </w:r>
      <w:r>
        <w:rPr/>
        <w:t>Council for a period of four months following the determination.</w:t>
      </w:r>
    </w:p>
    <w:p>
      <w:pPr>
        <w:pStyle w:val="BodyText"/>
        <w:spacing w:before="8"/>
        <w:rPr>
          <w:sz w:val="14"/>
        </w:rPr>
      </w:pPr>
    </w:p>
    <w:p>
      <w:pPr>
        <w:pStyle w:val="Heading7"/>
        <w:ind w:right="172"/>
      </w:pPr>
      <w:r>
        <w:rPr>
          <w:color w:val="615C58"/>
          <w:w w:val="95"/>
        </w:rPr>
        <w:t>Commercial Services</w:t>
      </w:r>
    </w:p>
    <w:p>
      <w:pPr>
        <w:pStyle w:val="BodyText"/>
        <w:spacing w:line="247" w:lineRule="auto" w:before="85"/>
        <w:ind w:left="305" w:right="276" w:hanging="199"/>
      </w:pPr>
      <w:r>
        <w:rPr>
          <w:rFonts w:ascii="Century Gothic" w:hAnsi="Century Gothic"/>
          <w:b/>
          <w:w w:val="115"/>
        </w:rPr>
        <w:t>≥ </w:t>
      </w:r>
      <w:r>
        <w:rPr>
          <w:rFonts w:ascii="Gotham Narrow Bold" w:hAnsi="Gotham Narrow Bold"/>
          <w:b/>
        </w:rPr>
        <w:t>1 </w:t>
      </w:r>
      <w:r>
        <w:rPr>
          <w:rFonts w:ascii="Gotham Narrow Bold" w:hAnsi="Gotham Narrow Bold"/>
          <w:b/>
          <w:spacing w:val="2"/>
        </w:rPr>
        <w:t>PSQ: </w:t>
      </w:r>
      <w:r>
        <w:rPr/>
        <w:t>Completion of the University’s new</w:t>
      </w:r>
      <w:r>
        <w:rPr>
          <w:spacing w:val="-13"/>
        </w:rPr>
        <w:t> </w:t>
      </w:r>
      <w:r>
        <w:rPr/>
        <w:t>iconic</w:t>
      </w:r>
      <w:r>
        <w:rPr>
          <w:spacing w:val="-13"/>
        </w:rPr>
        <w:t> </w:t>
      </w:r>
      <w:r>
        <w:rPr/>
        <w:t>vertical</w:t>
      </w:r>
      <w:r>
        <w:rPr>
          <w:spacing w:val="-13"/>
        </w:rPr>
        <w:t> </w:t>
      </w:r>
      <w:r>
        <w:rPr/>
        <w:t>campus</w:t>
      </w:r>
      <w:r>
        <w:rPr>
          <w:spacing w:val="-13"/>
        </w:rPr>
        <w:t> </w:t>
      </w:r>
      <w:r>
        <w:rPr/>
        <w:t>in</w:t>
      </w:r>
      <w:r>
        <w:rPr>
          <w:spacing w:val="-13"/>
        </w:rPr>
        <w:t> </w:t>
      </w:r>
      <w:r>
        <w:rPr/>
        <w:t>Parramatta CBD; arrangements for commencement of operations are now underway; the </w:t>
      </w:r>
      <w:r>
        <w:rPr>
          <w:spacing w:val="1"/>
          <w:w w:val="97"/>
        </w:rPr>
        <w:t>University</w:t>
      </w:r>
      <w:r>
        <w:rPr>
          <w:spacing w:val="-9"/>
          <w:w w:val="97"/>
        </w:rPr>
        <w:t> </w:t>
      </w:r>
      <w:r>
        <w:rPr>
          <w:w w:val="97"/>
        </w:rPr>
        <w:t>will</w:t>
      </w:r>
      <w:r>
        <w:rPr>
          <w:spacing w:val="-8"/>
          <w:w w:val="97"/>
        </w:rPr>
        <w:t> </w:t>
      </w:r>
      <w:r>
        <w:rPr>
          <w:w w:val="100"/>
        </w:rPr>
        <w:t>occupy</w:t>
      </w:r>
      <w:r>
        <w:rPr>
          <w:spacing w:val="-10"/>
          <w:w w:val="100"/>
        </w:rPr>
        <w:t> </w:t>
      </w:r>
      <w:r>
        <w:rPr>
          <w:spacing w:val="2"/>
          <w:w w:val="82"/>
        </w:rPr>
        <w:t>10</w:t>
      </w:r>
      <w:r>
        <w:rPr>
          <w:spacing w:val="-1"/>
          <w:w w:val="82"/>
        </w:rPr>
        <w:t> </w:t>
      </w:r>
      <w:r>
        <w:rPr>
          <w:w w:val="99"/>
        </w:rPr>
        <w:t>of</w:t>
      </w:r>
      <w:r>
        <w:rPr>
          <w:spacing w:val="-9"/>
          <w:w w:val="99"/>
        </w:rPr>
        <w:t> </w:t>
      </w:r>
      <w:r>
        <w:rPr>
          <w:w w:val="97"/>
        </w:rPr>
        <w:t>the</w:t>
      </w:r>
      <w:r>
        <w:rPr>
          <w:spacing w:val="-9"/>
          <w:w w:val="97"/>
        </w:rPr>
        <w:t> </w:t>
      </w:r>
      <w:r>
        <w:rPr>
          <w:spacing w:val="1"/>
          <w:w w:val="78"/>
        </w:rPr>
        <w:t>14 </w:t>
      </w:r>
      <w:r>
        <w:rPr>
          <w:spacing w:val="1"/>
          <w:w w:val="93"/>
        </w:rPr>
        <w:t>floors,</w:t>
      </w:r>
    </w:p>
    <w:p>
      <w:pPr>
        <w:pStyle w:val="BodyText"/>
        <w:spacing w:line="249" w:lineRule="auto" w:before="1"/>
        <w:ind w:left="305" w:right="82"/>
      </w:pPr>
      <w:r>
        <w:rPr/>
        <w:t>with</w:t>
      </w:r>
      <w:r>
        <w:rPr>
          <w:spacing w:val="-18"/>
        </w:rPr>
        <w:t> </w:t>
      </w:r>
      <w:r>
        <w:rPr/>
        <w:t>partners</w:t>
      </w:r>
      <w:r>
        <w:rPr>
          <w:spacing w:val="-18"/>
        </w:rPr>
        <w:t> </w:t>
      </w:r>
      <w:r>
        <w:rPr/>
        <w:t>from</w:t>
      </w:r>
      <w:r>
        <w:rPr>
          <w:spacing w:val="-18"/>
        </w:rPr>
        <w:t> </w:t>
      </w:r>
      <w:r>
        <w:rPr/>
        <w:t>PWC</w:t>
      </w:r>
      <w:r>
        <w:rPr>
          <w:spacing w:val="-18"/>
        </w:rPr>
        <w:t> </w:t>
      </w:r>
      <w:r>
        <w:rPr>
          <w:spacing w:val="2"/>
        </w:rPr>
        <w:t>(1</w:t>
      </w:r>
      <w:r>
        <w:rPr>
          <w:spacing w:val="-18"/>
        </w:rPr>
        <w:t> </w:t>
      </w:r>
      <w:r>
        <w:rPr/>
        <w:t>floor)</w:t>
      </w:r>
      <w:r>
        <w:rPr>
          <w:spacing w:val="-18"/>
        </w:rPr>
        <w:t> </w:t>
      </w:r>
      <w:r>
        <w:rPr/>
        <w:t>and</w:t>
      </w:r>
      <w:r>
        <w:rPr>
          <w:spacing w:val="-18"/>
        </w:rPr>
        <w:t> </w:t>
      </w:r>
      <w:r>
        <w:rPr/>
        <w:t>Water NSW</w:t>
      </w:r>
      <w:r>
        <w:rPr>
          <w:spacing w:val="-15"/>
        </w:rPr>
        <w:t> </w:t>
      </w:r>
      <w:r>
        <w:rPr/>
        <w:t>(3</w:t>
      </w:r>
      <w:r>
        <w:rPr>
          <w:spacing w:val="-15"/>
        </w:rPr>
        <w:t> </w:t>
      </w:r>
      <w:r>
        <w:rPr/>
        <w:t>floors)</w:t>
      </w:r>
      <w:r>
        <w:rPr>
          <w:spacing w:val="-15"/>
        </w:rPr>
        <w:t> </w:t>
      </w:r>
      <w:r>
        <w:rPr/>
        <w:t>occupying</w:t>
      </w:r>
      <w:r>
        <w:rPr>
          <w:spacing w:val="-15"/>
        </w:rPr>
        <w:t> </w:t>
      </w:r>
      <w:r>
        <w:rPr/>
        <w:t>the</w:t>
      </w:r>
      <w:r>
        <w:rPr>
          <w:spacing w:val="-15"/>
        </w:rPr>
        <w:t> </w:t>
      </w:r>
      <w:r>
        <w:rPr/>
        <w:t>remaining</w:t>
      </w:r>
    </w:p>
    <w:p>
      <w:pPr>
        <w:pStyle w:val="BodyText"/>
        <w:spacing w:line="249" w:lineRule="auto"/>
        <w:ind w:left="305" w:right="152"/>
      </w:pPr>
      <w:r>
        <w:rPr/>
        <w:t>4</w:t>
      </w:r>
      <w:r>
        <w:rPr>
          <w:spacing w:val="-17"/>
        </w:rPr>
        <w:t> </w:t>
      </w:r>
      <w:r>
        <w:rPr/>
        <w:t>floors.</w:t>
      </w:r>
      <w:r>
        <w:rPr>
          <w:spacing w:val="-17"/>
        </w:rPr>
        <w:t> </w:t>
      </w:r>
      <w:r>
        <w:rPr/>
        <w:t>The</w:t>
      </w:r>
      <w:r>
        <w:rPr>
          <w:spacing w:val="-17"/>
        </w:rPr>
        <w:t> </w:t>
      </w:r>
      <w:r>
        <w:rPr/>
        <w:t>University</w:t>
      </w:r>
      <w:r>
        <w:rPr>
          <w:spacing w:val="-17"/>
        </w:rPr>
        <w:t> </w:t>
      </w:r>
      <w:r>
        <w:rPr/>
        <w:t>has</w:t>
      </w:r>
      <w:r>
        <w:rPr>
          <w:spacing w:val="-17"/>
        </w:rPr>
        <w:t> </w:t>
      </w:r>
      <w:r>
        <w:rPr/>
        <w:t>also</w:t>
      </w:r>
      <w:r>
        <w:rPr>
          <w:spacing w:val="-17"/>
        </w:rPr>
        <w:t> </w:t>
      </w:r>
      <w:r>
        <w:rPr/>
        <w:t>subleased 4</w:t>
      </w:r>
      <w:r>
        <w:rPr>
          <w:spacing w:val="-17"/>
        </w:rPr>
        <w:t> </w:t>
      </w:r>
      <w:r>
        <w:rPr/>
        <w:t>of</w:t>
      </w:r>
      <w:r>
        <w:rPr>
          <w:spacing w:val="-17"/>
        </w:rPr>
        <w:t> </w:t>
      </w:r>
      <w:r>
        <w:rPr/>
        <w:t>the</w:t>
      </w:r>
      <w:r>
        <w:rPr>
          <w:spacing w:val="-17"/>
        </w:rPr>
        <w:t> </w:t>
      </w:r>
      <w:r>
        <w:rPr/>
        <w:t>5</w:t>
      </w:r>
      <w:r>
        <w:rPr>
          <w:spacing w:val="-17"/>
        </w:rPr>
        <w:t> </w:t>
      </w:r>
      <w:r>
        <w:rPr/>
        <w:t>retail</w:t>
      </w:r>
      <w:r>
        <w:rPr>
          <w:spacing w:val="-17"/>
        </w:rPr>
        <w:t> </w:t>
      </w:r>
      <w:r>
        <w:rPr/>
        <w:t>outlets</w:t>
      </w:r>
      <w:r>
        <w:rPr>
          <w:spacing w:val="-17"/>
        </w:rPr>
        <w:t> </w:t>
      </w:r>
      <w:r>
        <w:rPr/>
        <w:t>on</w:t>
      </w:r>
      <w:r>
        <w:rPr>
          <w:spacing w:val="-17"/>
        </w:rPr>
        <w:t> </w:t>
      </w:r>
      <w:r>
        <w:rPr/>
        <w:t>the</w:t>
      </w:r>
      <w:r>
        <w:rPr>
          <w:spacing w:val="-17"/>
        </w:rPr>
        <w:t> </w:t>
      </w:r>
      <w:r>
        <w:rPr/>
        <w:t>ground</w:t>
      </w:r>
      <w:r>
        <w:rPr>
          <w:spacing w:val="-17"/>
        </w:rPr>
        <w:t> </w:t>
      </w:r>
      <w:r>
        <w:rPr/>
        <w:t>floor. The</w:t>
      </w:r>
      <w:r>
        <w:rPr>
          <w:spacing w:val="-15"/>
        </w:rPr>
        <w:t> </w:t>
      </w:r>
      <w:r>
        <w:rPr/>
        <w:t>project</w:t>
      </w:r>
      <w:r>
        <w:rPr>
          <w:spacing w:val="-15"/>
        </w:rPr>
        <w:t> </w:t>
      </w:r>
      <w:r>
        <w:rPr/>
        <w:t>is</w:t>
      </w:r>
      <w:r>
        <w:rPr>
          <w:spacing w:val="-15"/>
        </w:rPr>
        <w:t> </w:t>
      </w:r>
      <w:r>
        <w:rPr/>
        <w:t>being</w:t>
      </w:r>
      <w:r>
        <w:rPr>
          <w:spacing w:val="-15"/>
        </w:rPr>
        <w:t> </w:t>
      </w:r>
      <w:r>
        <w:rPr/>
        <w:t>delivered</w:t>
      </w:r>
      <w:r>
        <w:rPr>
          <w:spacing w:val="-15"/>
        </w:rPr>
        <w:t> </w:t>
      </w:r>
      <w:r>
        <w:rPr/>
        <w:t>on</w:t>
      </w:r>
      <w:r>
        <w:rPr>
          <w:spacing w:val="-15"/>
        </w:rPr>
        <w:t> </w:t>
      </w:r>
      <w:r>
        <w:rPr/>
        <w:t>time</w:t>
      </w:r>
      <w:r>
        <w:rPr>
          <w:spacing w:val="-15"/>
        </w:rPr>
        <w:t> </w:t>
      </w:r>
      <w:r>
        <w:rPr/>
        <w:t>and within</w:t>
      </w:r>
      <w:r>
        <w:rPr>
          <w:spacing w:val="-23"/>
        </w:rPr>
        <w:t> </w:t>
      </w:r>
      <w:r>
        <w:rPr/>
        <w:t>budget.</w:t>
      </w:r>
    </w:p>
    <w:p>
      <w:pPr>
        <w:spacing w:after="0" w:line="249" w:lineRule="auto"/>
        <w:sectPr>
          <w:type w:val="continuous"/>
          <w:pgSz w:w="11910" w:h="16840"/>
          <w:pgMar w:top="1580" w:bottom="280" w:left="800" w:right="800"/>
          <w:cols w:num="3" w:equalWidth="0">
            <w:col w:w="3317" w:space="123"/>
            <w:col w:w="3321" w:space="119"/>
            <w:col w:w="3430"/>
          </w:cols>
        </w:sectPr>
      </w:pPr>
    </w:p>
    <w:p>
      <w:pPr>
        <w:pStyle w:val="BodyText"/>
        <w:spacing w:before="9"/>
        <w:rPr>
          <w:sz w:val="28"/>
        </w:rPr>
      </w:pPr>
    </w:p>
    <w:p>
      <w:pPr>
        <w:pStyle w:val="Heading2"/>
        <w:ind w:right="8063"/>
        <w:rPr>
          <w:b w:val="0"/>
        </w:rPr>
      </w:pPr>
      <w:r>
        <w:rPr>
          <w:b w:val="0"/>
        </w:rPr>
        <w:t>Finance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0"/>
        <w:rPr>
          <w:rFonts w:ascii="Chronicle Text G1"/>
          <w:b w:val="0"/>
        </w:rPr>
      </w:pPr>
    </w:p>
    <w:p>
      <w:pPr>
        <w:pStyle w:val="BodyText"/>
        <w:spacing w:line="247" w:lineRule="auto"/>
        <w:ind w:left="305" w:right="111" w:hanging="199"/>
      </w:pPr>
      <w:r>
        <w:rPr>
          <w:rFonts w:ascii="Century Gothic" w:hAnsi="Century Gothic"/>
          <w:b/>
          <w:w w:val="115"/>
        </w:rPr>
        <w:t>≥ </w:t>
      </w:r>
      <w:r>
        <w:rPr>
          <w:rFonts w:ascii="Gotham Narrow Bold" w:hAnsi="Gotham Narrow Bold"/>
          <w:b/>
        </w:rPr>
        <w:t>Retail Food and Beverage: </w:t>
      </w:r>
      <w:r>
        <w:rPr/>
        <w:t>Further enhancement of the student and staff experience on a number of campuses with the introduction of new retail outlets, these include - Oliver Brown (Bankstown),</w:t>
      </w:r>
      <w:r>
        <w:rPr>
          <w:spacing w:val="-20"/>
        </w:rPr>
        <w:t> </w:t>
      </w:r>
      <w:r>
        <w:rPr/>
        <w:t>Jamaica</w:t>
      </w:r>
      <w:r>
        <w:rPr>
          <w:spacing w:val="-20"/>
        </w:rPr>
        <w:t> </w:t>
      </w:r>
      <w:r>
        <w:rPr/>
        <w:t>Blue,</w:t>
      </w:r>
      <w:r>
        <w:rPr>
          <w:spacing w:val="-20"/>
        </w:rPr>
        <w:t> </w:t>
      </w:r>
      <w:r>
        <w:rPr/>
        <w:t>Sushi</w:t>
      </w:r>
      <w:r>
        <w:rPr>
          <w:spacing w:val="-20"/>
        </w:rPr>
        <w:t> </w:t>
      </w:r>
      <w:r>
        <w:rPr/>
        <w:t>OK</w:t>
      </w:r>
      <w:r>
        <w:rPr>
          <w:spacing w:val="-8"/>
        </w:rPr>
        <w:t> </w:t>
      </w:r>
      <w:r>
        <w:rPr/>
        <w:t>and</w:t>
      </w:r>
      <w:r>
        <w:rPr>
          <w:spacing w:val="-12"/>
        </w:rPr>
        <w:t> </w:t>
      </w:r>
      <w:r>
        <w:rPr/>
        <w:t>Barlame (Campbelltown) and Piccolo Me (Werrington</w:t>
      </w:r>
      <w:r>
        <w:rPr>
          <w:spacing w:val="-20"/>
        </w:rPr>
        <w:t> </w:t>
      </w:r>
      <w:r>
        <w:rPr/>
        <w:t>Park</w:t>
      </w:r>
      <w:r>
        <w:rPr>
          <w:spacing w:val="-20"/>
        </w:rPr>
        <w:t> </w:t>
      </w:r>
      <w:r>
        <w:rPr/>
        <w:t>Corporate</w:t>
      </w:r>
      <w:r>
        <w:rPr>
          <w:spacing w:val="-20"/>
        </w:rPr>
        <w:t> </w:t>
      </w:r>
      <w:r>
        <w:rPr/>
        <w:t>Centre).</w:t>
      </w:r>
      <w:r>
        <w:rPr>
          <w:spacing w:val="-23"/>
        </w:rPr>
        <w:t> </w:t>
      </w:r>
      <w:r>
        <w:rPr/>
        <w:t>This has diversified the product offering and various price points catering to student </w:t>
      </w:r>
      <w:r>
        <w:rPr>
          <w:spacing w:val="2"/>
        </w:rPr>
        <w:t>demographics. </w:t>
      </w:r>
      <w:r>
        <w:rPr/>
        <w:t>The provision of services by specialised providers reduces the University’s risk and liability whilst generating</w:t>
      </w:r>
      <w:r>
        <w:rPr>
          <w:spacing w:val="-18"/>
        </w:rPr>
        <w:t> </w:t>
      </w:r>
      <w:r>
        <w:rPr/>
        <w:t>an</w:t>
      </w:r>
      <w:r>
        <w:rPr>
          <w:spacing w:val="-18"/>
        </w:rPr>
        <w:t> </w:t>
      </w:r>
      <w:r>
        <w:rPr/>
        <w:t>additional</w:t>
      </w:r>
      <w:r>
        <w:rPr>
          <w:spacing w:val="-18"/>
        </w:rPr>
        <w:t> </w:t>
      </w:r>
      <w:r>
        <w:rPr>
          <w:spacing w:val="3"/>
        </w:rPr>
        <w:t>$650K.</w:t>
      </w:r>
    </w:p>
    <w:p>
      <w:pPr>
        <w:spacing w:line="244" w:lineRule="auto" w:before="57"/>
        <w:ind w:left="305" w:right="76" w:hanging="199"/>
        <w:jc w:val="left"/>
        <w:rPr>
          <w:sz w:val="16"/>
        </w:rPr>
      </w:pPr>
      <w:r>
        <w:rPr>
          <w:rFonts w:ascii="Century Gothic" w:hAnsi="Century Gothic"/>
          <w:b/>
          <w:w w:val="115"/>
          <w:sz w:val="16"/>
        </w:rPr>
        <w:t>≥ </w:t>
      </w:r>
      <w:r>
        <w:rPr>
          <w:rFonts w:ascii="Gotham Narrow Bold" w:hAnsi="Gotham Narrow Bold"/>
          <w:b/>
          <w:sz w:val="16"/>
        </w:rPr>
        <w:t>Werrington Park Corporate Centre: </w:t>
      </w:r>
      <w:r>
        <w:rPr>
          <w:sz w:val="16"/>
        </w:rPr>
        <w:t>Successfully</w:t>
      </w:r>
      <w:r>
        <w:rPr>
          <w:spacing w:val="-20"/>
          <w:sz w:val="16"/>
        </w:rPr>
        <w:t> </w:t>
      </w:r>
      <w:r>
        <w:rPr>
          <w:sz w:val="16"/>
        </w:rPr>
        <w:t>achieved</w:t>
      </w:r>
      <w:r>
        <w:rPr>
          <w:spacing w:val="-20"/>
          <w:sz w:val="16"/>
        </w:rPr>
        <w:t> </w:t>
      </w:r>
      <w:r>
        <w:rPr>
          <w:sz w:val="16"/>
        </w:rPr>
        <w:t>70%</w:t>
      </w:r>
      <w:r>
        <w:rPr>
          <w:spacing w:val="-20"/>
          <w:sz w:val="16"/>
        </w:rPr>
        <w:t> </w:t>
      </w:r>
      <w:r>
        <w:rPr>
          <w:sz w:val="16"/>
        </w:rPr>
        <w:t>occupancy</w:t>
      </w:r>
      <w:r>
        <w:rPr>
          <w:spacing w:val="-20"/>
          <w:sz w:val="16"/>
        </w:rPr>
        <w:t> </w:t>
      </w:r>
      <w:r>
        <w:rPr>
          <w:sz w:val="16"/>
        </w:rPr>
        <w:t>in</w:t>
      </w:r>
      <w:r>
        <w:rPr>
          <w:spacing w:val="-20"/>
          <w:sz w:val="16"/>
        </w:rPr>
        <w:t> </w:t>
      </w:r>
      <w:r>
        <w:rPr>
          <w:sz w:val="16"/>
        </w:rPr>
        <w:t>a high</w:t>
      </w:r>
      <w:r>
        <w:rPr>
          <w:spacing w:val="-22"/>
          <w:sz w:val="16"/>
        </w:rPr>
        <w:t> </w:t>
      </w:r>
      <w:r>
        <w:rPr>
          <w:sz w:val="16"/>
        </w:rPr>
        <w:t>vacancy</w:t>
      </w:r>
      <w:r>
        <w:rPr>
          <w:spacing w:val="-22"/>
          <w:sz w:val="16"/>
        </w:rPr>
        <w:t> </w:t>
      </w:r>
      <w:r>
        <w:rPr>
          <w:sz w:val="16"/>
        </w:rPr>
        <w:t>market.</w:t>
      </w:r>
    </w:p>
    <w:p>
      <w:pPr>
        <w:spacing w:line="244" w:lineRule="auto" w:before="58"/>
        <w:ind w:left="305" w:right="407" w:hanging="199"/>
        <w:jc w:val="left"/>
        <w:rPr>
          <w:sz w:val="16"/>
        </w:rPr>
      </w:pPr>
      <w:r>
        <w:rPr>
          <w:rFonts w:ascii="Century Gothic" w:hAnsi="Century Gothic"/>
          <w:b/>
          <w:w w:val="115"/>
          <w:sz w:val="16"/>
        </w:rPr>
        <w:t>≥ </w:t>
      </w:r>
      <w:r>
        <w:rPr>
          <w:rFonts w:ascii="Gotham Narrow Bold" w:hAnsi="Gotham Narrow Bold"/>
          <w:b/>
          <w:sz w:val="16"/>
        </w:rPr>
        <w:t>Uwsconnect </w:t>
      </w:r>
      <w:r>
        <w:rPr>
          <w:rFonts w:ascii="Gotham Narrow Bold" w:hAnsi="Gotham Narrow Bold"/>
          <w:b/>
          <w:spacing w:val="2"/>
          <w:sz w:val="16"/>
        </w:rPr>
        <w:t>operational </w:t>
      </w:r>
      <w:r>
        <w:rPr>
          <w:rFonts w:ascii="Gotham Narrow Bold" w:hAnsi="Gotham Narrow Bold"/>
          <w:b/>
          <w:sz w:val="16"/>
        </w:rPr>
        <w:t>review </w:t>
      </w:r>
      <w:r>
        <w:rPr>
          <w:rFonts w:ascii="Gotham Narrow Bold" w:hAnsi="Gotham Narrow Bold"/>
          <w:b/>
          <w:spacing w:val="2"/>
          <w:sz w:val="16"/>
        </w:rPr>
        <w:t>implementation:</w:t>
      </w:r>
      <w:r>
        <w:rPr>
          <w:rFonts w:ascii="Gotham Narrow Bold" w:hAnsi="Gotham Narrow Bold"/>
          <w:b/>
          <w:spacing w:val="-20"/>
          <w:sz w:val="16"/>
        </w:rPr>
        <w:t> </w:t>
      </w:r>
      <w:r>
        <w:rPr>
          <w:sz w:val="16"/>
        </w:rPr>
        <w:t>Has</w:t>
      </w:r>
      <w:r>
        <w:rPr>
          <w:spacing w:val="-29"/>
          <w:sz w:val="16"/>
        </w:rPr>
        <w:t> </w:t>
      </w:r>
      <w:r>
        <w:rPr>
          <w:sz w:val="16"/>
        </w:rPr>
        <w:t>seen</w:t>
      </w:r>
      <w:r>
        <w:rPr>
          <w:spacing w:val="-29"/>
          <w:sz w:val="16"/>
        </w:rPr>
        <w:t> </w:t>
      </w:r>
      <w:r>
        <w:rPr>
          <w:sz w:val="16"/>
        </w:rPr>
        <w:t>the</w:t>
      </w:r>
      <w:r>
        <w:rPr>
          <w:spacing w:val="-29"/>
          <w:sz w:val="16"/>
        </w:rPr>
        <w:t> </w:t>
      </w:r>
      <w:r>
        <w:rPr>
          <w:sz w:val="16"/>
        </w:rPr>
        <w:t>entity transition from a net operating loss </w:t>
      </w:r>
      <w:r>
        <w:rPr>
          <w:w w:val="99"/>
          <w:sz w:val="16"/>
        </w:rPr>
        <w:t>of</w:t>
      </w:r>
      <w:r>
        <w:rPr>
          <w:spacing w:val="-11"/>
          <w:w w:val="99"/>
          <w:sz w:val="16"/>
        </w:rPr>
        <w:t> </w:t>
      </w:r>
      <w:r>
        <w:rPr>
          <w:w w:val="98"/>
          <w:sz w:val="16"/>
        </w:rPr>
        <w:t>approximately</w:t>
      </w:r>
      <w:r>
        <w:rPr>
          <w:spacing w:val="-10"/>
          <w:w w:val="98"/>
          <w:sz w:val="16"/>
        </w:rPr>
        <w:t> </w:t>
      </w:r>
      <w:r>
        <w:rPr>
          <w:spacing w:val="1"/>
          <w:w w:val="96"/>
          <w:sz w:val="16"/>
        </w:rPr>
        <w:t>$2M</w:t>
      </w:r>
      <w:r>
        <w:rPr>
          <w:spacing w:val="-9"/>
          <w:w w:val="96"/>
          <w:sz w:val="16"/>
        </w:rPr>
        <w:t> </w:t>
      </w:r>
      <w:r>
        <w:rPr>
          <w:w w:val="95"/>
          <w:sz w:val="16"/>
        </w:rPr>
        <w:t>in</w:t>
      </w:r>
      <w:r>
        <w:rPr>
          <w:spacing w:val="-9"/>
          <w:w w:val="95"/>
          <w:sz w:val="16"/>
        </w:rPr>
        <w:t> </w:t>
      </w:r>
      <w:r>
        <w:rPr>
          <w:spacing w:val="1"/>
          <w:w w:val="88"/>
          <w:sz w:val="16"/>
        </w:rPr>
        <w:t>2015</w:t>
      </w:r>
      <w:r>
        <w:rPr>
          <w:spacing w:val="-5"/>
          <w:w w:val="88"/>
          <w:sz w:val="16"/>
        </w:rPr>
        <w:t> </w:t>
      </w:r>
      <w:r>
        <w:rPr>
          <w:spacing w:val="-1"/>
          <w:w w:val="101"/>
          <w:sz w:val="16"/>
        </w:rPr>
        <w:t>to</w:t>
      </w:r>
      <w:r>
        <w:rPr>
          <w:spacing w:val="-12"/>
          <w:w w:val="101"/>
          <w:sz w:val="16"/>
        </w:rPr>
        <w:t> </w:t>
      </w:r>
      <w:r>
        <w:rPr>
          <w:w w:val="94"/>
          <w:sz w:val="16"/>
        </w:rPr>
        <w:t>a</w:t>
      </w:r>
      <w:r>
        <w:rPr>
          <w:spacing w:val="-8"/>
          <w:w w:val="94"/>
          <w:sz w:val="16"/>
        </w:rPr>
        <w:t> </w:t>
      </w:r>
      <w:r>
        <w:rPr>
          <w:w w:val="97"/>
          <w:sz w:val="16"/>
        </w:rPr>
        <w:t>net </w:t>
      </w:r>
      <w:r>
        <w:rPr>
          <w:sz w:val="16"/>
        </w:rPr>
        <w:t>break</w:t>
      </w:r>
      <w:r>
        <w:rPr>
          <w:spacing w:val="-19"/>
          <w:sz w:val="16"/>
        </w:rPr>
        <w:t> </w:t>
      </w:r>
      <w:r>
        <w:rPr>
          <w:sz w:val="16"/>
        </w:rPr>
        <w:t>even</w:t>
      </w:r>
      <w:r>
        <w:rPr>
          <w:spacing w:val="-19"/>
          <w:sz w:val="16"/>
        </w:rPr>
        <w:t> </w:t>
      </w:r>
      <w:r>
        <w:rPr>
          <w:sz w:val="16"/>
        </w:rPr>
        <w:t>position,</w:t>
      </w:r>
      <w:r>
        <w:rPr>
          <w:spacing w:val="-19"/>
          <w:sz w:val="16"/>
        </w:rPr>
        <w:t> </w:t>
      </w:r>
      <w:r>
        <w:rPr>
          <w:sz w:val="16"/>
        </w:rPr>
        <w:t>once</w:t>
      </w:r>
      <w:r>
        <w:rPr>
          <w:spacing w:val="-19"/>
          <w:sz w:val="16"/>
        </w:rPr>
        <w:t> </w:t>
      </w:r>
      <w:r>
        <w:rPr>
          <w:sz w:val="16"/>
        </w:rPr>
        <w:t>taking</w:t>
      </w:r>
      <w:r>
        <w:rPr>
          <w:spacing w:val="-19"/>
          <w:sz w:val="16"/>
        </w:rPr>
        <w:t> </w:t>
      </w:r>
      <w:r>
        <w:rPr>
          <w:sz w:val="16"/>
        </w:rPr>
        <w:t>into</w:t>
      </w:r>
    </w:p>
    <w:p>
      <w:pPr>
        <w:pStyle w:val="BodyText"/>
        <w:spacing w:line="249" w:lineRule="auto" w:before="3"/>
        <w:ind w:left="305" w:right="30"/>
      </w:pPr>
      <w:r>
        <w:rPr/>
        <w:t>consideration the centralised outsourced provisions and services.</w:t>
      </w:r>
    </w:p>
    <w:p>
      <w:pPr>
        <w:pStyle w:val="BodyText"/>
        <w:spacing w:before="3"/>
        <w:rPr>
          <w:sz w:val="19"/>
        </w:rPr>
      </w:pPr>
    </w:p>
    <w:p>
      <w:pPr>
        <w:pStyle w:val="Heading7"/>
        <w:spacing w:line="249" w:lineRule="auto"/>
        <w:ind w:right="802"/>
      </w:pPr>
      <w:r>
        <w:rPr>
          <w:w w:val="95"/>
        </w:rPr>
        <w:t>INFORMATION TECHNOLOGY AND DIGITAL SERVICES</w:t>
      </w:r>
    </w:p>
    <w:p>
      <w:pPr>
        <w:pStyle w:val="BodyText"/>
        <w:spacing w:line="249" w:lineRule="auto" w:before="50"/>
        <w:ind w:left="107" w:right="98"/>
      </w:pPr>
      <w:r>
        <w:rPr/>
        <w:t>Operating across all campuses, Information Technology and Digital Services (ITDS) is</w:t>
      </w:r>
    </w:p>
    <w:p>
      <w:pPr>
        <w:pStyle w:val="BodyText"/>
        <w:spacing w:line="247" w:lineRule="auto"/>
        <w:ind w:left="107" w:right="37"/>
      </w:pPr>
      <w:r>
        <w:rPr/>
        <w:t>a vital enabler of the University’s </w:t>
      </w:r>
      <w:r>
        <w:rPr>
          <w:rFonts w:ascii="Century Gothic" w:hAnsi="Century Gothic"/>
          <w:i/>
        </w:rPr>
        <w:t>Securing </w:t>
      </w:r>
      <w:r>
        <w:rPr>
          <w:rFonts w:ascii="Century Gothic" w:hAnsi="Century Gothic"/>
          <w:i/>
          <w:w w:val="95"/>
        </w:rPr>
        <w:t>Success</w:t>
      </w:r>
      <w:r>
        <w:rPr>
          <w:rFonts w:ascii="Century Gothic" w:hAnsi="Century Gothic"/>
          <w:i/>
          <w:spacing w:val="-12"/>
          <w:w w:val="95"/>
        </w:rPr>
        <w:t> </w:t>
      </w:r>
      <w:r>
        <w:rPr>
          <w:rFonts w:ascii="Century Gothic" w:hAnsi="Century Gothic"/>
          <w:i/>
          <w:w w:val="95"/>
        </w:rPr>
        <w:t>Strategy</w:t>
      </w:r>
      <w:r>
        <w:rPr>
          <w:w w:val="95"/>
        </w:rPr>
        <w:t>.</w:t>
      </w:r>
      <w:r>
        <w:rPr>
          <w:spacing w:val="-16"/>
          <w:w w:val="95"/>
        </w:rPr>
        <w:t> </w:t>
      </w:r>
      <w:r>
        <w:rPr>
          <w:w w:val="95"/>
        </w:rPr>
        <w:t>ITDS</w:t>
      </w:r>
      <w:r>
        <w:rPr>
          <w:spacing w:val="-16"/>
          <w:w w:val="95"/>
        </w:rPr>
        <w:t> </w:t>
      </w:r>
      <w:r>
        <w:rPr>
          <w:w w:val="95"/>
        </w:rPr>
        <w:t>provides</w:t>
      </w:r>
      <w:r>
        <w:rPr>
          <w:spacing w:val="-16"/>
          <w:w w:val="95"/>
        </w:rPr>
        <w:t> </w:t>
      </w:r>
      <w:r>
        <w:rPr>
          <w:w w:val="95"/>
        </w:rPr>
        <w:t>and</w:t>
      </w:r>
      <w:r>
        <w:rPr>
          <w:spacing w:val="-16"/>
          <w:w w:val="95"/>
        </w:rPr>
        <w:t> </w:t>
      </w:r>
      <w:r>
        <w:rPr>
          <w:spacing w:val="2"/>
          <w:w w:val="95"/>
        </w:rPr>
        <w:t>supports </w:t>
      </w:r>
      <w:r>
        <w:rPr/>
        <w:t>the applications, infrastructure, information and end user services which connect the University community locally, nationally and internationally.</w:t>
      </w:r>
    </w:p>
    <w:p>
      <w:pPr>
        <w:pStyle w:val="BodyText"/>
        <w:spacing w:before="2"/>
        <w:rPr>
          <w:sz w:val="14"/>
        </w:rPr>
      </w:pPr>
    </w:p>
    <w:p>
      <w:pPr>
        <w:pStyle w:val="BodyText"/>
        <w:spacing w:line="249" w:lineRule="auto"/>
        <w:ind w:left="107" w:right="-4"/>
      </w:pPr>
      <w:r>
        <w:rPr/>
        <w:t>The role of Information Technology and Digital Services is to be an innovative leader as</w:t>
      </w:r>
      <w:r>
        <w:rPr>
          <w:spacing w:val="-20"/>
        </w:rPr>
        <w:t> </w:t>
      </w:r>
      <w:r>
        <w:rPr/>
        <w:t>well</w:t>
      </w:r>
      <w:r>
        <w:rPr>
          <w:spacing w:val="-20"/>
        </w:rPr>
        <w:t> </w:t>
      </w:r>
      <w:r>
        <w:rPr/>
        <w:t>as</w:t>
      </w:r>
      <w:r>
        <w:rPr>
          <w:spacing w:val="-20"/>
        </w:rPr>
        <w:t> </w:t>
      </w:r>
      <w:r>
        <w:rPr/>
        <w:t>a</w:t>
      </w:r>
      <w:r>
        <w:rPr>
          <w:spacing w:val="-20"/>
        </w:rPr>
        <w:t> </w:t>
      </w:r>
      <w:r>
        <w:rPr/>
        <w:t>high</w:t>
      </w:r>
      <w:r>
        <w:rPr>
          <w:spacing w:val="-20"/>
        </w:rPr>
        <w:t> </w:t>
      </w:r>
      <w:r>
        <w:rPr/>
        <w:t>quality</w:t>
      </w:r>
      <w:r>
        <w:rPr>
          <w:spacing w:val="-20"/>
        </w:rPr>
        <w:t> </w:t>
      </w:r>
      <w:r>
        <w:rPr/>
        <w:t>service</w:t>
      </w:r>
      <w:r>
        <w:rPr>
          <w:spacing w:val="-20"/>
        </w:rPr>
        <w:t> </w:t>
      </w:r>
      <w:r>
        <w:rPr/>
        <w:t>provider.</w:t>
      </w:r>
      <w:r>
        <w:rPr>
          <w:spacing w:val="-20"/>
        </w:rPr>
        <w:t> </w:t>
      </w:r>
      <w:r>
        <w:rPr/>
        <w:t>ITDS implements</w:t>
      </w:r>
      <w:r>
        <w:rPr>
          <w:spacing w:val="-14"/>
        </w:rPr>
        <w:t> </w:t>
      </w:r>
      <w:r>
        <w:rPr/>
        <w:t>digital</w:t>
      </w:r>
      <w:r>
        <w:rPr>
          <w:spacing w:val="-14"/>
        </w:rPr>
        <w:t> </w:t>
      </w:r>
      <w:r>
        <w:rPr/>
        <w:t>environments</w:t>
      </w:r>
      <w:r>
        <w:rPr>
          <w:spacing w:val="-14"/>
        </w:rPr>
        <w:t> </w:t>
      </w:r>
      <w:r>
        <w:rPr/>
        <w:t>built</w:t>
      </w:r>
      <w:r>
        <w:rPr>
          <w:spacing w:val="-14"/>
        </w:rPr>
        <w:t> </w:t>
      </w:r>
      <w:r>
        <w:rPr/>
        <w:t>on</w:t>
      </w:r>
      <w:r>
        <w:rPr>
          <w:spacing w:val="-14"/>
        </w:rPr>
        <w:t> </w:t>
      </w:r>
      <w:r>
        <w:rPr/>
        <w:t>solid foundations and enduring relationships that drive productivity, creativity and discovery, enabling</w:t>
      </w:r>
      <w:r>
        <w:rPr>
          <w:spacing w:val="-20"/>
        </w:rPr>
        <w:t> </w:t>
      </w:r>
      <w:r>
        <w:rPr/>
        <w:t>the</w:t>
      </w:r>
      <w:r>
        <w:rPr>
          <w:spacing w:val="-20"/>
        </w:rPr>
        <w:t> </w:t>
      </w:r>
      <w:r>
        <w:rPr/>
        <w:t>University</w:t>
      </w:r>
      <w:r>
        <w:rPr>
          <w:spacing w:val="-20"/>
        </w:rPr>
        <w:t> </w:t>
      </w:r>
      <w:r>
        <w:rPr/>
        <w:t>to</w:t>
      </w:r>
      <w:r>
        <w:rPr>
          <w:spacing w:val="-20"/>
        </w:rPr>
        <w:t> </w:t>
      </w:r>
      <w:r>
        <w:rPr/>
        <w:t>make</w:t>
      </w:r>
      <w:r>
        <w:rPr>
          <w:spacing w:val="-20"/>
        </w:rPr>
        <w:t> </w:t>
      </w:r>
      <w:r>
        <w:rPr/>
        <w:t>a</w:t>
      </w:r>
      <w:r>
        <w:rPr>
          <w:spacing w:val="-20"/>
        </w:rPr>
        <w:t> </w:t>
      </w:r>
      <w:r>
        <w:rPr/>
        <w:t>difference.</w:t>
      </w:r>
    </w:p>
    <w:p>
      <w:pPr>
        <w:pStyle w:val="BodyText"/>
        <w:rPr>
          <w:sz w:val="14"/>
        </w:rPr>
      </w:pPr>
    </w:p>
    <w:p>
      <w:pPr>
        <w:pStyle w:val="BodyText"/>
        <w:spacing w:line="249" w:lineRule="auto"/>
        <w:ind w:left="107" w:right="1"/>
      </w:pPr>
      <w:r>
        <w:rPr/>
        <w:t>ITDS</w:t>
      </w:r>
      <w:r>
        <w:rPr>
          <w:spacing w:val="-20"/>
        </w:rPr>
        <w:t> </w:t>
      </w:r>
      <w:r>
        <w:rPr/>
        <w:t>develops</w:t>
      </w:r>
      <w:r>
        <w:rPr>
          <w:spacing w:val="-20"/>
        </w:rPr>
        <w:t> </w:t>
      </w:r>
      <w:r>
        <w:rPr/>
        <w:t>strong</w:t>
      </w:r>
      <w:r>
        <w:rPr>
          <w:spacing w:val="-20"/>
        </w:rPr>
        <w:t> </w:t>
      </w:r>
      <w:r>
        <w:rPr/>
        <w:t>partnerships</w:t>
      </w:r>
      <w:r>
        <w:rPr>
          <w:spacing w:val="-20"/>
        </w:rPr>
        <w:t> </w:t>
      </w:r>
      <w:r>
        <w:rPr/>
        <w:t>with</w:t>
      </w:r>
      <w:r>
        <w:rPr>
          <w:spacing w:val="-20"/>
        </w:rPr>
        <w:t> </w:t>
      </w:r>
      <w:r>
        <w:rPr/>
        <w:t>all</w:t>
      </w:r>
      <w:r>
        <w:rPr>
          <w:spacing w:val="-20"/>
        </w:rPr>
        <w:t> </w:t>
      </w:r>
      <w:r>
        <w:rPr/>
        <w:t>key stakeholders, including external providers, in order to bring innovators together to quickly identify and respond to new and </w:t>
      </w:r>
      <w:r>
        <w:rPr>
          <w:spacing w:val="2"/>
        </w:rPr>
        <w:t>impactful </w:t>
      </w:r>
      <w:r>
        <w:rPr/>
        <w:t>technologies and to leverage the best capabilities</w:t>
      </w:r>
      <w:r>
        <w:rPr>
          <w:spacing w:val="-22"/>
        </w:rPr>
        <w:t> </w:t>
      </w:r>
      <w:r>
        <w:rPr/>
        <w:t>the</w:t>
      </w:r>
      <w:r>
        <w:rPr>
          <w:spacing w:val="-22"/>
        </w:rPr>
        <w:t> </w:t>
      </w:r>
      <w:r>
        <w:rPr/>
        <w:t>market</w:t>
      </w:r>
      <w:r>
        <w:rPr>
          <w:spacing w:val="-22"/>
        </w:rPr>
        <w:t> </w:t>
      </w:r>
      <w:r>
        <w:rPr/>
        <w:t>has</w:t>
      </w:r>
      <w:r>
        <w:rPr>
          <w:spacing w:val="-22"/>
        </w:rPr>
        <w:t> </w:t>
      </w:r>
      <w:r>
        <w:rPr/>
        <w:t>to</w:t>
      </w:r>
      <w:r>
        <w:rPr>
          <w:spacing w:val="-22"/>
        </w:rPr>
        <w:t> </w:t>
      </w:r>
      <w:r>
        <w:rPr/>
        <w:t>offer.</w:t>
      </w:r>
    </w:p>
    <w:p>
      <w:pPr>
        <w:pStyle w:val="BodyText"/>
        <w:spacing w:before="4"/>
        <w:rPr>
          <w:sz w:val="17"/>
        </w:rPr>
      </w:pPr>
      <w:r>
        <w:rPr/>
        <w:br w:type="column"/>
      </w:r>
      <w:r>
        <w:rPr>
          <w:sz w:val="17"/>
        </w:rPr>
      </w:r>
    </w:p>
    <w:p>
      <w:pPr>
        <w:pStyle w:val="Heading7"/>
        <w:ind w:right="2"/>
      </w:pPr>
      <w:r>
        <w:rPr>
          <w:color w:val="615C58"/>
          <w:w w:val="95"/>
        </w:rPr>
        <w:t>1PSQ Technology Roadmap Implementation</w:t>
      </w:r>
    </w:p>
    <w:p>
      <w:pPr>
        <w:pStyle w:val="BodyText"/>
        <w:spacing w:line="247" w:lineRule="auto" w:before="85"/>
        <w:ind w:left="305" w:right="186" w:hanging="199"/>
      </w:pPr>
      <w:r>
        <w:rPr>
          <w:rFonts w:ascii="Century Gothic" w:hAnsi="Century Gothic"/>
          <w:b/>
          <w:w w:val="115"/>
        </w:rPr>
        <w:t>≥ </w:t>
      </w:r>
      <w:r>
        <w:rPr/>
        <w:t>Finalised the Next-Generation Teaching Space design and supported the implementation of 24 of these rooms in 1PSQ</w:t>
      </w:r>
    </w:p>
    <w:p>
      <w:pPr>
        <w:pStyle w:val="BodyText"/>
        <w:spacing w:line="244" w:lineRule="auto" w:before="28"/>
        <w:ind w:left="305" w:right="71" w:hanging="199"/>
      </w:pPr>
      <w:r>
        <w:rPr>
          <w:rFonts w:ascii="Century Gothic" w:hAnsi="Century Gothic"/>
          <w:b/>
          <w:w w:val="115"/>
        </w:rPr>
        <w:t>≥ </w:t>
      </w:r>
      <w:r>
        <w:rPr/>
        <w:t>Implemented an upgraded Room Booking System</w:t>
      </w:r>
    </w:p>
    <w:p>
      <w:pPr>
        <w:pStyle w:val="BodyText"/>
        <w:spacing w:line="244" w:lineRule="auto" w:before="30"/>
        <w:ind w:left="305" w:right="99" w:hanging="199"/>
      </w:pPr>
      <w:r>
        <w:rPr>
          <w:rFonts w:ascii="Century Gothic" w:hAnsi="Century Gothic"/>
          <w:b/>
          <w:w w:val="115"/>
        </w:rPr>
        <w:t>≥</w:t>
      </w:r>
      <w:r>
        <w:rPr>
          <w:rFonts w:ascii="Century Gothic" w:hAnsi="Century Gothic"/>
          <w:b/>
          <w:spacing w:val="-13"/>
          <w:w w:val="115"/>
        </w:rPr>
        <w:t> </w:t>
      </w:r>
      <w:r>
        <w:rPr>
          <w:w w:val="105"/>
        </w:rPr>
        <w:t>Deployed</w:t>
      </w:r>
      <w:r>
        <w:rPr>
          <w:spacing w:val="-32"/>
          <w:w w:val="105"/>
        </w:rPr>
        <w:t> </w:t>
      </w:r>
      <w:r>
        <w:rPr>
          <w:w w:val="105"/>
        </w:rPr>
        <w:t>a</w:t>
      </w:r>
      <w:r>
        <w:rPr>
          <w:spacing w:val="-32"/>
          <w:w w:val="105"/>
        </w:rPr>
        <w:t> </w:t>
      </w:r>
      <w:r>
        <w:rPr>
          <w:w w:val="105"/>
        </w:rPr>
        <w:t>new</w:t>
      </w:r>
      <w:r>
        <w:rPr>
          <w:spacing w:val="-32"/>
          <w:w w:val="105"/>
        </w:rPr>
        <w:t> </w:t>
      </w:r>
      <w:r>
        <w:rPr>
          <w:w w:val="105"/>
        </w:rPr>
        <w:t>digitally-enabled</w:t>
      </w:r>
      <w:r>
        <w:rPr>
          <w:spacing w:val="-32"/>
          <w:w w:val="105"/>
        </w:rPr>
        <w:t> </w:t>
      </w:r>
      <w:r>
        <w:rPr>
          <w:w w:val="105"/>
        </w:rPr>
        <w:t>student </w:t>
      </w:r>
      <w:r>
        <w:rPr/>
        <w:t>queue</w:t>
      </w:r>
      <w:r>
        <w:rPr>
          <w:spacing w:val="-21"/>
        </w:rPr>
        <w:t> </w:t>
      </w:r>
      <w:r>
        <w:rPr/>
        <w:t>management</w:t>
      </w:r>
      <w:r>
        <w:rPr>
          <w:spacing w:val="-21"/>
        </w:rPr>
        <w:t> </w:t>
      </w:r>
      <w:r>
        <w:rPr/>
        <w:t>solution</w:t>
      </w:r>
    </w:p>
    <w:p>
      <w:pPr>
        <w:pStyle w:val="BodyText"/>
        <w:spacing w:line="244" w:lineRule="auto" w:before="30"/>
        <w:ind w:left="305" w:right="192" w:hanging="199"/>
      </w:pPr>
      <w:r>
        <w:rPr>
          <w:rFonts w:ascii="Century Gothic" w:hAnsi="Century Gothic"/>
          <w:b/>
          <w:w w:val="115"/>
        </w:rPr>
        <w:t>≥</w:t>
      </w:r>
      <w:r>
        <w:rPr>
          <w:rFonts w:ascii="Century Gothic" w:hAnsi="Century Gothic"/>
          <w:b/>
          <w:spacing w:val="-7"/>
          <w:w w:val="115"/>
        </w:rPr>
        <w:t> </w:t>
      </w:r>
      <w:r>
        <w:rPr>
          <w:w w:val="105"/>
        </w:rPr>
        <w:t>Virtualised</w:t>
      </w:r>
      <w:r>
        <w:rPr>
          <w:spacing w:val="-29"/>
          <w:w w:val="105"/>
        </w:rPr>
        <w:t> </w:t>
      </w:r>
      <w:r>
        <w:rPr>
          <w:w w:val="105"/>
        </w:rPr>
        <w:t>the</w:t>
      </w:r>
      <w:r>
        <w:rPr>
          <w:spacing w:val="-29"/>
          <w:w w:val="105"/>
        </w:rPr>
        <w:t> </w:t>
      </w:r>
      <w:r>
        <w:rPr>
          <w:w w:val="105"/>
        </w:rPr>
        <w:t>delivery</w:t>
      </w:r>
      <w:r>
        <w:rPr>
          <w:spacing w:val="-29"/>
          <w:w w:val="105"/>
        </w:rPr>
        <w:t> </w:t>
      </w:r>
      <w:r>
        <w:rPr>
          <w:w w:val="105"/>
        </w:rPr>
        <w:t>of</w:t>
      </w:r>
      <w:r>
        <w:rPr>
          <w:spacing w:val="-29"/>
          <w:w w:val="105"/>
        </w:rPr>
        <w:t> </w:t>
      </w:r>
      <w:r>
        <w:rPr>
          <w:w w:val="105"/>
        </w:rPr>
        <w:t>software</w:t>
      </w:r>
      <w:r>
        <w:rPr>
          <w:spacing w:val="-29"/>
          <w:w w:val="105"/>
        </w:rPr>
        <w:t> </w:t>
      </w:r>
      <w:r>
        <w:rPr>
          <w:w w:val="105"/>
        </w:rPr>
        <w:t>titles for</w:t>
      </w:r>
      <w:r>
        <w:rPr>
          <w:spacing w:val="-36"/>
          <w:w w:val="105"/>
        </w:rPr>
        <w:t> </w:t>
      </w:r>
      <w:r>
        <w:rPr>
          <w:w w:val="105"/>
        </w:rPr>
        <w:t>the</w:t>
      </w:r>
      <w:r>
        <w:rPr>
          <w:spacing w:val="-36"/>
          <w:w w:val="105"/>
        </w:rPr>
        <w:t> </w:t>
      </w:r>
      <w:r>
        <w:rPr>
          <w:w w:val="105"/>
        </w:rPr>
        <w:t>School</w:t>
      </w:r>
      <w:r>
        <w:rPr>
          <w:spacing w:val="-36"/>
          <w:w w:val="105"/>
        </w:rPr>
        <w:t> </w:t>
      </w:r>
      <w:r>
        <w:rPr>
          <w:w w:val="105"/>
        </w:rPr>
        <w:t>of</w:t>
      </w:r>
      <w:r>
        <w:rPr>
          <w:spacing w:val="-36"/>
          <w:w w:val="105"/>
        </w:rPr>
        <w:t> </w:t>
      </w:r>
      <w:r>
        <w:rPr>
          <w:w w:val="105"/>
        </w:rPr>
        <w:t>Business</w:t>
      </w:r>
    </w:p>
    <w:p>
      <w:pPr>
        <w:pStyle w:val="BodyText"/>
        <w:spacing w:line="244" w:lineRule="auto" w:before="30"/>
        <w:ind w:left="305" w:right="363" w:hanging="199"/>
      </w:pPr>
      <w:r>
        <w:rPr>
          <w:rFonts w:ascii="Century Gothic" w:hAnsi="Century Gothic"/>
          <w:b/>
          <w:w w:val="115"/>
        </w:rPr>
        <w:t>≥</w:t>
      </w:r>
      <w:r>
        <w:rPr>
          <w:rFonts w:ascii="Century Gothic" w:hAnsi="Century Gothic"/>
          <w:b/>
          <w:spacing w:val="-11"/>
          <w:w w:val="115"/>
        </w:rPr>
        <w:t> </w:t>
      </w:r>
      <w:r>
        <w:rPr>
          <w:w w:val="105"/>
        </w:rPr>
        <w:t>Ensured</w:t>
      </w:r>
      <w:r>
        <w:rPr>
          <w:spacing w:val="-31"/>
          <w:w w:val="105"/>
        </w:rPr>
        <w:t> </w:t>
      </w:r>
      <w:r>
        <w:rPr>
          <w:w w:val="105"/>
        </w:rPr>
        <w:t>that</w:t>
      </w:r>
      <w:r>
        <w:rPr>
          <w:spacing w:val="-31"/>
          <w:w w:val="105"/>
        </w:rPr>
        <w:t> </w:t>
      </w:r>
      <w:r>
        <w:rPr>
          <w:w w:val="105"/>
        </w:rPr>
        <w:t>every</w:t>
      </w:r>
      <w:r>
        <w:rPr>
          <w:spacing w:val="-31"/>
          <w:w w:val="105"/>
        </w:rPr>
        <w:t> </w:t>
      </w:r>
      <w:r>
        <w:rPr>
          <w:w w:val="105"/>
        </w:rPr>
        <w:t>meeting</w:t>
      </w:r>
      <w:r>
        <w:rPr>
          <w:spacing w:val="-31"/>
          <w:w w:val="105"/>
        </w:rPr>
        <w:t> </w:t>
      </w:r>
      <w:r>
        <w:rPr>
          <w:w w:val="105"/>
        </w:rPr>
        <w:t>room</w:t>
      </w:r>
      <w:r>
        <w:rPr>
          <w:spacing w:val="-31"/>
          <w:w w:val="105"/>
        </w:rPr>
        <w:t> </w:t>
      </w:r>
      <w:r>
        <w:rPr>
          <w:w w:val="105"/>
        </w:rPr>
        <w:t>was Zoom-enabled</w:t>
      </w:r>
    </w:p>
    <w:p>
      <w:pPr>
        <w:pStyle w:val="BodyText"/>
        <w:spacing w:line="244" w:lineRule="auto" w:before="30"/>
        <w:ind w:left="305" w:right="509" w:hanging="199"/>
      </w:pPr>
      <w:r>
        <w:rPr>
          <w:rFonts w:ascii="Century Gothic" w:hAnsi="Century Gothic"/>
          <w:b/>
          <w:w w:val="115"/>
        </w:rPr>
        <w:t>≥</w:t>
      </w:r>
      <w:r>
        <w:rPr>
          <w:rFonts w:ascii="Century Gothic" w:hAnsi="Century Gothic"/>
          <w:b/>
          <w:spacing w:val="-8"/>
          <w:w w:val="115"/>
        </w:rPr>
        <w:t> </w:t>
      </w:r>
      <w:r>
        <w:rPr>
          <w:w w:val="105"/>
        </w:rPr>
        <w:t>New</w:t>
      </w:r>
      <w:r>
        <w:rPr>
          <w:spacing w:val="-29"/>
          <w:w w:val="105"/>
        </w:rPr>
        <w:t> </w:t>
      </w:r>
      <w:r>
        <w:rPr>
          <w:w w:val="105"/>
        </w:rPr>
        <w:t>Campus</w:t>
      </w:r>
      <w:r>
        <w:rPr>
          <w:spacing w:val="-29"/>
          <w:w w:val="105"/>
        </w:rPr>
        <w:t> </w:t>
      </w:r>
      <w:r>
        <w:rPr>
          <w:w w:val="105"/>
        </w:rPr>
        <w:t>Navigation</w:t>
      </w:r>
      <w:r>
        <w:rPr>
          <w:spacing w:val="-29"/>
          <w:w w:val="105"/>
        </w:rPr>
        <w:t> </w:t>
      </w:r>
      <w:r>
        <w:rPr>
          <w:w w:val="105"/>
        </w:rPr>
        <w:t>solution</w:t>
      </w:r>
      <w:r>
        <w:rPr>
          <w:spacing w:val="-29"/>
          <w:w w:val="105"/>
        </w:rPr>
        <w:t> </w:t>
      </w:r>
      <w:r>
        <w:rPr>
          <w:w w:val="105"/>
        </w:rPr>
        <w:t>to </w:t>
      </w:r>
      <w:r>
        <w:rPr/>
        <w:t>support</w:t>
      </w:r>
      <w:r>
        <w:rPr>
          <w:spacing w:val="-4"/>
        </w:rPr>
        <w:t> </w:t>
      </w:r>
      <w:r>
        <w:rPr/>
        <w:t>way-finding</w:t>
      </w:r>
    </w:p>
    <w:p>
      <w:pPr>
        <w:pStyle w:val="BodyText"/>
        <w:spacing w:line="244" w:lineRule="auto" w:before="30"/>
        <w:ind w:left="305" w:right="185" w:hanging="199"/>
      </w:pPr>
      <w:r>
        <w:rPr>
          <w:rFonts w:ascii="Century Gothic" w:hAnsi="Century Gothic"/>
          <w:b/>
          <w:w w:val="115"/>
        </w:rPr>
        <w:t>≥</w:t>
      </w:r>
      <w:r>
        <w:rPr>
          <w:rFonts w:ascii="Century Gothic" w:hAnsi="Century Gothic"/>
          <w:b/>
          <w:spacing w:val="-13"/>
          <w:w w:val="115"/>
        </w:rPr>
        <w:t> </w:t>
      </w:r>
      <w:r>
        <w:rPr>
          <w:w w:val="105"/>
        </w:rPr>
        <w:t>Digital</w:t>
      </w:r>
      <w:r>
        <w:rPr>
          <w:spacing w:val="-32"/>
          <w:w w:val="105"/>
        </w:rPr>
        <w:t> </w:t>
      </w:r>
      <w:r>
        <w:rPr>
          <w:w w:val="105"/>
        </w:rPr>
        <w:t>signage</w:t>
      </w:r>
      <w:r>
        <w:rPr>
          <w:spacing w:val="-32"/>
          <w:w w:val="105"/>
        </w:rPr>
        <w:t> </w:t>
      </w:r>
      <w:r>
        <w:rPr>
          <w:w w:val="105"/>
        </w:rPr>
        <w:t>deployed</w:t>
      </w:r>
      <w:r>
        <w:rPr>
          <w:spacing w:val="-32"/>
          <w:w w:val="105"/>
        </w:rPr>
        <w:t> </w:t>
      </w:r>
      <w:r>
        <w:rPr>
          <w:w w:val="105"/>
        </w:rPr>
        <w:t>throughout</w:t>
      </w:r>
      <w:r>
        <w:rPr>
          <w:spacing w:val="-32"/>
          <w:w w:val="105"/>
        </w:rPr>
        <w:t> </w:t>
      </w:r>
      <w:r>
        <w:rPr>
          <w:w w:val="105"/>
        </w:rPr>
        <w:t>the building</w:t>
      </w:r>
    </w:p>
    <w:p>
      <w:pPr>
        <w:pStyle w:val="BodyText"/>
        <w:spacing w:line="244" w:lineRule="auto" w:before="30"/>
        <w:ind w:left="305" w:right="120" w:hanging="199"/>
      </w:pPr>
      <w:r>
        <w:rPr>
          <w:rFonts w:ascii="Century Gothic" w:hAnsi="Century Gothic"/>
          <w:b/>
          <w:w w:val="115"/>
        </w:rPr>
        <w:t>≥</w:t>
      </w:r>
      <w:r>
        <w:rPr>
          <w:rFonts w:ascii="Century Gothic" w:hAnsi="Century Gothic"/>
          <w:b/>
          <w:spacing w:val="-18"/>
          <w:w w:val="115"/>
        </w:rPr>
        <w:t> </w:t>
      </w:r>
      <w:r>
        <w:rPr>
          <w:w w:val="105"/>
        </w:rPr>
        <w:t>Fixed</w:t>
      </w:r>
      <w:r>
        <w:rPr>
          <w:spacing w:val="-35"/>
          <w:w w:val="105"/>
        </w:rPr>
        <w:t> </w:t>
      </w:r>
      <w:r>
        <w:rPr>
          <w:w w:val="105"/>
        </w:rPr>
        <w:t>and</w:t>
      </w:r>
      <w:r>
        <w:rPr>
          <w:spacing w:val="-35"/>
          <w:w w:val="105"/>
        </w:rPr>
        <w:t> </w:t>
      </w:r>
      <w:r>
        <w:rPr>
          <w:w w:val="105"/>
        </w:rPr>
        <w:t>wireless</w:t>
      </w:r>
      <w:r>
        <w:rPr>
          <w:spacing w:val="-35"/>
          <w:w w:val="105"/>
        </w:rPr>
        <w:t> </w:t>
      </w:r>
      <w:r>
        <w:rPr>
          <w:w w:val="105"/>
        </w:rPr>
        <w:t>network</w:t>
      </w:r>
      <w:r>
        <w:rPr>
          <w:spacing w:val="-35"/>
          <w:w w:val="105"/>
        </w:rPr>
        <w:t> </w:t>
      </w:r>
      <w:r>
        <w:rPr>
          <w:w w:val="105"/>
        </w:rPr>
        <w:t>infrastructure and</w:t>
      </w:r>
      <w:r>
        <w:rPr>
          <w:spacing w:val="-38"/>
          <w:w w:val="105"/>
        </w:rPr>
        <w:t> </w:t>
      </w:r>
      <w:r>
        <w:rPr>
          <w:spacing w:val="2"/>
          <w:w w:val="105"/>
        </w:rPr>
        <w:t>AARNet</w:t>
      </w:r>
      <w:r>
        <w:rPr>
          <w:spacing w:val="-38"/>
          <w:w w:val="105"/>
        </w:rPr>
        <w:t> </w:t>
      </w:r>
      <w:r>
        <w:rPr>
          <w:w w:val="105"/>
        </w:rPr>
        <w:t>connectivity</w:t>
      </w:r>
    </w:p>
    <w:p>
      <w:pPr>
        <w:pStyle w:val="BodyText"/>
        <w:spacing w:line="244" w:lineRule="auto" w:before="30"/>
        <w:ind w:left="305" w:right="2" w:hanging="199"/>
      </w:pPr>
      <w:r>
        <w:rPr>
          <w:rFonts w:ascii="Century Gothic" w:hAnsi="Century Gothic"/>
          <w:b/>
          <w:w w:val="115"/>
        </w:rPr>
        <w:t>≥ </w:t>
      </w:r>
      <w:r>
        <w:rPr/>
        <w:t>Supported the integrated student support hub on Level </w:t>
      </w:r>
      <w:r>
        <w:rPr>
          <w:w w:val="95"/>
        </w:rPr>
        <w:t>1</w:t>
      </w:r>
    </w:p>
    <w:p>
      <w:pPr>
        <w:pStyle w:val="BodyText"/>
        <w:spacing w:line="244" w:lineRule="auto" w:before="30"/>
        <w:ind w:left="305" w:right="2" w:hanging="199"/>
      </w:pPr>
      <w:r>
        <w:rPr>
          <w:rFonts w:ascii="Century Gothic" w:hAnsi="Century Gothic"/>
          <w:b/>
          <w:w w:val="115"/>
        </w:rPr>
        <w:t>≥ </w:t>
      </w:r>
      <w:r>
        <w:rPr/>
        <w:t>Implemented contactless staff and student </w:t>
      </w:r>
      <w:r>
        <w:rPr>
          <w:w w:val="95"/>
        </w:rPr>
        <w:t>ID cards.</w:t>
      </w:r>
    </w:p>
    <w:p>
      <w:pPr>
        <w:pStyle w:val="BodyText"/>
        <w:spacing w:before="10"/>
        <w:rPr>
          <w:sz w:val="14"/>
        </w:rPr>
      </w:pPr>
    </w:p>
    <w:p>
      <w:pPr>
        <w:pStyle w:val="Heading7"/>
        <w:ind w:right="2"/>
      </w:pPr>
      <w:r>
        <w:rPr>
          <w:color w:val="615C58"/>
          <w:w w:val="95"/>
        </w:rPr>
        <w:t>Systems and Projects</w:t>
      </w:r>
    </w:p>
    <w:p>
      <w:pPr>
        <w:pStyle w:val="BodyText"/>
        <w:spacing w:line="244" w:lineRule="auto" w:before="57"/>
        <w:ind w:left="305" w:right="151" w:hanging="199"/>
      </w:pPr>
      <w:r>
        <w:rPr>
          <w:rFonts w:ascii="Century Gothic" w:hAnsi="Century Gothic"/>
          <w:b/>
          <w:w w:val="115"/>
        </w:rPr>
        <w:t>≥</w:t>
      </w:r>
      <w:r>
        <w:rPr>
          <w:rFonts w:ascii="Century Gothic" w:hAnsi="Century Gothic"/>
          <w:b/>
          <w:spacing w:val="-8"/>
          <w:w w:val="115"/>
        </w:rPr>
        <w:t> </w:t>
      </w:r>
      <w:r>
        <w:rPr>
          <w:w w:val="105"/>
        </w:rPr>
        <w:t>Embedded</w:t>
      </w:r>
      <w:r>
        <w:rPr>
          <w:spacing w:val="-29"/>
          <w:w w:val="105"/>
        </w:rPr>
        <w:t> </w:t>
      </w:r>
      <w:r>
        <w:rPr>
          <w:w w:val="105"/>
        </w:rPr>
        <w:t>the</w:t>
      </w:r>
      <w:r>
        <w:rPr>
          <w:spacing w:val="-29"/>
          <w:w w:val="105"/>
        </w:rPr>
        <w:t> </w:t>
      </w:r>
      <w:r>
        <w:rPr>
          <w:w w:val="105"/>
        </w:rPr>
        <w:t>Zoom</w:t>
      </w:r>
      <w:r>
        <w:rPr>
          <w:spacing w:val="-29"/>
          <w:w w:val="105"/>
        </w:rPr>
        <w:t> </w:t>
      </w:r>
      <w:r>
        <w:rPr>
          <w:w w:val="105"/>
        </w:rPr>
        <w:t>video</w:t>
      </w:r>
      <w:r>
        <w:rPr>
          <w:spacing w:val="-29"/>
          <w:w w:val="105"/>
        </w:rPr>
        <w:t> </w:t>
      </w:r>
      <w:r>
        <w:rPr>
          <w:w w:val="105"/>
        </w:rPr>
        <w:t>conferencing </w:t>
      </w:r>
      <w:r>
        <w:rPr/>
        <w:t>solution</w:t>
      </w:r>
      <w:r>
        <w:rPr>
          <w:spacing w:val="-17"/>
        </w:rPr>
        <w:t> </w:t>
      </w:r>
      <w:r>
        <w:rPr/>
        <w:t>as</w:t>
      </w:r>
      <w:r>
        <w:rPr>
          <w:spacing w:val="-17"/>
        </w:rPr>
        <w:t> </w:t>
      </w:r>
      <w:r>
        <w:rPr/>
        <w:t>the</w:t>
      </w:r>
      <w:r>
        <w:rPr>
          <w:spacing w:val="-17"/>
        </w:rPr>
        <w:t> </w:t>
      </w:r>
      <w:r>
        <w:rPr/>
        <w:t>University</w:t>
      </w:r>
      <w:r>
        <w:rPr>
          <w:spacing w:val="-17"/>
        </w:rPr>
        <w:t> </w:t>
      </w:r>
      <w:r>
        <w:rPr/>
        <w:t>standard</w:t>
      </w:r>
    </w:p>
    <w:p>
      <w:pPr>
        <w:pStyle w:val="BodyText"/>
        <w:spacing w:line="244" w:lineRule="auto" w:before="30"/>
        <w:ind w:left="305" w:right="104" w:hanging="199"/>
      </w:pPr>
      <w:r>
        <w:rPr>
          <w:rFonts w:ascii="Century Gothic" w:hAnsi="Century Gothic"/>
          <w:b/>
          <w:w w:val="115"/>
        </w:rPr>
        <w:t>≥</w:t>
      </w:r>
      <w:r>
        <w:rPr>
          <w:rFonts w:ascii="Century Gothic" w:hAnsi="Century Gothic"/>
          <w:b/>
          <w:spacing w:val="-15"/>
          <w:w w:val="115"/>
        </w:rPr>
        <w:t> </w:t>
      </w:r>
      <w:r>
        <w:rPr>
          <w:w w:val="105"/>
        </w:rPr>
        <w:t>Continued</w:t>
      </w:r>
      <w:r>
        <w:rPr>
          <w:spacing w:val="-33"/>
          <w:w w:val="105"/>
        </w:rPr>
        <w:t> </w:t>
      </w:r>
      <w:r>
        <w:rPr>
          <w:w w:val="105"/>
        </w:rPr>
        <w:t>the</w:t>
      </w:r>
      <w:r>
        <w:rPr>
          <w:spacing w:val="-33"/>
          <w:w w:val="105"/>
        </w:rPr>
        <w:t> </w:t>
      </w:r>
      <w:r>
        <w:rPr>
          <w:w w:val="105"/>
        </w:rPr>
        <w:t>student</w:t>
      </w:r>
      <w:r>
        <w:rPr>
          <w:spacing w:val="-33"/>
          <w:w w:val="105"/>
        </w:rPr>
        <w:t> </w:t>
      </w:r>
      <w:r>
        <w:rPr>
          <w:w w:val="105"/>
        </w:rPr>
        <w:t>placements</w:t>
      </w:r>
      <w:r>
        <w:rPr>
          <w:spacing w:val="-33"/>
          <w:w w:val="105"/>
        </w:rPr>
        <w:t> </w:t>
      </w:r>
      <w:r>
        <w:rPr>
          <w:w w:val="105"/>
        </w:rPr>
        <w:t>rollout </w:t>
      </w:r>
      <w:r>
        <w:rPr/>
        <w:t>including</w:t>
      </w:r>
      <w:r>
        <w:rPr>
          <w:spacing w:val="-17"/>
        </w:rPr>
        <w:t> </w:t>
      </w:r>
      <w:r>
        <w:rPr/>
        <w:t>Medicine</w:t>
      </w:r>
      <w:r>
        <w:rPr>
          <w:spacing w:val="-17"/>
        </w:rPr>
        <w:t> </w:t>
      </w:r>
      <w:r>
        <w:rPr/>
        <w:t>and</w:t>
      </w:r>
      <w:r>
        <w:rPr>
          <w:spacing w:val="-17"/>
        </w:rPr>
        <w:t> </w:t>
      </w:r>
      <w:r>
        <w:rPr/>
        <w:t>Science</w:t>
      </w:r>
      <w:r>
        <w:rPr>
          <w:spacing w:val="-17"/>
        </w:rPr>
        <w:t> </w:t>
      </w:r>
      <w:r>
        <w:rPr/>
        <w:t>&amp;</w:t>
      </w:r>
      <w:r>
        <w:rPr>
          <w:spacing w:val="-17"/>
        </w:rPr>
        <w:t> </w:t>
      </w:r>
      <w:r>
        <w:rPr/>
        <w:t>Health</w:t>
      </w:r>
    </w:p>
    <w:p>
      <w:pPr>
        <w:pStyle w:val="BodyText"/>
        <w:spacing w:line="244" w:lineRule="auto" w:before="30"/>
        <w:ind w:left="305" w:right="37" w:hanging="199"/>
      </w:pPr>
      <w:r>
        <w:rPr>
          <w:rFonts w:ascii="Century Gothic" w:hAnsi="Century Gothic"/>
          <w:b/>
          <w:w w:val="115"/>
        </w:rPr>
        <w:t>≥ </w:t>
      </w:r>
      <w:r>
        <w:rPr>
          <w:w w:val="105"/>
        </w:rPr>
        <w:t>Managed a tender for the Student </w:t>
      </w:r>
      <w:r>
        <w:rPr/>
        <w:t>Management System replacement project</w:t>
      </w:r>
    </w:p>
    <w:p>
      <w:pPr>
        <w:pStyle w:val="BodyText"/>
        <w:spacing w:line="244" w:lineRule="auto" w:before="30"/>
        <w:ind w:left="305" w:right="41" w:hanging="199"/>
      </w:pPr>
      <w:r>
        <w:rPr>
          <w:rFonts w:ascii="Century Gothic" w:hAnsi="Century Gothic"/>
          <w:b/>
          <w:w w:val="115"/>
        </w:rPr>
        <w:t>≥ </w:t>
      </w:r>
      <w:r>
        <w:rPr/>
        <w:t>Deployed the first phase of the Integrated Marketing platform (Lumbar project)</w:t>
      </w:r>
    </w:p>
    <w:p>
      <w:pPr>
        <w:pStyle w:val="BodyText"/>
        <w:spacing w:line="247" w:lineRule="auto" w:before="30"/>
        <w:ind w:left="305" w:right="331" w:hanging="199"/>
      </w:pPr>
      <w:r>
        <w:rPr>
          <w:rFonts w:ascii="Century Gothic" w:hAnsi="Century Gothic"/>
          <w:b/>
          <w:w w:val="115"/>
        </w:rPr>
        <w:t>≥ </w:t>
      </w:r>
      <w:r>
        <w:rPr>
          <w:w w:val="105"/>
        </w:rPr>
        <w:t>Established the Microsoft Office365 tenancy</w:t>
      </w:r>
      <w:r>
        <w:rPr>
          <w:spacing w:val="-36"/>
          <w:w w:val="105"/>
        </w:rPr>
        <w:t> </w:t>
      </w:r>
      <w:r>
        <w:rPr>
          <w:w w:val="105"/>
        </w:rPr>
        <w:t>for</w:t>
      </w:r>
      <w:r>
        <w:rPr>
          <w:spacing w:val="-36"/>
          <w:w w:val="105"/>
        </w:rPr>
        <w:t> </w:t>
      </w:r>
      <w:r>
        <w:rPr>
          <w:w w:val="105"/>
        </w:rPr>
        <w:t>staff</w:t>
      </w:r>
      <w:r>
        <w:rPr>
          <w:spacing w:val="-36"/>
          <w:w w:val="105"/>
        </w:rPr>
        <w:t> </w:t>
      </w:r>
      <w:r>
        <w:rPr>
          <w:w w:val="105"/>
        </w:rPr>
        <w:t>and</w:t>
      </w:r>
      <w:r>
        <w:rPr>
          <w:spacing w:val="-36"/>
          <w:w w:val="105"/>
        </w:rPr>
        <w:t> </w:t>
      </w:r>
      <w:r>
        <w:rPr>
          <w:w w:val="105"/>
        </w:rPr>
        <w:t>started</w:t>
      </w:r>
      <w:r>
        <w:rPr>
          <w:spacing w:val="-36"/>
          <w:w w:val="105"/>
        </w:rPr>
        <w:t> </w:t>
      </w:r>
      <w:r>
        <w:rPr>
          <w:w w:val="105"/>
        </w:rPr>
        <w:t>the</w:t>
      </w:r>
      <w:r>
        <w:rPr>
          <w:spacing w:val="-36"/>
          <w:w w:val="105"/>
        </w:rPr>
        <w:t> </w:t>
      </w:r>
      <w:r>
        <w:rPr>
          <w:w w:val="105"/>
        </w:rPr>
        <w:t>Email transition</w:t>
      </w:r>
    </w:p>
    <w:p>
      <w:pPr>
        <w:pStyle w:val="BodyText"/>
        <w:spacing w:line="244" w:lineRule="auto" w:before="28"/>
        <w:ind w:left="305" w:right="2" w:hanging="199"/>
      </w:pPr>
      <w:r>
        <w:rPr>
          <w:rFonts w:ascii="Century Gothic" w:hAnsi="Century Gothic"/>
          <w:b/>
          <w:w w:val="115"/>
        </w:rPr>
        <w:t>≥ </w:t>
      </w:r>
      <w:r>
        <w:rPr/>
        <w:t>Implemented new solutions to support WHS, Compliance and Legal obligations</w:t>
      </w:r>
    </w:p>
    <w:p>
      <w:pPr>
        <w:pStyle w:val="BodyText"/>
        <w:spacing w:line="244" w:lineRule="auto" w:before="30"/>
        <w:ind w:left="305" w:right="165" w:hanging="199"/>
      </w:pPr>
      <w:r>
        <w:rPr>
          <w:rFonts w:ascii="Century Gothic" w:hAnsi="Century Gothic"/>
          <w:b/>
          <w:w w:val="115"/>
        </w:rPr>
        <w:t>≥</w:t>
      </w:r>
      <w:r>
        <w:rPr>
          <w:rFonts w:ascii="Century Gothic" w:hAnsi="Century Gothic"/>
          <w:b/>
          <w:spacing w:val="-14"/>
          <w:w w:val="115"/>
        </w:rPr>
        <w:t> </w:t>
      </w:r>
      <w:r>
        <w:rPr>
          <w:w w:val="105"/>
        </w:rPr>
        <w:t>Upgraded</w:t>
      </w:r>
      <w:r>
        <w:rPr>
          <w:spacing w:val="-33"/>
          <w:w w:val="105"/>
        </w:rPr>
        <w:t> </w:t>
      </w:r>
      <w:r>
        <w:rPr>
          <w:w w:val="105"/>
        </w:rPr>
        <w:t>the</w:t>
      </w:r>
      <w:r>
        <w:rPr>
          <w:spacing w:val="-33"/>
          <w:w w:val="105"/>
        </w:rPr>
        <w:t> </w:t>
      </w:r>
      <w:r>
        <w:rPr>
          <w:w w:val="105"/>
        </w:rPr>
        <w:t>Finance</w:t>
      </w:r>
      <w:r>
        <w:rPr>
          <w:spacing w:val="-33"/>
          <w:w w:val="105"/>
        </w:rPr>
        <w:t> </w:t>
      </w:r>
      <w:r>
        <w:rPr>
          <w:w w:val="105"/>
        </w:rPr>
        <w:t>payment</w:t>
      </w:r>
      <w:r>
        <w:rPr>
          <w:spacing w:val="-33"/>
          <w:w w:val="105"/>
        </w:rPr>
        <w:t> </w:t>
      </w:r>
      <w:r>
        <w:rPr>
          <w:w w:val="105"/>
        </w:rPr>
        <w:t>gateway </w:t>
      </w:r>
      <w:r>
        <w:rPr/>
        <w:t>utilising</w:t>
      </w:r>
      <w:r>
        <w:rPr>
          <w:spacing w:val="-18"/>
        </w:rPr>
        <w:t> </w:t>
      </w:r>
      <w:r>
        <w:rPr/>
        <w:t>our</w:t>
      </w:r>
      <w:r>
        <w:rPr>
          <w:spacing w:val="-18"/>
        </w:rPr>
        <w:t> </w:t>
      </w:r>
      <w:r>
        <w:rPr/>
        <w:t>new</w:t>
      </w:r>
      <w:r>
        <w:rPr>
          <w:spacing w:val="-18"/>
        </w:rPr>
        <w:t> </w:t>
      </w:r>
      <w:r>
        <w:rPr/>
        <w:t>middleware</w:t>
      </w:r>
      <w:r>
        <w:rPr>
          <w:spacing w:val="-18"/>
        </w:rPr>
        <w:t> </w:t>
      </w:r>
      <w:r>
        <w:rPr/>
        <w:t>platform</w:t>
      </w:r>
    </w:p>
    <w:p>
      <w:pPr>
        <w:pStyle w:val="BodyText"/>
        <w:spacing w:line="247" w:lineRule="auto" w:before="30"/>
        <w:ind w:left="305" w:right="432" w:hanging="199"/>
      </w:pPr>
      <w:r>
        <w:rPr>
          <w:rFonts w:ascii="Century Gothic" w:hAnsi="Century Gothic"/>
          <w:b/>
          <w:w w:val="115"/>
        </w:rPr>
        <w:t>≥ </w:t>
      </w:r>
      <w:r>
        <w:rPr/>
        <w:t>Deployed new services supporting International recruitment and Agent management</w:t>
      </w:r>
    </w:p>
    <w:p>
      <w:pPr>
        <w:pStyle w:val="BodyText"/>
        <w:spacing w:line="244" w:lineRule="auto" w:before="28"/>
        <w:ind w:left="305" w:right="159" w:hanging="199"/>
      </w:pPr>
      <w:r>
        <w:rPr>
          <w:rFonts w:ascii="Century Gothic" w:hAnsi="Century Gothic"/>
          <w:b/>
          <w:w w:val="115"/>
        </w:rPr>
        <w:t>≥</w:t>
      </w:r>
      <w:r>
        <w:rPr>
          <w:rFonts w:ascii="Century Gothic" w:hAnsi="Century Gothic"/>
          <w:b/>
          <w:spacing w:val="-16"/>
          <w:w w:val="115"/>
        </w:rPr>
        <w:t> </w:t>
      </w:r>
      <w:r>
        <w:rPr>
          <w:w w:val="105"/>
        </w:rPr>
        <w:t>Upgraded</w:t>
      </w:r>
      <w:r>
        <w:rPr>
          <w:spacing w:val="-34"/>
          <w:w w:val="105"/>
        </w:rPr>
        <w:t> </w:t>
      </w:r>
      <w:r>
        <w:rPr>
          <w:w w:val="105"/>
        </w:rPr>
        <w:t>key</w:t>
      </w:r>
      <w:r>
        <w:rPr>
          <w:spacing w:val="-34"/>
          <w:w w:val="105"/>
        </w:rPr>
        <w:t> </w:t>
      </w:r>
      <w:r>
        <w:rPr>
          <w:w w:val="105"/>
        </w:rPr>
        <w:t>systems</w:t>
      </w:r>
      <w:r>
        <w:rPr>
          <w:spacing w:val="-34"/>
          <w:w w:val="105"/>
        </w:rPr>
        <w:t> </w:t>
      </w:r>
      <w:r>
        <w:rPr>
          <w:w w:val="105"/>
        </w:rPr>
        <w:t>including</w:t>
      </w:r>
      <w:r>
        <w:rPr>
          <w:spacing w:val="-34"/>
          <w:w w:val="105"/>
        </w:rPr>
        <w:t> </w:t>
      </w:r>
      <w:r>
        <w:rPr>
          <w:w w:val="105"/>
        </w:rPr>
        <w:t>Callista, Alesco</w:t>
      </w:r>
      <w:r>
        <w:rPr>
          <w:spacing w:val="-33"/>
          <w:w w:val="105"/>
        </w:rPr>
        <w:t> </w:t>
      </w:r>
      <w:r>
        <w:rPr>
          <w:w w:val="105"/>
        </w:rPr>
        <w:t>HR</w:t>
      </w:r>
      <w:r>
        <w:rPr>
          <w:spacing w:val="-33"/>
          <w:w w:val="105"/>
        </w:rPr>
        <w:t> </w:t>
      </w:r>
      <w:r>
        <w:rPr>
          <w:w w:val="105"/>
        </w:rPr>
        <w:t>and</w:t>
      </w:r>
      <w:r>
        <w:rPr>
          <w:spacing w:val="-33"/>
          <w:w w:val="105"/>
        </w:rPr>
        <w:t> </w:t>
      </w:r>
      <w:r>
        <w:rPr>
          <w:w w:val="105"/>
        </w:rPr>
        <w:t>the</w:t>
      </w:r>
      <w:r>
        <w:rPr>
          <w:spacing w:val="-33"/>
          <w:w w:val="105"/>
        </w:rPr>
        <w:t> </w:t>
      </w:r>
      <w:r>
        <w:rPr>
          <w:w w:val="105"/>
        </w:rPr>
        <w:t>Blackboard</w:t>
      </w:r>
      <w:r>
        <w:rPr>
          <w:spacing w:val="-33"/>
          <w:w w:val="105"/>
        </w:rPr>
        <w:t> </w:t>
      </w:r>
      <w:r>
        <w:rPr>
          <w:w w:val="105"/>
        </w:rPr>
        <w:t>LMS</w:t>
      </w:r>
    </w:p>
    <w:p>
      <w:pPr>
        <w:pStyle w:val="BodyText"/>
        <w:spacing w:line="244" w:lineRule="auto" w:before="30"/>
        <w:ind w:left="305" w:right="2" w:hanging="199"/>
      </w:pPr>
      <w:r>
        <w:rPr>
          <w:rFonts w:ascii="Century Gothic" w:hAnsi="Century Gothic"/>
          <w:b/>
          <w:w w:val="115"/>
        </w:rPr>
        <w:t>≥ </w:t>
      </w:r>
      <w:r>
        <w:rPr>
          <w:w w:val="105"/>
        </w:rPr>
        <w:t>Supported phase two of the Western </w:t>
      </w:r>
      <w:r>
        <w:rPr/>
        <w:t>Sydney University rebranding activities</w:t>
      </w:r>
    </w:p>
    <w:p>
      <w:pPr>
        <w:pStyle w:val="BodyText"/>
        <w:spacing w:line="247" w:lineRule="auto" w:before="30"/>
        <w:ind w:left="305" w:right="110" w:hanging="199"/>
      </w:pPr>
      <w:r>
        <w:rPr>
          <w:rFonts w:ascii="Century Gothic" w:hAnsi="Century Gothic"/>
          <w:b/>
          <w:w w:val="115"/>
        </w:rPr>
        <w:t>≥ </w:t>
      </w:r>
      <w:r>
        <w:rPr/>
        <w:t>Selected providers for the Integrated Workspace Management project and the Video Management Solution, ready for </w:t>
      </w:r>
      <w:r>
        <w:rPr>
          <w:w w:val="87"/>
        </w:rPr>
        <w:t>2017 </w:t>
      </w:r>
      <w:r>
        <w:rPr>
          <w:w w:val="95"/>
        </w:rPr>
        <w:t>implementation.</w:t>
      </w:r>
    </w:p>
    <w:p>
      <w:pPr>
        <w:pStyle w:val="BodyText"/>
        <w:spacing w:before="3"/>
        <w:rPr>
          <w:sz w:val="17"/>
        </w:rPr>
      </w:pPr>
      <w:r>
        <w:rPr/>
        <w:br w:type="column"/>
      </w:r>
      <w:r>
        <w:rPr>
          <w:sz w:val="17"/>
        </w:rPr>
      </w:r>
    </w:p>
    <w:p>
      <w:pPr>
        <w:pStyle w:val="Heading7"/>
        <w:ind w:right="0"/>
      </w:pPr>
      <w:r>
        <w:rPr>
          <w:color w:val="615C58"/>
          <w:w w:val="95"/>
        </w:rPr>
        <w:t>Infrastructure Management</w:t>
      </w:r>
    </w:p>
    <w:p>
      <w:pPr>
        <w:pStyle w:val="BodyText"/>
        <w:spacing w:line="247" w:lineRule="auto" w:before="57"/>
        <w:ind w:left="305" w:right="251" w:hanging="199"/>
      </w:pPr>
      <w:r>
        <w:rPr>
          <w:rFonts w:ascii="Century Gothic" w:hAnsi="Century Gothic"/>
          <w:b/>
          <w:w w:val="115"/>
        </w:rPr>
        <w:t>≥ </w:t>
      </w:r>
      <w:r>
        <w:rPr/>
        <w:t>Finalised the commercial arrangements for</w:t>
      </w:r>
      <w:r>
        <w:rPr>
          <w:spacing w:val="-19"/>
        </w:rPr>
        <w:t> </w:t>
      </w:r>
      <w:r>
        <w:rPr/>
        <w:t>the</w:t>
      </w:r>
      <w:r>
        <w:rPr>
          <w:spacing w:val="-19"/>
        </w:rPr>
        <w:t> </w:t>
      </w:r>
      <w:r>
        <w:rPr/>
        <w:t>transition</w:t>
      </w:r>
      <w:r>
        <w:rPr>
          <w:spacing w:val="-19"/>
        </w:rPr>
        <w:t> </w:t>
      </w:r>
      <w:r>
        <w:rPr/>
        <w:t>to</w:t>
      </w:r>
      <w:r>
        <w:rPr>
          <w:spacing w:val="-19"/>
        </w:rPr>
        <w:t> </w:t>
      </w:r>
      <w:r>
        <w:rPr/>
        <w:t>an</w:t>
      </w:r>
      <w:r>
        <w:rPr>
          <w:spacing w:val="-19"/>
        </w:rPr>
        <w:t> </w:t>
      </w:r>
      <w:r>
        <w:rPr/>
        <w:t>Infrastructure-as- a-Service</w:t>
      </w:r>
      <w:r>
        <w:rPr>
          <w:spacing w:val="-13"/>
        </w:rPr>
        <w:t> </w:t>
      </w:r>
      <w:r>
        <w:rPr/>
        <w:t>model</w:t>
      </w:r>
      <w:r>
        <w:rPr>
          <w:spacing w:val="-13"/>
        </w:rPr>
        <w:t> </w:t>
      </w:r>
      <w:r>
        <w:rPr/>
        <w:t>and</w:t>
      </w:r>
      <w:r>
        <w:rPr>
          <w:spacing w:val="-13"/>
        </w:rPr>
        <w:t> </w:t>
      </w:r>
      <w:r>
        <w:rPr/>
        <w:t>began</w:t>
      </w:r>
      <w:r>
        <w:rPr>
          <w:spacing w:val="-13"/>
        </w:rPr>
        <w:t> </w:t>
      </w:r>
      <w:r>
        <w:rPr/>
        <w:t>the</w:t>
      </w:r>
      <w:r>
        <w:rPr>
          <w:spacing w:val="-13"/>
        </w:rPr>
        <w:t> </w:t>
      </w:r>
      <w:r>
        <w:rPr/>
        <w:t>migration planning</w:t>
      </w:r>
    </w:p>
    <w:p>
      <w:pPr>
        <w:pStyle w:val="BodyText"/>
        <w:spacing w:line="247" w:lineRule="auto" w:before="57"/>
        <w:ind w:left="305" w:right="149" w:hanging="199"/>
        <w:jc w:val="both"/>
      </w:pPr>
      <w:r>
        <w:rPr>
          <w:rFonts w:ascii="Century Gothic" w:hAnsi="Century Gothic"/>
          <w:b/>
          <w:w w:val="115"/>
        </w:rPr>
        <w:t>≥ </w:t>
      </w:r>
      <w:r>
        <w:rPr/>
        <w:t>Implemented an upgrade of the University wireless</w:t>
      </w:r>
      <w:r>
        <w:rPr>
          <w:spacing w:val="-14"/>
        </w:rPr>
        <w:t> </w:t>
      </w:r>
      <w:r>
        <w:rPr/>
        <w:t>network</w:t>
      </w:r>
      <w:r>
        <w:rPr>
          <w:spacing w:val="-14"/>
        </w:rPr>
        <w:t> </w:t>
      </w:r>
      <w:r>
        <w:rPr/>
        <w:t>at</w:t>
      </w:r>
      <w:r>
        <w:rPr>
          <w:spacing w:val="-14"/>
        </w:rPr>
        <w:t> </w:t>
      </w:r>
      <w:r>
        <w:rPr/>
        <w:t>Kingswood</w:t>
      </w:r>
      <w:r>
        <w:rPr>
          <w:spacing w:val="-14"/>
        </w:rPr>
        <w:t> </w:t>
      </w:r>
      <w:r>
        <w:rPr/>
        <w:t>and</w:t>
      </w:r>
      <w:r>
        <w:rPr>
          <w:spacing w:val="-14"/>
        </w:rPr>
        <w:t> </w:t>
      </w:r>
      <w:r>
        <w:rPr/>
        <w:t>all</w:t>
      </w:r>
      <w:r>
        <w:rPr>
          <w:spacing w:val="-14"/>
        </w:rPr>
        <w:t> </w:t>
      </w:r>
      <w:r>
        <w:rPr/>
        <w:t>new buildings</w:t>
      </w:r>
      <w:r>
        <w:rPr>
          <w:spacing w:val="-30"/>
        </w:rPr>
        <w:t> </w:t>
      </w:r>
      <w:r>
        <w:rPr/>
        <w:t>including</w:t>
      </w:r>
      <w:r>
        <w:rPr>
          <w:spacing w:val="-30"/>
        </w:rPr>
        <w:t> </w:t>
      </w:r>
      <w:r>
        <w:rPr>
          <w:spacing w:val="2"/>
        </w:rPr>
        <w:t>1PSQ</w:t>
      </w:r>
    </w:p>
    <w:p>
      <w:pPr>
        <w:pStyle w:val="BodyText"/>
        <w:spacing w:line="247" w:lineRule="auto" w:before="57"/>
        <w:ind w:left="305" w:right="143" w:hanging="199"/>
      </w:pPr>
      <w:r>
        <w:rPr>
          <w:rFonts w:ascii="Century Gothic" w:hAnsi="Century Gothic"/>
          <w:b/>
          <w:w w:val="115"/>
        </w:rPr>
        <w:t>≥ </w:t>
      </w:r>
      <w:r>
        <w:rPr/>
        <w:t>Established a second major internet link to provide much greater traffic diversity and improved capacity across the campus network</w:t>
      </w:r>
    </w:p>
    <w:p>
      <w:pPr>
        <w:pStyle w:val="BodyText"/>
        <w:spacing w:line="244" w:lineRule="auto" w:before="57"/>
        <w:ind w:left="305" w:right="535" w:hanging="199"/>
      </w:pPr>
      <w:r>
        <w:rPr>
          <w:rFonts w:ascii="Century Gothic" w:hAnsi="Century Gothic"/>
          <w:b/>
          <w:w w:val="115"/>
        </w:rPr>
        <w:t>≥ </w:t>
      </w:r>
      <w:r>
        <w:rPr>
          <w:w w:val="105"/>
        </w:rPr>
        <w:t>Completed the AARNet optical fibre </w:t>
      </w:r>
      <w:r>
        <w:rPr/>
        <w:t>upgrades to all campuses</w:t>
      </w:r>
    </w:p>
    <w:p>
      <w:pPr>
        <w:pStyle w:val="BodyText"/>
        <w:spacing w:line="244" w:lineRule="auto" w:before="58"/>
        <w:ind w:left="305" w:right="176" w:hanging="199"/>
      </w:pPr>
      <w:r>
        <w:rPr>
          <w:rFonts w:ascii="Century Gothic" w:hAnsi="Century Gothic"/>
          <w:b/>
          <w:w w:val="115"/>
        </w:rPr>
        <w:t>≥ </w:t>
      </w:r>
      <w:r>
        <w:rPr>
          <w:w w:val="105"/>
        </w:rPr>
        <w:t>Selected a Managed Security Services </w:t>
      </w:r>
      <w:r>
        <w:rPr/>
        <w:t>provider to protect our internet perimeter</w:t>
      </w:r>
    </w:p>
    <w:p>
      <w:pPr>
        <w:pStyle w:val="BodyText"/>
        <w:spacing w:line="247" w:lineRule="auto" w:before="58"/>
        <w:ind w:left="305" w:right="111" w:hanging="199"/>
      </w:pPr>
      <w:r>
        <w:rPr>
          <w:rFonts w:ascii="Century Gothic" w:hAnsi="Century Gothic"/>
          <w:b/>
          <w:w w:val="145"/>
        </w:rPr>
        <w:t>≥ </w:t>
      </w:r>
      <w:r>
        <w:rPr>
          <w:spacing w:val="1"/>
          <w:w w:val="97"/>
        </w:rPr>
        <w:t>Established</w:t>
      </w:r>
      <w:r>
        <w:rPr>
          <w:w w:val="97"/>
        </w:rPr>
        <w:t> </w:t>
      </w:r>
      <w:r>
        <w:rPr>
          <w:w w:val="95"/>
        </w:rPr>
        <w:t>Windows10 </w:t>
      </w:r>
      <w:r>
        <w:rPr>
          <w:spacing w:val="1"/>
          <w:w w:val="94"/>
        </w:rPr>
        <w:t>as</w:t>
      </w:r>
      <w:r>
        <w:rPr>
          <w:w w:val="94"/>
        </w:rPr>
        <w:t> </w:t>
      </w:r>
      <w:r>
        <w:rPr>
          <w:w w:val="97"/>
        </w:rPr>
        <w:t>the </w:t>
      </w:r>
      <w:r>
        <w:rPr>
          <w:spacing w:val="1"/>
          <w:w w:val="99"/>
        </w:rPr>
        <w:t>desktop</w:t>
      </w:r>
      <w:r>
        <w:rPr>
          <w:w w:val="99"/>
        </w:rPr>
        <w:t> </w:t>
      </w:r>
      <w:r>
        <w:rPr/>
        <w:t>standard</w:t>
      </w:r>
      <w:r>
        <w:rPr>
          <w:spacing w:val="-19"/>
        </w:rPr>
        <w:t> </w:t>
      </w:r>
      <w:r>
        <w:rPr/>
        <w:t>across</w:t>
      </w:r>
      <w:r>
        <w:rPr>
          <w:spacing w:val="-19"/>
        </w:rPr>
        <w:t> </w:t>
      </w:r>
      <w:r>
        <w:rPr/>
        <w:t>all</w:t>
      </w:r>
      <w:r>
        <w:rPr>
          <w:spacing w:val="-19"/>
        </w:rPr>
        <w:t> </w:t>
      </w:r>
      <w:r>
        <w:rPr/>
        <w:t>staff,</w:t>
      </w:r>
      <w:r>
        <w:rPr>
          <w:spacing w:val="-19"/>
        </w:rPr>
        <w:t> </w:t>
      </w:r>
      <w:r>
        <w:rPr/>
        <w:t>lab</w:t>
      </w:r>
      <w:r>
        <w:rPr>
          <w:spacing w:val="-19"/>
        </w:rPr>
        <w:t> </w:t>
      </w:r>
      <w:r>
        <w:rPr/>
        <w:t>and</w:t>
      </w:r>
      <w:r>
        <w:rPr>
          <w:spacing w:val="-19"/>
        </w:rPr>
        <w:t> </w:t>
      </w:r>
      <w:r>
        <w:rPr/>
        <w:t>teaching </w:t>
      </w:r>
      <w:r>
        <w:rPr>
          <w:spacing w:val="3"/>
        </w:rPr>
        <w:t>PCs</w:t>
      </w:r>
    </w:p>
    <w:p>
      <w:pPr>
        <w:pStyle w:val="BodyText"/>
        <w:spacing w:line="247" w:lineRule="auto" w:before="57"/>
        <w:ind w:left="305" w:right="122" w:hanging="199"/>
      </w:pPr>
      <w:r>
        <w:rPr>
          <w:rFonts w:ascii="Century Gothic" w:hAnsi="Century Gothic"/>
          <w:b/>
          <w:w w:val="115"/>
        </w:rPr>
        <w:t>≥  </w:t>
      </w:r>
      <w:r>
        <w:rPr/>
        <w:t>Support the technology-components of the</w:t>
      </w:r>
      <w:r>
        <w:rPr>
          <w:spacing w:val="-14"/>
        </w:rPr>
        <w:t> </w:t>
      </w:r>
      <w:r>
        <w:rPr/>
        <w:t>many</w:t>
      </w:r>
      <w:r>
        <w:rPr>
          <w:spacing w:val="-14"/>
        </w:rPr>
        <w:t> </w:t>
      </w:r>
      <w:r>
        <w:rPr/>
        <w:t>and</w:t>
      </w:r>
      <w:r>
        <w:rPr>
          <w:spacing w:val="-14"/>
        </w:rPr>
        <w:t> </w:t>
      </w:r>
      <w:r>
        <w:rPr/>
        <w:t>varied</w:t>
      </w:r>
      <w:r>
        <w:rPr>
          <w:spacing w:val="-14"/>
        </w:rPr>
        <w:t> </w:t>
      </w:r>
      <w:r>
        <w:rPr/>
        <w:t>projects</w:t>
      </w:r>
      <w:r>
        <w:rPr>
          <w:spacing w:val="-14"/>
        </w:rPr>
        <w:t> </w:t>
      </w:r>
      <w:r>
        <w:rPr/>
        <w:t>led</w:t>
      </w:r>
      <w:r>
        <w:rPr>
          <w:spacing w:val="-14"/>
        </w:rPr>
        <w:t> </w:t>
      </w:r>
      <w:r>
        <w:rPr/>
        <w:t>by</w:t>
      </w:r>
      <w:r>
        <w:rPr>
          <w:spacing w:val="-14"/>
        </w:rPr>
        <w:t> </w:t>
      </w:r>
      <w:r>
        <w:rPr/>
        <w:t>Capital Works and Facilities, including the Science and Health</w:t>
      </w:r>
      <w:r>
        <w:rPr>
          <w:spacing w:val="-31"/>
        </w:rPr>
        <w:t> </w:t>
      </w:r>
      <w:r>
        <w:rPr/>
        <w:t>Building</w:t>
      </w:r>
    </w:p>
    <w:p>
      <w:pPr>
        <w:pStyle w:val="BodyText"/>
        <w:spacing w:line="247" w:lineRule="auto" w:before="57"/>
        <w:ind w:left="305" w:hanging="199"/>
      </w:pPr>
      <w:r>
        <w:rPr>
          <w:rFonts w:ascii="Century Gothic" w:hAnsi="Century Gothic"/>
          <w:b/>
          <w:w w:val="115"/>
        </w:rPr>
        <w:t>≥ </w:t>
      </w:r>
      <w:r>
        <w:rPr/>
        <w:t>Managed the handout of four different devices to all first year commencing students.</w:t>
      </w:r>
    </w:p>
    <w:p>
      <w:pPr>
        <w:pStyle w:val="BodyText"/>
        <w:spacing w:before="4"/>
        <w:rPr>
          <w:sz w:val="19"/>
        </w:rPr>
      </w:pPr>
    </w:p>
    <w:p>
      <w:pPr>
        <w:pStyle w:val="Heading7"/>
        <w:spacing w:before="1"/>
        <w:ind w:right="0"/>
      </w:pPr>
      <w:r>
        <w:rPr/>
        <w:t>THE OFFICE OF FINANCE</w:t>
      </w:r>
    </w:p>
    <w:p>
      <w:pPr>
        <w:pStyle w:val="BodyText"/>
        <w:spacing w:line="249" w:lineRule="auto" w:before="58"/>
        <w:ind w:left="107" w:right="276"/>
      </w:pPr>
      <w:r>
        <w:rPr/>
        <w:t>The objective of the Financial Operations portfolio</w:t>
      </w:r>
      <w:r>
        <w:rPr>
          <w:spacing w:val="-18"/>
        </w:rPr>
        <w:t> </w:t>
      </w:r>
      <w:r>
        <w:rPr/>
        <w:t>is</w:t>
      </w:r>
      <w:r>
        <w:rPr>
          <w:spacing w:val="-18"/>
        </w:rPr>
        <w:t> </w:t>
      </w:r>
      <w:r>
        <w:rPr/>
        <w:t>to</w:t>
      </w:r>
      <w:r>
        <w:rPr>
          <w:spacing w:val="-18"/>
        </w:rPr>
        <w:t> </w:t>
      </w:r>
      <w:r>
        <w:rPr/>
        <w:t>provide</w:t>
      </w:r>
      <w:r>
        <w:rPr>
          <w:spacing w:val="-18"/>
        </w:rPr>
        <w:t> </w:t>
      </w:r>
      <w:r>
        <w:rPr/>
        <w:t>accurate,</w:t>
      </w:r>
      <w:r>
        <w:rPr>
          <w:spacing w:val="-18"/>
        </w:rPr>
        <w:t> </w:t>
      </w:r>
      <w:r>
        <w:rPr/>
        <w:t>efficient</w:t>
      </w:r>
      <w:r>
        <w:rPr>
          <w:spacing w:val="-6"/>
        </w:rPr>
        <w:t> </w:t>
      </w:r>
      <w:r>
        <w:rPr/>
        <w:t>and relevant financial information, services, processes,</w:t>
      </w:r>
      <w:r>
        <w:rPr>
          <w:spacing w:val="-18"/>
        </w:rPr>
        <w:t> </w:t>
      </w:r>
      <w:r>
        <w:rPr/>
        <w:t>support</w:t>
      </w:r>
      <w:r>
        <w:rPr>
          <w:spacing w:val="-18"/>
        </w:rPr>
        <w:t> </w:t>
      </w:r>
      <w:r>
        <w:rPr/>
        <w:t>and</w:t>
      </w:r>
      <w:r>
        <w:rPr>
          <w:spacing w:val="-18"/>
        </w:rPr>
        <w:t> </w:t>
      </w:r>
      <w:r>
        <w:rPr/>
        <w:t>advice</w:t>
      </w:r>
      <w:r>
        <w:rPr>
          <w:spacing w:val="-18"/>
        </w:rPr>
        <w:t> </w:t>
      </w:r>
      <w:r>
        <w:rPr/>
        <w:t>to</w:t>
      </w:r>
      <w:r>
        <w:rPr>
          <w:spacing w:val="-18"/>
        </w:rPr>
        <w:t> </w:t>
      </w:r>
      <w:r>
        <w:rPr/>
        <w:t>enable</w:t>
      </w:r>
      <w:r>
        <w:rPr>
          <w:spacing w:val="-18"/>
        </w:rPr>
        <w:t> </w:t>
      </w:r>
      <w:r>
        <w:rPr/>
        <w:t>the University</w:t>
      </w:r>
      <w:r>
        <w:rPr>
          <w:spacing w:val="-23"/>
        </w:rPr>
        <w:t> </w:t>
      </w:r>
      <w:r>
        <w:rPr/>
        <w:t>to</w:t>
      </w:r>
      <w:r>
        <w:rPr>
          <w:spacing w:val="-23"/>
        </w:rPr>
        <w:t> </w:t>
      </w:r>
      <w:r>
        <w:rPr/>
        <w:t>achieve</w:t>
      </w:r>
      <w:r>
        <w:rPr>
          <w:spacing w:val="-23"/>
        </w:rPr>
        <w:t> </w:t>
      </w:r>
      <w:r>
        <w:rPr/>
        <w:t>its</w:t>
      </w:r>
      <w:r>
        <w:rPr>
          <w:spacing w:val="-23"/>
        </w:rPr>
        <w:t> </w:t>
      </w:r>
      <w:r>
        <w:rPr/>
        <w:t>vision.</w:t>
      </w:r>
      <w:r>
        <w:rPr>
          <w:spacing w:val="-23"/>
        </w:rPr>
        <w:t> </w:t>
      </w:r>
      <w:r>
        <w:rPr/>
        <w:t>This</w:t>
      </w:r>
      <w:r>
        <w:rPr>
          <w:spacing w:val="-23"/>
        </w:rPr>
        <w:t> </w:t>
      </w:r>
      <w:r>
        <w:rPr/>
        <w:t>requires the continued development of financial capabilities and increased engagement to achieve</w:t>
      </w:r>
      <w:r>
        <w:rPr>
          <w:spacing w:val="-22"/>
        </w:rPr>
        <w:t> </w:t>
      </w:r>
      <w:r>
        <w:rPr/>
        <w:t>the</w:t>
      </w:r>
      <w:r>
        <w:rPr>
          <w:spacing w:val="-22"/>
        </w:rPr>
        <w:t> </w:t>
      </w:r>
      <w:r>
        <w:rPr/>
        <w:t>level</w:t>
      </w:r>
      <w:r>
        <w:rPr>
          <w:spacing w:val="-22"/>
        </w:rPr>
        <w:t> </w:t>
      </w:r>
      <w:r>
        <w:rPr/>
        <w:t>of</w:t>
      </w:r>
      <w:r>
        <w:rPr>
          <w:spacing w:val="-22"/>
        </w:rPr>
        <w:t> </w:t>
      </w:r>
      <w:r>
        <w:rPr/>
        <w:t>business</w:t>
      </w:r>
      <w:r>
        <w:rPr>
          <w:spacing w:val="-22"/>
        </w:rPr>
        <w:t> </w:t>
      </w:r>
      <w:r>
        <w:rPr/>
        <w:t>partnering</w:t>
      </w:r>
    </w:p>
    <w:p>
      <w:pPr>
        <w:pStyle w:val="BodyText"/>
        <w:spacing w:line="249" w:lineRule="auto"/>
        <w:ind w:left="107" w:right="27"/>
      </w:pPr>
      <w:r>
        <w:rPr/>
        <w:t>required</w:t>
      </w:r>
      <w:r>
        <w:rPr>
          <w:spacing w:val="-23"/>
        </w:rPr>
        <w:t> </w:t>
      </w:r>
      <w:r>
        <w:rPr/>
        <w:t>to</w:t>
      </w:r>
      <w:r>
        <w:rPr>
          <w:spacing w:val="-23"/>
        </w:rPr>
        <w:t> </w:t>
      </w:r>
      <w:r>
        <w:rPr/>
        <w:t>ensure</w:t>
      </w:r>
      <w:r>
        <w:rPr>
          <w:spacing w:val="-23"/>
        </w:rPr>
        <w:t> </w:t>
      </w:r>
      <w:r>
        <w:rPr/>
        <w:t>such</w:t>
      </w:r>
      <w:r>
        <w:rPr>
          <w:spacing w:val="-23"/>
        </w:rPr>
        <w:t> </w:t>
      </w:r>
      <w:r>
        <w:rPr/>
        <w:t>success.</w:t>
      </w:r>
      <w:r>
        <w:rPr>
          <w:spacing w:val="-23"/>
        </w:rPr>
        <w:t> </w:t>
      </w:r>
      <w:r>
        <w:rPr/>
        <w:t>Underpinning all financial initiatives is the priority of strengthening</w:t>
      </w:r>
      <w:r>
        <w:rPr>
          <w:spacing w:val="-23"/>
        </w:rPr>
        <w:t> </w:t>
      </w:r>
      <w:r>
        <w:rPr/>
        <w:t>the</w:t>
      </w:r>
      <w:r>
        <w:rPr>
          <w:spacing w:val="-23"/>
        </w:rPr>
        <w:t> </w:t>
      </w:r>
      <w:r>
        <w:rPr/>
        <w:t>financial</w:t>
      </w:r>
      <w:r>
        <w:rPr>
          <w:spacing w:val="-23"/>
        </w:rPr>
        <w:t> </w:t>
      </w:r>
      <w:r>
        <w:rPr/>
        <w:t>sustainability</w:t>
      </w:r>
      <w:r>
        <w:rPr>
          <w:spacing w:val="-23"/>
        </w:rPr>
        <w:t> </w:t>
      </w:r>
      <w:r>
        <w:rPr/>
        <w:t>of</w:t>
      </w:r>
      <w:r>
        <w:rPr>
          <w:spacing w:val="-23"/>
        </w:rPr>
        <w:t> </w:t>
      </w:r>
      <w:r>
        <w:rPr/>
        <w:t>the University</w:t>
      </w:r>
      <w:r>
        <w:rPr>
          <w:spacing w:val="-15"/>
        </w:rPr>
        <w:t> </w:t>
      </w:r>
      <w:r>
        <w:rPr/>
        <w:t>and</w:t>
      </w:r>
      <w:r>
        <w:rPr>
          <w:spacing w:val="-15"/>
        </w:rPr>
        <w:t> </w:t>
      </w:r>
      <w:r>
        <w:rPr/>
        <w:t>its</w:t>
      </w:r>
      <w:r>
        <w:rPr>
          <w:spacing w:val="-15"/>
        </w:rPr>
        <w:t> </w:t>
      </w:r>
      <w:r>
        <w:rPr/>
        <w:t>ability</w:t>
      </w:r>
      <w:r>
        <w:rPr>
          <w:spacing w:val="-15"/>
        </w:rPr>
        <w:t> </w:t>
      </w:r>
      <w:r>
        <w:rPr/>
        <w:t>to</w:t>
      </w:r>
      <w:r>
        <w:rPr>
          <w:spacing w:val="-15"/>
        </w:rPr>
        <w:t> </w:t>
      </w:r>
      <w:r>
        <w:rPr/>
        <w:t>be</w:t>
      </w:r>
      <w:r>
        <w:rPr>
          <w:spacing w:val="-15"/>
        </w:rPr>
        <w:t> </w:t>
      </w:r>
      <w:r>
        <w:rPr/>
        <w:t>able</w:t>
      </w:r>
      <w:r>
        <w:rPr>
          <w:spacing w:val="-15"/>
        </w:rPr>
        <w:t> </w:t>
      </w:r>
      <w:r>
        <w:rPr/>
        <w:t>to</w:t>
      </w:r>
      <w:r>
        <w:rPr>
          <w:spacing w:val="-15"/>
        </w:rPr>
        <w:t> </w:t>
      </w:r>
      <w:r>
        <w:rPr/>
        <w:t>respond timely</w:t>
      </w:r>
      <w:r>
        <w:rPr>
          <w:spacing w:val="-24"/>
        </w:rPr>
        <w:t> </w:t>
      </w:r>
      <w:r>
        <w:rPr/>
        <w:t>to</w:t>
      </w:r>
      <w:r>
        <w:rPr>
          <w:spacing w:val="-24"/>
        </w:rPr>
        <w:t> </w:t>
      </w:r>
      <w:r>
        <w:rPr/>
        <w:t>changes</w:t>
      </w:r>
      <w:r>
        <w:rPr>
          <w:spacing w:val="-24"/>
        </w:rPr>
        <w:t> </w:t>
      </w:r>
      <w:r>
        <w:rPr/>
        <w:t>in</w:t>
      </w:r>
      <w:r>
        <w:rPr>
          <w:spacing w:val="-24"/>
        </w:rPr>
        <w:t> </w:t>
      </w:r>
      <w:r>
        <w:rPr/>
        <w:t>the</w:t>
      </w:r>
      <w:r>
        <w:rPr>
          <w:spacing w:val="-24"/>
        </w:rPr>
        <w:t> </w:t>
      </w:r>
      <w:r>
        <w:rPr/>
        <w:t>external</w:t>
      </w:r>
      <w:r>
        <w:rPr>
          <w:spacing w:val="-24"/>
        </w:rPr>
        <w:t> </w:t>
      </w:r>
      <w:r>
        <w:rPr/>
        <w:t>environment.</w:t>
      </w:r>
    </w:p>
    <w:p>
      <w:pPr>
        <w:pStyle w:val="BodyText"/>
        <w:spacing w:line="249" w:lineRule="auto" w:before="112"/>
        <w:ind w:left="107" w:right="111"/>
      </w:pPr>
      <w:r>
        <w:rPr/>
        <w:t>We therefore want to be known for being reliable, prudent, effective, creative, supportive and a valued business partner, who both </w:t>
      </w:r>
      <w:r>
        <w:rPr>
          <w:spacing w:val="2"/>
        </w:rPr>
        <w:t>supports </w:t>
      </w:r>
      <w:r>
        <w:rPr/>
        <w:t>and helps drive new thinking</w:t>
      </w:r>
      <w:r>
        <w:rPr>
          <w:spacing w:val="-17"/>
        </w:rPr>
        <w:t> </w:t>
      </w:r>
      <w:r>
        <w:rPr/>
        <w:t>and</w:t>
      </w:r>
      <w:r>
        <w:rPr>
          <w:spacing w:val="-17"/>
        </w:rPr>
        <w:t> </w:t>
      </w:r>
      <w:r>
        <w:rPr/>
        <w:t>behaviour</w:t>
      </w:r>
      <w:r>
        <w:rPr>
          <w:spacing w:val="-17"/>
        </w:rPr>
        <w:t> </w:t>
      </w:r>
      <w:r>
        <w:rPr/>
        <w:t>in</w:t>
      </w:r>
      <w:r>
        <w:rPr>
          <w:spacing w:val="-17"/>
        </w:rPr>
        <w:t> </w:t>
      </w:r>
      <w:r>
        <w:rPr/>
        <w:t>regard</w:t>
      </w:r>
      <w:r>
        <w:rPr>
          <w:spacing w:val="-17"/>
        </w:rPr>
        <w:t> </w:t>
      </w:r>
      <w:r>
        <w:rPr/>
        <w:t>to</w:t>
      </w:r>
      <w:r>
        <w:rPr>
          <w:spacing w:val="-17"/>
        </w:rPr>
        <w:t> </w:t>
      </w:r>
      <w:r>
        <w:rPr/>
        <w:t>financial functioning</w:t>
      </w:r>
      <w:r>
        <w:rPr>
          <w:spacing w:val="-19"/>
        </w:rPr>
        <w:t> </w:t>
      </w:r>
      <w:r>
        <w:rPr/>
        <w:t>in</w:t>
      </w:r>
      <w:r>
        <w:rPr>
          <w:spacing w:val="-19"/>
        </w:rPr>
        <w:t> </w:t>
      </w:r>
      <w:r>
        <w:rPr/>
        <w:t>our</w:t>
      </w:r>
      <w:r>
        <w:rPr>
          <w:spacing w:val="-19"/>
        </w:rPr>
        <w:t> </w:t>
      </w:r>
      <w:r>
        <w:rPr/>
        <w:t>clients.</w:t>
      </w:r>
    </w:p>
    <w:p>
      <w:pPr>
        <w:pStyle w:val="BodyText"/>
        <w:spacing w:line="249" w:lineRule="auto" w:before="112"/>
        <w:ind w:left="107" w:right="148"/>
      </w:pPr>
      <w:r>
        <w:rPr/>
        <w:t>The Financial Operations portfolio is a key support function for the successful operation of the University underpinning the allocation of financial resources.</w:t>
      </w:r>
    </w:p>
    <w:p>
      <w:pPr>
        <w:spacing w:after="0" w:line="249" w:lineRule="auto"/>
        <w:sectPr>
          <w:type w:val="continuous"/>
          <w:pgSz w:w="11910" w:h="16840"/>
          <w:pgMar w:top="1580" w:bottom="280" w:left="800" w:right="800"/>
          <w:cols w:num="3" w:equalWidth="0">
            <w:col w:w="3297" w:space="142"/>
            <w:col w:w="3299" w:space="140"/>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5"/>
        <w:rPr>
          <w:sz w:val="21"/>
        </w:rPr>
      </w:pPr>
    </w:p>
    <w:p>
      <w:pPr>
        <w:pStyle w:val="Heading5"/>
        <w:spacing w:line="260" w:lineRule="exact"/>
        <w:ind w:right="1110"/>
      </w:pPr>
      <w:bookmarkStart w:name="_TOC_250024" w:id="30"/>
      <w:bookmarkEnd w:id="30"/>
      <w:r>
        <w:rPr>
          <w:w w:val="95"/>
        </w:rPr>
        <w:t>CAPITAL WORKS AND FACILITIES</w:t>
      </w:r>
    </w:p>
    <w:p>
      <w:pPr>
        <w:pStyle w:val="BodyText"/>
        <w:spacing w:line="249" w:lineRule="auto" w:before="101"/>
        <w:ind w:left="107" w:right="286"/>
      </w:pPr>
      <w:r>
        <w:rPr/>
        <w:t>Capital</w:t>
      </w:r>
      <w:r>
        <w:rPr>
          <w:spacing w:val="-19"/>
        </w:rPr>
        <w:t> </w:t>
      </w:r>
      <w:r>
        <w:rPr/>
        <w:t>Works</w:t>
      </w:r>
      <w:r>
        <w:rPr>
          <w:spacing w:val="-19"/>
        </w:rPr>
        <w:t> </w:t>
      </w:r>
      <w:r>
        <w:rPr/>
        <w:t>and</w:t>
      </w:r>
      <w:r>
        <w:rPr>
          <w:spacing w:val="-19"/>
        </w:rPr>
        <w:t> </w:t>
      </w:r>
      <w:r>
        <w:rPr/>
        <w:t>Facilities</w:t>
      </w:r>
      <w:r>
        <w:rPr>
          <w:spacing w:val="-19"/>
        </w:rPr>
        <w:t> </w:t>
      </w:r>
      <w:r>
        <w:rPr/>
        <w:t>is</w:t>
      </w:r>
      <w:r>
        <w:rPr>
          <w:spacing w:val="-19"/>
        </w:rPr>
        <w:t> </w:t>
      </w:r>
      <w:r>
        <w:rPr/>
        <w:t>responsible for the construction of new buildings, refurbishment and/or adaptive reuse of existing</w:t>
      </w:r>
      <w:r>
        <w:rPr>
          <w:spacing w:val="-26"/>
        </w:rPr>
        <w:t> </w:t>
      </w:r>
      <w:r>
        <w:rPr/>
        <w:t>buildings,</w:t>
      </w:r>
      <w:r>
        <w:rPr>
          <w:spacing w:val="-26"/>
        </w:rPr>
        <w:t> </w:t>
      </w:r>
      <w:r>
        <w:rPr/>
        <w:t>infrastructure</w:t>
      </w:r>
      <w:r>
        <w:rPr>
          <w:spacing w:val="-26"/>
        </w:rPr>
        <w:t> </w:t>
      </w:r>
      <w:r>
        <w:rPr/>
        <w:t>upgrades and</w:t>
      </w:r>
      <w:r>
        <w:rPr>
          <w:spacing w:val="-23"/>
        </w:rPr>
        <w:t> </w:t>
      </w:r>
      <w:r>
        <w:rPr/>
        <w:t>maintenance,</w:t>
      </w:r>
      <w:r>
        <w:rPr>
          <w:spacing w:val="-23"/>
        </w:rPr>
        <w:t> </w:t>
      </w:r>
      <w:r>
        <w:rPr/>
        <w:t>as</w:t>
      </w:r>
      <w:r>
        <w:rPr>
          <w:spacing w:val="-23"/>
        </w:rPr>
        <w:t> </w:t>
      </w:r>
      <w:r>
        <w:rPr/>
        <w:t>well</w:t>
      </w:r>
      <w:r>
        <w:rPr>
          <w:spacing w:val="-23"/>
        </w:rPr>
        <w:t> </w:t>
      </w:r>
      <w:r>
        <w:rPr/>
        <w:t>as</w:t>
      </w:r>
      <w:r>
        <w:rPr>
          <w:spacing w:val="-23"/>
        </w:rPr>
        <w:t> </w:t>
      </w:r>
      <w:r>
        <w:rPr/>
        <w:t>presentation of</w:t>
      </w:r>
      <w:r>
        <w:rPr>
          <w:spacing w:val="-16"/>
        </w:rPr>
        <w:t> </w:t>
      </w:r>
      <w:r>
        <w:rPr/>
        <w:t>almost</w:t>
      </w:r>
      <w:r>
        <w:rPr>
          <w:spacing w:val="-16"/>
        </w:rPr>
        <w:t> </w:t>
      </w:r>
      <w:r>
        <w:rPr/>
        <w:t>2,000</w:t>
      </w:r>
      <w:r>
        <w:rPr>
          <w:spacing w:val="-16"/>
        </w:rPr>
        <w:t> </w:t>
      </w:r>
      <w:r>
        <w:rPr/>
        <w:t>hectares</w:t>
      </w:r>
      <w:r>
        <w:rPr>
          <w:spacing w:val="-16"/>
        </w:rPr>
        <w:t> </w:t>
      </w:r>
      <w:r>
        <w:rPr/>
        <w:t>of</w:t>
      </w:r>
      <w:r>
        <w:rPr>
          <w:spacing w:val="-16"/>
        </w:rPr>
        <w:t> </w:t>
      </w:r>
      <w:r>
        <w:rPr/>
        <w:t>landscape</w:t>
      </w:r>
      <w:r>
        <w:rPr>
          <w:spacing w:val="-16"/>
        </w:rPr>
        <w:t> </w:t>
      </w:r>
      <w:r>
        <w:rPr/>
        <w:t>and the</w:t>
      </w:r>
      <w:r>
        <w:rPr>
          <w:spacing w:val="-22"/>
        </w:rPr>
        <w:t> </w:t>
      </w:r>
      <w:r>
        <w:rPr/>
        <w:t>maintenance</w:t>
      </w:r>
      <w:r>
        <w:rPr>
          <w:spacing w:val="-22"/>
        </w:rPr>
        <w:t> </w:t>
      </w:r>
      <w:r>
        <w:rPr/>
        <w:t>and</w:t>
      </w:r>
      <w:r>
        <w:rPr>
          <w:spacing w:val="-22"/>
        </w:rPr>
        <w:t> </w:t>
      </w:r>
      <w:r>
        <w:rPr/>
        <w:t>cleaning</w:t>
      </w:r>
      <w:r>
        <w:rPr>
          <w:spacing w:val="-22"/>
        </w:rPr>
        <w:t> </w:t>
      </w:r>
      <w:r>
        <w:rPr/>
        <w:t>of</w:t>
      </w:r>
      <w:r>
        <w:rPr>
          <w:spacing w:val="-22"/>
        </w:rPr>
        <w:t> </w:t>
      </w:r>
      <w:r>
        <w:rPr/>
        <w:t>over</w:t>
      </w:r>
      <w:r>
        <w:rPr>
          <w:spacing w:val="-22"/>
        </w:rPr>
        <w:t> </w:t>
      </w:r>
      <w:r>
        <w:rPr/>
        <w:t>550</w:t>
      </w:r>
    </w:p>
    <w:p>
      <w:pPr>
        <w:pStyle w:val="BodyText"/>
        <w:spacing w:line="249" w:lineRule="auto"/>
        <w:ind w:left="107" w:right="-6"/>
      </w:pPr>
      <w:r>
        <w:rPr/>
        <w:t>buildings</w:t>
      </w:r>
      <w:r>
        <w:rPr>
          <w:spacing w:val="-22"/>
        </w:rPr>
        <w:t> </w:t>
      </w:r>
      <w:r>
        <w:rPr/>
        <w:t>across</w:t>
      </w:r>
      <w:r>
        <w:rPr>
          <w:spacing w:val="-22"/>
        </w:rPr>
        <w:t> </w:t>
      </w:r>
      <w:r>
        <w:rPr/>
        <w:t>6</w:t>
      </w:r>
      <w:r>
        <w:rPr>
          <w:spacing w:val="-22"/>
        </w:rPr>
        <w:t> </w:t>
      </w:r>
      <w:r>
        <w:rPr/>
        <w:t>campuses</w:t>
      </w:r>
      <w:r>
        <w:rPr>
          <w:spacing w:val="-22"/>
        </w:rPr>
        <w:t> </w:t>
      </w:r>
      <w:r>
        <w:rPr/>
        <w:t>and</w:t>
      </w:r>
      <w:r>
        <w:rPr>
          <w:spacing w:val="-22"/>
        </w:rPr>
        <w:t> </w:t>
      </w:r>
      <w:r>
        <w:rPr/>
        <w:t>external</w:t>
      </w:r>
      <w:r>
        <w:rPr>
          <w:spacing w:val="-22"/>
        </w:rPr>
        <w:t> </w:t>
      </w:r>
      <w:r>
        <w:rPr/>
        <w:t>sites (e.g.</w:t>
      </w:r>
      <w:r>
        <w:rPr>
          <w:spacing w:val="-29"/>
        </w:rPr>
        <w:t> </w:t>
      </w:r>
      <w:r>
        <w:rPr/>
        <w:t>Blacktown</w:t>
      </w:r>
      <w:r>
        <w:rPr>
          <w:spacing w:val="-29"/>
        </w:rPr>
        <w:t> </w:t>
      </w:r>
      <w:r>
        <w:rPr/>
        <w:t>and</w:t>
      </w:r>
      <w:r>
        <w:rPr>
          <w:spacing w:val="-29"/>
        </w:rPr>
        <w:t> </w:t>
      </w:r>
      <w:r>
        <w:rPr/>
        <w:t>Macarthur</w:t>
      </w:r>
      <w:r>
        <w:rPr>
          <w:spacing w:val="-29"/>
        </w:rPr>
        <w:t> </w:t>
      </w:r>
      <w:r>
        <w:rPr/>
        <w:t>Clinical</w:t>
      </w:r>
      <w:r>
        <w:rPr>
          <w:spacing w:val="-29"/>
        </w:rPr>
        <w:t> </w:t>
      </w:r>
      <w:r>
        <w:rPr/>
        <w:t>Schools, </w:t>
      </w:r>
      <w:r>
        <w:rPr>
          <w:spacing w:val="2"/>
          <w:w w:val="92"/>
        </w:rPr>
        <w:t>100</w:t>
      </w:r>
      <w:r>
        <w:rPr>
          <w:w w:val="92"/>
        </w:rPr>
        <w:t> </w:t>
      </w:r>
      <w:r>
        <w:rPr>
          <w:w w:val="98"/>
        </w:rPr>
        <w:t>George </w:t>
      </w:r>
      <w:r>
        <w:rPr>
          <w:spacing w:val="-1"/>
          <w:w w:val="94"/>
        </w:rPr>
        <w:t>Street,</w:t>
      </w:r>
      <w:r>
        <w:rPr>
          <w:w w:val="94"/>
        </w:rPr>
        <w:t> </w:t>
      </w:r>
      <w:r>
        <w:rPr>
          <w:w w:val="99"/>
        </w:rPr>
        <w:t>Olympic </w:t>
      </w:r>
      <w:r>
        <w:rPr>
          <w:spacing w:val="1"/>
          <w:w w:val="91"/>
        </w:rPr>
        <w:t>Park,</w:t>
      </w:r>
      <w:r>
        <w:rPr>
          <w:w w:val="91"/>
        </w:rPr>
        <w:t> </w:t>
      </w:r>
      <w:r>
        <w:rPr>
          <w:w w:val="96"/>
        </w:rPr>
        <w:t>Liverpool, </w:t>
      </w:r>
      <w:r>
        <w:rPr/>
        <w:t>and Rural Clinical Schools at Bathurst and Lismore). CW&amp;F also provides services for logistics</w:t>
      </w:r>
      <w:r>
        <w:rPr>
          <w:spacing w:val="-30"/>
        </w:rPr>
        <w:t> </w:t>
      </w:r>
      <w:r>
        <w:rPr/>
        <w:t>(mail</w:t>
      </w:r>
      <w:r>
        <w:rPr>
          <w:spacing w:val="-30"/>
        </w:rPr>
        <w:t> </w:t>
      </w:r>
      <w:r>
        <w:rPr/>
        <w:t>and</w:t>
      </w:r>
      <w:r>
        <w:rPr>
          <w:spacing w:val="-30"/>
        </w:rPr>
        <w:t> </w:t>
      </w:r>
      <w:r>
        <w:rPr/>
        <w:t>stores),</w:t>
      </w:r>
      <w:r>
        <w:rPr>
          <w:spacing w:val="-30"/>
        </w:rPr>
        <w:t> </w:t>
      </w:r>
      <w:r>
        <w:rPr/>
        <w:t>furniture</w:t>
      </w:r>
      <w:r>
        <w:rPr>
          <w:spacing w:val="-30"/>
        </w:rPr>
        <w:t> </w:t>
      </w:r>
      <w:r>
        <w:rPr/>
        <w:t>supply</w:t>
      </w:r>
    </w:p>
    <w:p>
      <w:pPr>
        <w:pStyle w:val="BodyText"/>
        <w:spacing w:line="249" w:lineRule="auto"/>
        <w:ind w:left="107" w:right="29"/>
      </w:pPr>
      <w:r>
        <w:rPr/>
        <w:t>and installation, space management, project planning,</w:t>
      </w:r>
      <w:r>
        <w:rPr>
          <w:spacing w:val="-28"/>
        </w:rPr>
        <w:t> </w:t>
      </w:r>
      <w:r>
        <w:rPr/>
        <w:t>spatial</w:t>
      </w:r>
      <w:r>
        <w:rPr>
          <w:spacing w:val="-28"/>
        </w:rPr>
        <w:t> </w:t>
      </w:r>
      <w:r>
        <w:rPr/>
        <w:t>data,</w:t>
      </w:r>
      <w:r>
        <w:rPr>
          <w:spacing w:val="-28"/>
        </w:rPr>
        <w:t> </w:t>
      </w:r>
      <w:r>
        <w:rPr/>
        <w:t>signage,</w:t>
      </w:r>
      <w:r>
        <w:rPr>
          <w:spacing w:val="-28"/>
        </w:rPr>
        <w:t> </w:t>
      </w:r>
      <w:r>
        <w:rPr/>
        <w:t>and</w:t>
      </w:r>
      <w:r>
        <w:rPr>
          <w:spacing w:val="-28"/>
        </w:rPr>
        <w:t> </w:t>
      </w:r>
      <w:r>
        <w:rPr/>
        <w:t>removals, relocations and event setups. CW&amp;F are also responsible for the Hawkesbury farm and associated</w:t>
      </w:r>
      <w:r>
        <w:rPr>
          <w:spacing w:val="-22"/>
        </w:rPr>
        <w:t> </w:t>
      </w:r>
      <w:r>
        <w:rPr/>
        <w:t>resources.</w:t>
      </w:r>
      <w:r>
        <w:rPr>
          <w:spacing w:val="-22"/>
        </w:rPr>
        <w:t> </w:t>
      </w:r>
      <w:r>
        <w:rPr/>
        <w:t>CW&amp;F</w:t>
      </w:r>
      <w:r>
        <w:rPr>
          <w:spacing w:val="-22"/>
        </w:rPr>
        <w:t> </w:t>
      </w:r>
      <w:r>
        <w:rPr/>
        <w:t>is</w:t>
      </w:r>
      <w:r>
        <w:rPr>
          <w:spacing w:val="-22"/>
        </w:rPr>
        <w:t> </w:t>
      </w:r>
      <w:r>
        <w:rPr/>
        <w:t>also</w:t>
      </w:r>
      <w:r>
        <w:rPr>
          <w:spacing w:val="-22"/>
        </w:rPr>
        <w:t> </w:t>
      </w:r>
      <w:r>
        <w:rPr/>
        <w:t>committed to</w:t>
      </w:r>
      <w:r>
        <w:rPr>
          <w:spacing w:val="-19"/>
        </w:rPr>
        <w:t> </w:t>
      </w:r>
      <w:r>
        <w:rPr/>
        <w:t>providing</w:t>
      </w:r>
      <w:r>
        <w:rPr>
          <w:spacing w:val="-19"/>
        </w:rPr>
        <w:t> </w:t>
      </w:r>
      <w:r>
        <w:rPr/>
        <w:t>professional</w:t>
      </w:r>
      <w:r>
        <w:rPr>
          <w:spacing w:val="-19"/>
        </w:rPr>
        <w:t> </w:t>
      </w:r>
      <w:r>
        <w:rPr/>
        <w:t>and</w:t>
      </w:r>
      <w:r>
        <w:rPr>
          <w:spacing w:val="-19"/>
        </w:rPr>
        <w:t> </w:t>
      </w:r>
      <w:r>
        <w:rPr/>
        <w:t>project</w:t>
      </w:r>
      <w:r>
        <w:rPr>
          <w:spacing w:val="-19"/>
        </w:rPr>
        <w:t> </w:t>
      </w:r>
      <w:r>
        <w:rPr/>
        <w:t>delivery support to the Office of Commercial and Estate</w:t>
      </w:r>
      <w:r>
        <w:rPr>
          <w:spacing w:val="-36"/>
        </w:rPr>
        <w:t> </w:t>
      </w:r>
      <w:r>
        <w:rPr/>
        <w:t>Planning’s</w:t>
      </w:r>
      <w:r>
        <w:rPr>
          <w:spacing w:val="-36"/>
        </w:rPr>
        <w:t> </w:t>
      </w:r>
      <w:r>
        <w:rPr/>
        <w:t>commercial</w:t>
      </w:r>
      <w:r>
        <w:rPr>
          <w:spacing w:val="-36"/>
        </w:rPr>
        <w:t> </w:t>
      </w:r>
      <w:r>
        <w:rPr/>
        <w:t>ventures.</w:t>
      </w:r>
    </w:p>
    <w:p>
      <w:pPr>
        <w:pStyle w:val="BodyText"/>
        <w:spacing w:before="6"/>
        <w:rPr>
          <w:sz w:val="14"/>
        </w:rPr>
      </w:pPr>
    </w:p>
    <w:p>
      <w:pPr>
        <w:pStyle w:val="Heading7"/>
      </w:pPr>
      <w:r>
        <w:rPr>
          <w:color w:val="615C58"/>
          <w:w w:val="95"/>
        </w:rPr>
        <w:t>2016 Capital Projects in Review</w:t>
      </w:r>
    </w:p>
    <w:p>
      <w:pPr>
        <w:pStyle w:val="BodyText"/>
        <w:spacing w:line="244" w:lineRule="auto" w:before="85"/>
        <w:ind w:left="305" w:right="545" w:hanging="199"/>
      </w:pPr>
      <w:r>
        <w:rPr>
          <w:rFonts w:ascii="Century Gothic" w:hAnsi="Century Gothic"/>
          <w:b/>
          <w:w w:val="115"/>
        </w:rPr>
        <w:t>≥</w:t>
      </w:r>
      <w:r>
        <w:rPr>
          <w:rFonts w:ascii="Century Gothic" w:hAnsi="Century Gothic"/>
          <w:b/>
          <w:spacing w:val="-9"/>
          <w:w w:val="115"/>
        </w:rPr>
        <w:t> </w:t>
      </w:r>
      <w:r>
        <w:rPr>
          <w:w w:val="105"/>
        </w:rPr>
        <w:t>Delivered</w:t>
      </w:r>
      <w:r>
        <w:rPr>
          <w:spacing w:val="-30"/>
          <w:w w:val="105"/>
        </w:rPr>
        <w:t> </w:t>
      </w:r>
      <w:r>
        <w:rPr>
          <w:w w:val="105"/>
        </w:rPr>
        <w:t>a</w:t>
      </w:r>
      <w:r>
        <w:rPr>
          <w:spacing w:val="-30"/>
          <w:w w:val="105"/>
        </w:rPr>
        <w:t> </w:t>
      </w:r>
      <w:r>
        <w:rPr>
          <w:w w:val="105"/>
        </w:rPr>
        <w:t>new</w:t>
      </w:r>
      <w:r>
        <w:rPr>
          <w:spacing w:val="-30"/>
          <w:w w:val="105"/>
        </w:rPr>
        <w:t> </w:t>
      </w:r>
      <w:r>
        <w:rPr>
          <w:w w:val="105"/>
        </w:rPr>
        <w:t>science</w:t>
      </w:r>
      <w:r>
        <w:rPr>
          <w:spacing w:val="-30"/>
          <w:w w:val="105"/>
        </w:rPr>
        <w:t> </w:t>
      </w:r>
      <w:r>
        <w:rPr>
          <w:w w:val="105"/>
        </w:rPr>
        <w:t>building</w:t>
      </w:r>
      <w:r>
        <w:rPr>
          <w:spacing w:val="-30"/>
          <w:w w:val="105"/>
        </w:rPr>
        <w:t> </w:t>
      </w:r>
      <w:r>
        <w:rPr>
          <w:w w:val="105"/>
        </w:rPr>
        <w:t>on </w:t>
      </w:r>
      <w:r>
        <w:rPr/>
        <w:t>Parramatta</w:t>
      </w:r>
      <w:r>
        <w:rPr>
          <w:spacing w:val="-23"/>
        </w:rPr>
        <w:t> </w:t>
      </w:r>
      <w:r>
        <w:rPr/>
        <w:t>(south)</w:t>
      </w:r>
      <w:r>
        <w:rPr>
          <w:spacing w:val="-23"/>
        </w:rPr>
        <w:t> </w:t>
      </w:r>
      <w:r>
        <w:rPr/>
        <w:t>campus</w:t>
      </w:r>
    </w:p>
    <w:p>
      <w:pPr>
        <w:pStyle w:val="BodyText"/>
        <w:spacing w:line="247" w:lineRule="auto" w:before="58"/>
        <w:ind w:left="305" w:right="-2" w:hanging="199"/>
      </w:pPr>
      <w:r>
        <w:rPr>
          <w:rFonts w:ascii="Century Gothic" w:hAnsi="Century Gothic"/>
          <w:b/>
          <w:w w:val="115"/>
        </w:rPr>
        <w:t>≥ </w:t>
      </w:r>
      <w:r>
        <w:rPr/>
        <w:t>Adaptively reused buildings C and F to create new music precinct on Penrith (Kingswood) campus</w:t>
      </w:r>
    </w:p>
    <w:p>
      <w:pPr>
        <w:pStyle w:val="BodyText"/>
        <w:spacing w:line="244" w:lineRule="auto" w:before="57"/>
        <w:ind w:left="305" w:right="400" w:hanging="199"/>
      </w:pPr>
      <w:r>
        <w:rPr>
          <w:rFonts w:ascii="Century Gothic" w:hAnsi="Century Gothic"/>
          <w:b/>
          <w:w w:val="115"/>
        </w:rPr>
        <w:t>≥</w:t>
      </w:r>
      <w:r>
        <w:rPr>
          <w:rFonts w:ascii="Century Gothic" w:hAnsi="Century Gothic"/>
          <w:b/>
          <w:spacing w:val="-13"/>
          <w:w w:val="115"/>
        </w:rPr>
        <w:t> </w:t>
      </w:r>
      <w:r>
        <w:rPr>
          <w:w w:val="105"/>
        </w:rPr>
        <w:t>Completed</w:t>
      </w:r>
      <w:r>
        <w:rPr>
          <w:spacing w:val="-32"/>
          <w:w w:val="105"/>
        </w:rPr>
        <w:t> </w:t>
      </w:r>
      <w:r>
        <w:rPr>
          <w:w w:val="105"/>
        </w:rPr>
        <w:t>Westmead</w:t>
      </w:r>
      <w:r>
        <w:rPr>
          <w:spacing w:val="-32"/>
          <w:w w:val="105"/>
        </w:rPr>
        <w:t> </w:t>
      </w:r>
      <w:r>
        <w:rPr>
          <w:w w:val="105"/>
        </w:rPr>
        <w:t>campus</w:t>
      </w:r>
      <w:r>
        <w:rPr>
          <w:spacing w:val="-32"/>
          <w:w w:val="105"/>
        </w:rPr>
        <w:t> </w:t>
      </w:r>
      <w:r>
        <w:rPr>
          <w:w w:val="105"/>
        </w:rPr>
        <w:t>estate </w:t>
      </w:r>
      <w:r>
        <w:rPr/>
        <w:t>major</w:t>
      </w:r>
      <w:r>
        <w:rPr>
          <w:spacing w:val="-26"/>
        </w:rPr>
        <w:t> </w:t>
      </w:r>
      <w:r>
        <w:rPr/>
        <w:t>works</w:t>
      </w:r>
    </w:p>
    <w:p>
      <w:pPr>
        <w:pStyle w:val="BodyText"/>
        <w:spacing w:line="247" w:lineRule="auto" w:before="58"/>
        <w:ind w:left="305" w:right="-2" w:hanging="199"/>
      </w:pPr>
      <w:r>
        <w:rPr>
          <w:rFonts w:ascii="Century Gothic" w:hAnsi="Century Gothic"/>
          <w:b/>
          <w:w w:val="115"/>
        </w:rPr>
        <w:t>≥ </w:t>
      </w:r>
      <w:r>
        <w:rPr/>
        <w:t>Refurbished building ES for the Office of Director Western Sydney International, Parramatta (south) campus</w:t>
      </w:r>
    </w:p>
    <w:p>
      <w:pPr>
        <w:pStyle w:val="BodyText"/>
        <w:spacing w:line="247" w:lineRule="auto" w:before="57"/>
        <w:ind w:left="305" w:right="221" w:hanging="199"/>
        <w:jc w:val="both"/>
      </w:pPr>
      <w:r>
        <w:rPr>
          <w:rFonts w:ascii="Century Gothic" w:hAnsi="Century Gothic"/>
          <w:b/>
          <w:w w:val="115"/>
        </w:rPr>
        <w:t>≥ </w:t>
      </w:r>
      <w:r>
        <w:rPr/>
        <w:t>Completed continuous strategic analysis in</w:t>
      </w:r>
      <w:r>
        <w:rPr>
          <w:spacing w:val="-21"/>
        </w:rPr>
        <w:t> </w:t>
      </w:r>
      <w:r>
        <w:rPr/>
        <w:t>the</w:t>
      </w:r>
      <w:r>
        <w:rPr>
          <w:spacing w:val="-21"/>
        </w:rPr>
        <w:t> </w:t>
      </w:r>
      <w:r>
        <w:rPr/>
        <w:t>management</w:t>
      </w:r>
      <w:r>
        <w:rPr>
          <w:spacing w:val="-21"/>
        </w:rPr>
        <w:t> </w:t>
      </w:r>
      <w:r>
        <w:rPr/>
        <w:t>of</w:t>
      </w:r>
      <w:r>
        <w:rPr>
          <w:spacing w:val="-21"/>
        </w:rPr>
        <w:t> </w:t>
      </w:r>
      <w:r>
        <w:rPr>
          <w:spacing w:val="2"/>
        </w:rPr>
        <w:t>assets,</w:t>
      </w:r>
      <w:r>
        <w:rPr>
          <w:spacing w:val="-21"/>
        </w:rPr>
        <w:t> </w:t>
      </w:r>
      <w:r>
        <w:rPr/>
        <w:t>delivering improved</w:t>
      </w:r>
      <w:r>
        <w:rPr>
          <w:spacing w:val="-11"/>
        </w:rPr>
        <w:t> </w:t>
      </w:r>
      <w:r>
        <w:rPr/>
        <w:t>capability</w:t>
      </w:r>
      <w:r>
        <w:rPr>
          <w:spacing w:val="-11"/>
        </w:rPr>
        <w:t> </w:t>
      </w:r>
      <w:r>
        <w:rPr/>
        <w:t>and</w:t>
      </w:r>
      <w:r>
        <w:rPr>
          <w:spacing w:val="-11"/>
        </w:rPr>
        <w:t> </w:t>
      </w:r>
      <w:r>
        <w:rPr/>
        <w:t>performance</w:t>
      </w:r>
      <w:r>
        <w:rPr>
          <w:spacing w:val="-11"/>
        </w:rPr>
        <w:t> </w:t>
      </w:r>
      <w:r>
        <w:rPr/>
        <w:t>of assets</w:t>
      </w:r>
    </w:p>
    <w:p>
      <w:pPr>
        <w:pStyle w:val="BodyText"/>
        <w:spacing w:line="244" w:lineRule="auto" w:before="57"/>
        <w:ind w:left="305" w:right="252" w:hanging="199"/>
      </w:pPr>
      <w:r>
        <w:rPr>
          <w:rFonts w:ascii="Century Gothic" w:hAnsi="Century Gothic"/>
          <w:b/>
          <w:w w:val="115"/>
        </w:rPr>
        <w:t>≥ </w:t>
      </w:r>
      <w:r>
        <w:rPr>
          <w:w w:val="105"/>
        </w:rPr>
        <w:t>Delivered signage in support of the </w:t>
      </w:r>
      <w:r>
        <w:rPr/>
        <w:t>University rebrand across all campuses</w:t>
      </w:r>
    </w:p>
    <w:p>
      <w:pPr>
        <w:pStyle w:val="BodyText"/>
        <w:spacing w:line="244" w:lineRule="auto" w:before="58"/>
        <w:ind w:left="305" w:right="-11" w:hanging="199"/>
      </w:pPr>
      <w:r>
        <w:rPr>
          <w:rFonts w:ascii="Century Gothic" w:hAnsi="Century Gothic"/>
          <w:b/>
          <w:w w:val="115"/>
        </w:rPr>
        <w:t>≥ </w:t>
      </w:r>
      <w:r>
        <w:rPr/>
        <w:t>Improved flow through Parramatta (south) campus to mitigate flooding of P1 car park</w:t>
      </w:r>
    </w:p>
    <w:p>
      <w:pPr>
        <w:pStyle w:val="BodyText"/>
        <w:spacing w:line="244" w:lineRule="auto" w:before="58"/>
        <w:ind w:left="305" w:right="443" w:hanging="199"/>
      </w:pPr>
      <w:r>
        <w:rPr>
          <w:rFonts w:ascii="Century Gothic" w:hAnsi="Century Gothic"/>
          <w:b/>
          <w:w w:val="115"/>
        </w:rPr>
        <w:t>≥</w:t>
      </w:r>
      <w:r>
        <w:rPr>
          <w:rFonts w:ascii="Century Gothic" w:hAnsi="Century Gothic"/>
          <w:b/>
          <w:spacing w:val="-5"/>
          <w:w w:val="115"/>
        </w:rPr>
        <w:t> </w:t>
      </w:r>
      <w:r>
        <w:rPr>
          <w:w w:val="105"/>
        </w:rPr>
        <w:t>Reducted</w:t>
      </w:r>
      <w:r>
        <w:rPr>
          <w:spacing w:val="-28"/>
          <w:w w:val="105"/>
        </w:rPr>
        <w:t> </w:t>
      </w:r>
      <w:r>
        <w:rPr>
          <w:w w:val="105"/>
        </w:rPr>
        <w:t>overhead</w:t>
      </w:r>
      <w:r>
        <w:rPr>
          <w:spacing w:val="-28"/>
          <w:w w:val="105"/>
        </w:rPr>
        <w:t> </w:t>
      </w:r>
      <w:r>
        <w:rPr>
          <w:w w:val="105"/>
        </w:rPr>
        <w:t>cost</w:t>
      </w:r>
      <w:r>
        <w:rPr>
          <w:spacing w:val="-28"/>
          <w:w w:val="105"/>
        </w:rPr>
        <w:t> </w:t>
      </w:r>
      <w:r>
        <w:rPr>
          <w:w w:val="105"/>
        </w:rPr>
        <w:t>due</w:t>
      </w:r>
      <w:r>
        <w:rPr>
          <w:spacing w:val="-28"/>
          <w:w w:val="105"/>
        </w:rPr>
        <w:t> </w:t>
      </w:r>
      <w:r>
        <w:rPr>
          <w:w w:val="105"/>
        </w:rPr>
        <w:t>to</w:t>
      </w:r>
      <w:r>
        <w:rPr>
          <w:spacing w:val="-28"/>
          <w:w w:val="105"/>
        </w:rPr>
        <w:t> </w:t>
      </w:r>
      <w:r>
        <w:rPr>
          <w:w w:val="105"/>
        </w:rPr>
        <w:t>Farm </w:t>
      </w:r>
      <w:r>
        <w:rPr/>
        <w:t>management and</w:t>
      </w:r>
      <w:r>
        <w:rPr>
          <w:spacing w:val="-36"/>
        </w:rPr>
        <w:t> </w:t>
      </w:r>
      <w:r>
        <w:rPr/>
        <w:t>development</w:t>
      </w:r>
    </w:p>
    <w:p>
      <w:pPr>
        <w:pStyle w:val="BodyText"/>
        <w:spacing w:line="247" w:lineRule="auto" w:before="58"/>
        <w:ind w:left="305" w:right="92" w:hanging="199"/>
        <w:jc w:val="both"/>
      </w:pPr>
      <w:r>
        <w:rPr>
          <w:rFonts w:ascii="Century Gothic" w:hAnsi="Century Gothic"/>
          <w:b/>
          <w:w w:val="115"/>
        </w:rPr>
        <w:t>≥</w:t>
      </w:r>
      <w:r>
        <w:rPr>
          <w:rFonts w:ascii="Century Gothic" w:hAnsi="Century Gothic"/>
          <w:b/>
          <w:spacing w:val="-17"/>
          <w:w w:val="115"/>
        </w:rPr>
        <w:t> </w:t>
      </w:r>
      <w:r>
        <w:rPr>
          <w:w w:val="105"/>
        </w:rPr>
        <w:t>Managed</w:t>
      </w:r>
      <w:r>
        <w:rPr>
          <w:spacing w:val="-34"/>
          <w:w w:val="105"/>
        </w:rPr>
        <w:t> </w:t>
      </w:r>
      <w:r>
        <w:rPr>
          <w:w w:val="105"/>
        </w:rPr>
        <w:t>the</w:t>
      </w:r>
      <w:r>
        <w:rPr>
          <w:spacing w:val="-34"/>
          <w:w w:val="105"/>
        </w:rPr>
        <w:t> </w:t>
      </w:r>
      <w:r>
        <w:rPr>
          <w:w w:val="105"/>
        </w:rPr>
        <w:t>integration</w:t>
      </w:r>
      <w:r>
        <w:rPr>
          <w:spacing w:val="-34"/>
          <w:w w:val="105"/>
        </w:rPr>
        <w:t> </w:t>
      </w:r>
      <w:r>
        <w:rPr>
          <w:w w:val="105"/>
        </w:rPr>
        <w:t>of</w:t>
      </w:r>
      <w:r>
        <w:rPr>
          <w:spacing w:val="-34"/>
          <w:w w:val="105"/>
        </w:rPr>
        <w:t> </w:t>
      </w:r>
      <w:r>
        <w:rPr>
          <w:w w:val="105"/>
        </w:rPr>
        <w:t>Campbelltown </w:t>
      </w:r>
      <w:r>
        <w:rPr/>
        <w:t>campus</w:t>
      </w:r>
      <w:r>
        <w:rPr>
          <w:spacing w:val="-16"/>
        </w:rPr>
        <w:t> </w:t>
      </w:r>
      <w:r>
        <w:rPr/>
        <w:t>with</w:t>
      </w:r>
      <w:r>
        <w:rPr>
          <w:spacing w:val="-16"/>
        </w:rPr>
        <w:t> </w:t>
      </w:r>
      <w:r>
        <w:rPr>
          <w:spacing w:val="2"/>
        </w:rPr>
        <w:t>McArthur</w:t>
      </w:r>
      <w:r>
        <w:rPr>
          <w:spacing w:val="-16"/>
        </w:rPr>
        <w:t> </w:t>
      </w:r>
      <w:r>
        <w:rPr/>
        <w:t>Heights</w:t>
      </w:r>
      <w:r>
        <w:rPr>
          <w:spacing w:val="-16"/>
        </w:rPr>
        <w:t> </w:t>
      </w:r>
      <w:r>
        <w:rPr/>
        <w:t>residential </w:t>
      </w:r>
      <w:r>
        <w:rPr>
          <w:w w:val="105"/>
        </w:rPr>
        <w:t>estate</w:t>
      </w:r>
    </w:p>
    <w:p>
      <w:pPr>
        <w:pStyle w:val="BodyText"/>
        <w:spacing w:line="247" w:lineRule="auto" w:before="57"/>
        <w:ind w:left="305" w:right="-6" w:hanging="199"/>
      </w:pPr>
      <w:r>
        <w:rPr>
          <w:rFonts w:ascii="Century Gothic" w:hAnsi="Century Gothic"/>
          <w:b/>
          <w:w w:val="115"/>
        </w:rPr>
        <w:t>≥</w:t>
      </w:r>
      <w:r>
        <w:rPr>
          <w:rFonts w:ascii="Century Gothic" w:hAnsi="Century Gothic"/>
          <w:b/>
          <w:spacing w:val="10"/>
          <w:w w:val="115"/>
        </w:rPr>
        <w:t> </w:t>
      </w:r>
      <w:r>
        <w:rPr/>
        <w:t>Assisted</w:t>
      </w:r>
      <w:r>
        <w:rPr>
          <w:spacing w:val="-22"/>
        </w:rPr>
        <w:t> </w:t>
      </w:r>
      <w:r>
        <w:rPr/>
        <w:t>with</w:t>
      </w:r>
      <w:r>
        <w:rPr>
          <w:spacing w:val="-22"/>
        </w:rPr>
        <w:t> </w:t>
      </w:r>
      <w:r>
        <w:rPr/>
        <w:t>the</w:t>
      </w:r>
      <w:r>
        <w:rPr>
          <w:spacing w:val="-22"/>
        </w:rPr>
        <w:t> </w:t>
      </w:r>
      <w:r>
        <w:rPr/>
        <w:t>planning</w:t>
      </w:r>
      <w:r>
        <w:rPr>
          <w:spacing w:val="-22"/>
        </w:rPr>
        <w:t> </w:t>
      </w:r>
      <w:r>
        <w:rPr/>
        <w:t>for</w:t>
      </w:r>
      <w:r>
        <w:rPr>
          <w:spacing w:val="-22"/>
        </w:rPr>
        <w:t> </w:t>
      </w:r>
      <w:r>
        <w:rPr/>
        <w:t>the</w:t>
      </w:r>
      <w:r>
        <w:rPr>
          <w:spacing w:val="-22"/>
        </w:rPr>
        <w:t> </w:t>
      </w:r>
      <w:r>
        <w:rPr/>
        <w:t>reduction of</w:t>
      </w:r>
      <w:r>
        <w:rPr>
          <w:spacing w:val="-26"/>
        </w:rPr>
        <w:t> </w:t>
      </w:r>
      <w:r>
        <w:rPr/>
        <w:t>overland</w:t>
      </w:r>
      <w:r>
        <w:rPr>
          <w:spacing w:val="-26"/>
        </w:rPr>
        <w:t> </w:t>
      </w:r>
      <w:r>
        <w:rPr/>
        <w:t>flow</w:t>
      </w:r>
      <w:r>
        <w:rPr>
          <w:spacing w:val="-26"/>
        </w:rPr>
        <w:t> </w:t>
      </w:r>
      <w:r>
        <w:rPr/>
        <w:t>impact</w:t>
      </w:r>
      <w:r>
        <w:rPr>
          <w:spacing w:val="-26"/>
        </w:rPr>
        <w:t> </w:t>
      </w:r>
      <w:r>
        <w:rPr/>
        <w:t>on</w:t>
      </w:r>
      <w:r>
        <w:rPr>
          <w:spacing w:val="-26"/>
        </w:rPr>
        <w:t> </w:t>
      </w:r>
      <w:r>
        <w:rPr/>
        <w:t>McArthur</w:t>
      </w:r>
      <w:r>
        <w:rPr>
          <w:spacing w:val="-26"/>
        </w:rPr>
        <w:t> </w:t>
      </w:r>
      <w:r>
        <w:rPr/>
        <w:t>Heights </w:t>
      </w:r>
      <w:r>
        <w:rPr>
          <w:w w:val="95"/>
        </w:rPr>
        <w:t>residential estate, Campbelltown</w:t>
      </w:r>
      <w:r>
        <w:rPr>
          <w:spacing w:val="-6"/>
          <w:w w:val="95"/>
        </w:rPr>
        <w:t> </w:t>
      </w:r>
      <w:r>
        <w:rPr>
          <w:w w:val="95"/>
        </w:rPr>
        <w:t>campus</w:t>
      </w:r>
    </w:p>
    <w:p>
      <w:pPr>
        <w:pStyle w:val="BodyText"/>
        <w:rPr>
          <w:sz w:val="20"/>
        </w:rPr>
      </w:pPr>
      <w:r>
        <w:rPr/>
        <w:br w:type="column"/>
      </w:r>
      <w:r>
        <w:rPr>
          <w:sz w:val="20"/>
        </w:rPr>
      </w:r>
    </w:p>
    <w:p>
      <w:pPr>
        <w:pStyle w:val="BodyText"/>
        <w:spacing w:line="244" w:lineRule="auto"/>
        <w:ind w:left="305" w:right="359" w:hanging="199"/>
      </w:pPr>
      <w:r>
        <w:rPr>
          <w:rFonts w:ascii="Century Gothic" w:hAnsi="Century Gothic"/>
          <w:b/>
          <w:w w:val="115"/>
        </w:rPr>
        <w:t>≥</w:t>
      </w:r>
      <w:r>
        <w:rPr>
          <w:rFonts w:ascii="Century Gothic" w:hAnsi="Century Gothic"/>
          <w:b/>
          <w:spacing w:val="-18"/>
          <w:w w:val="115"/>
        </w:rPr>
        <w:t> </w:t>
      </w:r>
      <w:r>
        <w:rPr>
          <w:w w:val="105"/>
        </w:rPr>
        <w:t>Strategically</w:t>
      </w:r>
      <w:r>
        <w:rPr>
          <w:spacing w:val="-35"/>
          <w:w w:val="105"/>
        </w:rPr>
        <w:t> </w:t>
      </w:r>
      <w:r>
        <w:rPr>
          <w:w w:val="105"/>
        </w:rPr>
        <w:t>managed</w:t>
      </w:r>
      <w:r>
        <w:rPr>
          <w:spacing w:val="-35"/>
          <w:w w:val="105"/>
        </w:rPr>
        <w:t> </w:t>
      </w:r>
      <w:r>
        <w:rPr>
          <w:w w:val="105"/>
        </w:rPr>
        <w:t>power</w:t>
      </w:r>
      <w:r>
        <w:rPr>
          <w:spacing w:val="-35"/>
          <w:w w:val="105"/>
        </w:rPr>
        <w:t> </w:t>
      </w:r>
      <w:r>
        <w:rPr>
          <w:w w:val="105"/>
        </w:rPr>
        <w:t>demand </w:t>
      </w:r>
      <w:r>
        <w:rPr/>
        <w:t>on</w:t>
      </w:r>
      <w:r>
        <w:rPr>
          <w:spacing w:val="-20"/>
        </w:rPr>
        <w:t> </w:t>
      </w:r>
      <w:r>
        <w:rPr/>
        <w:t>Parramatta</w:t>
      </w:r>
      <w:r>
        <w:rPr>
          <w:spacing w:val="-20"/>
        </w:rPr>
        <w:t> </w:t>
      </w:r>
      <w:r>
        <w:rPr/>
        <w:t>(south)</w:t>
      </w:r>
      <w:r>
        <w:rPr>
          <w:spacing w:val="-20"/>
        </w:rPr>
        <w:t> </w:t>
      </w:r>
      <w:r>
        <w:rPr/>
        <w:t>campus</w:t>
      </w:r>
    </w:p>
    <w:p>
      <w:pPr>
        <w:pStyle w:val="BodyText"/>
        <w:spacing w:line="244" w:lineRule="auto" w:before="30"/>
        <w:ind w:left="305" w:right="-11" w:hanging="199"/>
      </w:pPr>
      <w:r>
        <w:rPr>
          <w:rFonts w:ascii="Century Gothic" w:hAnsi="Century Gothic"/>
          <w:b/>
          <w:w w:val="115"/>
        </w:rPr>
        <w:t>≥</w:t>
      </w:r>
      <w:r>
        <w:rPr>
          <w:rFonts w:ascii="Century Gothic" w:hAnsi="Century Gothic"/>
          <w:b/>
          <w:spacing w:val="-7"/>
          <w:w w:val="115"/>
        </w:rPr>
        <w:t> </w:t>
      </w:r>
      <w:r>
        <w:rPr>
          <w:w w:val="105"/>
        </w:rPr>
        <w:t>Integrated</w:t>
      </w:r>
      <w:r>
        <w:rPr>
          <w:spacing w:val="-29"/>
          <w:w w:val="105"/>
        </w:rPr>
        <w:t> </w:t>
      </w:r>
      <w:r>
        <w:rPr>
          <w:w w:val="105"/>
        </w:rPr>
        <w:t>the</w:t>
      </w:r>
      <w:r>
        <w:rPr>
          <w:spacing w:val="-29"/>
          <w:w w:val="105"/>
        </w:rPr>
        <w:t> </w:t>
      </w:r>
      <w:r>
        <w:rPr>
          <w:w w:val="105"/>
        </w:rPr>
        <w:t>College</w:t>
      </w:r>
      <w:r>
        <w:rPr>
          <w:spacing w:val="-29"/>
          <w:w w:val="105"/>
        </w:rPr>
        <w:t> </w:t>
      </w:r>
      <w:r>
        <w:rPr>
          <w:w w:val="105"/>
        </w:rPr>
        <w:t>staff</w:t>
      </w:r>
      <w:r>
        <w:rPr>
          <w:spacing w:val="-29"/>
          <w:w w:val="105"/>
        </w:rPr>
        <w:t> </w:t>
      </w:r>
      <w:r>
        <w:rPr>
          <w:w w:val="105"/>
        </w:rPr>
        <w:t>and </w:t>
      </w:r>
      <w:r>
        <w:rPr/>
        <w:t>responsibilities</w:t>
      </w:r>
      <w:r>
        <w:rPr>
          <w:spacing w:val="-14"/>
        </w:rPr>
        <w:t> </w:t>
      </w:r>
      <w:r>
        <w:rPr/>
        <w:t>into</w:t>
      </w:r>
      <w:r>
        <w:rPr>
          <w:spacing w:val="-14"/>
        </w:rPr>
        <w:t> </w:t>
      </w:r>
      <w:r>
        <w:rPr/>
        <w:t>the</w:t>
      </w:r>
      <w:r>
        <w:rPr>
          <w:spacing w:val="-14"/>
        </w:rPr>
        <w:t> </w:t>
      </w:r>
      <w:r>
        <w:rPr/>
        <w:t>portfolio</w:t>
      </w:r>
    </w:p>
    <w:p>
      <w:pPr>
        <w:pStyle w:val="BodyText"/>
        <w:spacing w:line="247" w:lineRule="auto" w:before="30"/>
        <w:ind w:left="305" w:right="-5" w:hanging="199"/>
      </w:pPr>
      <w:r>
        <w:rPr>
          <w:rFonts w:ascii="Century Gothic" w:hAnsi="Century Gothic"/>
          <w:b/>
          <w:w w:val="115"/>
        </w:rPr>
        <w:t>≥ </w:t>
      </w:r>
      <w:r>
        <w:rPr/>
        <w:t>Reviewed, reallocated and managed the workflow of staff in line with centralisation of HR and finance tasks</w:t>
      </w:r>
    </w:p>
    <w:p>
      <w:pPr>
        <w:pStyle w:val="BodyText"/>
        <w:spacing w:line="244" w:lineRule="auto" w:before="28"/>
        <w:ind w:left="305" w:right="-8" w:hanging="199"/>
      </w:pPr>
      <w:r>
        <w:rPr>
          <w:rFonts w:ascii="Century Gothic" w:hAnsi="Century Gothic"/>
          <w:b/>
          <w:w w:val="115"/>
        </w:rPr>
        <w:t>≥</w:t>
      </w:r>
      <w:r>
        <w:rPr>
          <w:rFonts w:ascii="Century Gothic" w:hAnsi="Century Gothic"/>
          <w:b/>
          <w:spacing w:val="-13"/>
          <w:w w:val="115"/>
        </w:rPr>
        <w:t> </w:t>
      </w:r>
      <w:r>
        <w:rPr>
          <w:w w:val="105"/>
        </w:rPr>
        <w:t>Developed</w:t>
      </w:r>
      <w:r>
        <w:rPr>
          <w:spacing w:val="-32"/>
          <w:w w:val="105"/>
        </w:rPr>
        <w:t> </w:t>
      </w:r>
      <w:r>
        <w:rPr>
          <w:w w:val="105"/>
        </w:rPr>
        <w:t>and</w:t>
      </w:r>
      <w:r>
        <w:rPr>
          <w:spacing w:val="-32"/>
          <w:w w:val="105"/>
        </w:rPr>
        <w:t> </w:t>
      </w:r>
      <w:r>
        <w:rPr>
          <w:w w:val="105"/>
        </w:rPr>
        <w:t>implemented</w:t>
      </w:r>
      <w:r>
        <w:rPr>
          <w:spacing w:val="-32"/>
          <w:w w:val="105"/>
        </w:rPr>
        <w:t> </w:t>
      </w:r>
      <w:r>
        <w:rPr>
          <w:w w:val="105"/>
        </w:rPr>
        <w:t>an</w:t>
      </w:r>
      <w:r>
        <w:rPr>
          <w:spacing w:val="-32"/>
          <w:w w:val="105"/>
        </w:rPr>
        <w:t> </w:t>
      </w:r>
      <w:r>
        <w:rPr>
          <w:w w:val="105"/>
        </w:rPr>
        <w:t>action</w:t>
      </w:r>
      <w:r>
        <w:rPr>
          <w:spacing w:val="-32"/>
          <w:w w:val="105"/>
        </w:rPr>
        <w:t> </w:t>
      </w:r>
      <w:r>
        <w:rPr>
          <w:w w:val="105"/>
        </w:rPr>
        <w:t>plan in</w:t>
      </w:r>
      <w:r>
        <w:rPr>
          <w:spacing w:val="-38"/>
          <w:w w:val="105"/>
        </w:rPr>
        <w:t> </w:t>
      </w:r>
      <w:r>
        <w:rPr>
          <w:w w:val="105"/>
        </w:rPr>
        <w:t>line</w:t>
      </w:r>
      <w:r>
        <w:rPr>
          <w:spacing w:val="-38"/>
          <w:w w:val="105"/>
        </w:rPr>
        <w:t> </w:t>
      </w:r>
      <w:r>
        <w:rPr>
          <w:w w:val="105"/>
        </w:rPr>
        <w:t>with</w:t>
      </w:r>
      <w:r>
        <w:rPr>
          <w:spacing w:val="-38"/>
          <w:w w:val="105"/>
        </w:rPr>
        <w:t> </w:t>
      </w:r>
      <w:r>
        <w:rPr>
          <w:w w:val="105"/>
        </w:rPr>
        <w:t>the</w:t>
      </w:r>
      <w:r>
        <w:rPr>
          <w:spacing w:val="-38"/>
          <w:w w:val="105"/>
        </w:rPr>
        <w:t> </w:t>
      </w:r>
      <w:r>
        <w:rPr>
          <w:w w:val="105"/>
        </w:rPr>
        <w:t>MyVoice</w:t>
      </w:r>
    </w:p>
    <w:p>
      <w:pPr>
        <w:pStyle w:val="BodyText"/>
        <w:spacing w:before="6"/>
        <w:rPr>
          <w:sz w:val="19"/>
        </w:rPr>
      </w:pPr>
    </w:p>
    <w:p>
      <w:pPr>
        <w:pStyle w:val="Heading7"/>
        <w:spacing w:before="1"/>
        <w:ind w:right="-11"/>
      </w:pPr>
      <w:bookmarkStart w:name="_TOC_250023" w:id="31"/>
      <w:bookmarkEnd w:id="31"/>
      <w:r>
        <w:rPr>
          <w:w w:val="95"/>
        </w:rPr>
        <w:t>PROJECT  MANAGEMENT OFFICE</w:t>
      </w:r>
    </w:p>
    <w:p>
      <w:pPr>
        <w:pStyle w:val="BodyText"/>
        <w:spacing w:line="249" w:lineRule="auto" w:before="58"/>
        <w:ind w:left="107" w:right="54"/>
      </w:pPr>
      <w:r>
        <w:rPr/>
        <w:t>The Project Management Office (PMO) is a centralised function which is able to provide the</w:t>
      </w:r>
      <w:r>
        <w:rPr>
          <w:spacing w:val="-13"/>
        </w:rPr>
        <w:t> </w:t>
      </w:r>
      <w:r>
        <w:rPr/>
        <w:t>following</w:t>
      </w:r>
      <w:r>
        <w:rPr>
          <w:spacing w:val="-13"/>
        </w:rPr>
        <w:t> </w:t>
      </w:r>
      <w:r>
        <w:rPr/>
        <w:t>key</w:t>
      </w:r>
      <w:r>
        <w:rPr>
          <w:spacing w:val="-13"/>
        </w:rPr>
        <w:t> </w:t>
      </w:r>
      <w:r>
        <w:rPr/>
        <w:t>services</w:t>
      </w:r>
      <w:r>
        <w:rPr>
          <w:spacing w:val="-13"/>
        </w:rPr>
        <w:t> </w:t>
      </w:r>
      <w:r>
        <w:rPr/>
        <w:t>to</w:t>
      </w:r>
      <w:r>
        <w:rPr>
          <w:spacing w:val="-13"/>
        </w:rPr>
        <w:t> </w:t>
      </w:r>
      <w:r>
        <w:rPr/>
        <w:t>support</w:t>
      </w:r>
      <w:r>
        <w:rPr>
          <w:spacing w:val="-13"/>
        </w:rPr>
        <w:t> </w:t>
      </w:r>
      <w:r>
        <w:rPr/>
        <w:t>projects and</w:t>
      </w:r>
      <w:r>
        <w:rPr>
          <w:spacing w:val="-16"/>
        </w:rPr>
        <w:t> </w:t>
      </w:r>
      <w:r>
        <w:rPr/>
        <w:t>project</w:t>
      </w:r>
      <w:r>
        <w:rPr>
          <w:spacing w:val="-16"/>
        </w:rPr>
        <w:t> </w:t>
      </w:r>
      <w:r>
        <w:rPr/>
        <w:t>managers,</w:t>
      </w:r>
      <w:r>
        <w:rPr>
          <w:spacing w:val="-16"/>
        </w:rPr>
        <w:t> </w:t>
      </w:r>
      <w:r>
        <w:rPr/>
        <w:t>and</w:t>
      </w:r>
      <w:r>
        <w:rPr>
          <w:spacing w:val="-16"/>
        </w:rPr>
        <w:t> </w:t>
      </w:r>
      <w:r>
        <w:rPr/>
        <w:t>to</w:t>
      </w:r>
      <w:r>
        <w:rPr>
          <w:spacing w:val="-16"/>
        </w:rPr>
        <w:t> </w:t>
      </w:r>
      <w:r>
        <w:rPr/>
        <w:t>deliver</w:t>
      </w:r>
      <w:r>
        <w:rPr>
          <w:spacing w:val="-16"/>
        </w:rPr>
        <w:t> </w:t>
      </w:r>
      <w:r>
        <w:rPr/>
        <w:t>ongoing continuous</w:t>
      </w:r>
      <w:r>
        <w:rPr>
          <w:spacing w:val="-27"/>
        </w:rPr>
        <w:t> </w:t>
      </w:r>
      <w:r>
        <w:rPr/>
        <w:t>business</w:t>
      </w:r>
      <w:r>
        <w:rPr>
          <w:spacing w:val="-27"/>
        </w:rPr>
        <w:t> </w:t>
      </w:r>
      <w:r>
        <w:rPr/>
        <w:t>improvements</w:t>
      </w:r>
      <w:r>
        <w:rPr>
          <w:spacing w:val="-27"/>
        </w:rPr>
        <w:t> </w:t>
      </w:r>
      <w:r>
        <w:rPr/>
        <w:t>through:</w:t>
      </w:r>
    </w:p>
    <w:p>
      <w:pPr>
        <w:pStyle w:val="BodyText"/>
        <w:spacing w:line="247" w:lineRule="auto" w:before="26"/>
        <w:ind w:left="305" w:right="-12" w:hanging="199"/>
      </w:pPr>
      <w:r>
        <w:rPr>
          <w:rFonts w:ascii="Century Gothic" w:hAnsi="Century Gothic"/>
          <w:b/>
          <w:w w:val="115"/>
        </w:rPr>
        <w:t>≥ </w:t>
      </w:r>
      <w:r>
        <w:rPr>
          <w:rFonts w:ascii="Gotham Narrow Bold" w:hAnsi="Gotham Narrow Bold"/>
          <w:b/>
        </w:rPr>
        <w:t>Project delivery </w:t>
      </w:r>
      <w:r>
        <w:rPr/>
        <w:t>– including project management of and support for University wide change projects and business improvement initiatives</w:t>
      </w:r>
    </w:p>
    <w:p>
      <w:pPr>
        <w:pStyle w:val="BodyText"/>
        <w:spacing w:line="247" w:lineRule="auto" w:before="28"/>
        <w:ind w:left="305" w:right="113" w:hanging="199"/>
      </w:pPr>
      <w:r>
        <w:rPr>
          <w:rFonts w:ascii="Century Gothic" w:hAnsi="Century Gothic"/>
          <w:b/>
          <w:w w:val="115"/>
        </w:rPr>
        <w:t>≥ </w:t>
      </w:r>
      <w:r>
        <w:rPr>
          <w:rFonts w:ascii="Gotham Narrow Bold" w:hAnsi="Gotham Narrow Bold"/>
          <w:b/>
        </w:rPr>
        <w:t>Project support services </w:t>
      </w:r>
      <w:r>
        <w:rPr/>
        <w:t>– including scheduling, resources, resource management, forecasting, reporting, planning and mentoring, and support for portfolio and program management</w:t>
      </w:r>
    </w:p>
    <w:p>
      <w:pPr>
        <w:spacing w:line="244" w:lineRule="auto" w:before="28"/>
        <w:ind w:left="305" w:right="359" w:hanging="199"/>
        <w:jc w:val="both"/>
        <w:rPr>
          <w:sz w:val="16"/>
        </w:rPr>
      </w:pPr>
      <w:r>
        <w:rPr>
          <w:rFonts w:ascii="Century Gothic" w:hAnsi="Century Gothic"/>
          <w:b/>
          <w:w w:val="115"/>
          <w:sz w:val="16"/>
        </w:rPr>
        <w:t>≥</w:t>
      </w:r>
      <w:r>
        <w:rPr>
          <w:rFonts w:ascii="Century Gothic" w:hAnsi="Century Gothic"/>
          <w:b/>
          <w:spacing w:val="-11"/>
          <w:w w:val="115"/>
          <w:sz w:val="16"/>
        </w:rPr>
        <w:t> </w:t>
      </w:r>
      <w:r>
        <w:rPr>
          <w:rFonts w:ascii="Gotham Narrow Bold" w:hAnsi="Gotham Narrow Bold"/>
          <w:b/>
          <w:sz w:val="16"/>
        </w:rPr>
        <w:t>Project</w:t>
      </w:r>
      <w:r>
        <w:rPr>
          <w:rFonts w:ascii="Gotham Narrow Bold" w:hAnsi="Gotham Narrow Bold"/>
          <w:b/>
          <w:spacing w:val="-20"/>
          <w:sz w:val="16"/>
        </w:rPr>
        <w:t> </w:t>
      </w:r>
      <w:r>
        <w:rPr>
          <w:rFonts w:ascii="Gotham Narrow Bold" w:hAnsi="Gotham Narrow Bold"/>
          <w:b/>
          <w:spacing w:val="2"/>
          <w:sz w:val="16"/>
        </w:rPr>
        <w:t>Management</w:t>
      </w:r>
      <w:r>
        <w:rPr>
          <w:rFonts w:ascii="Gotham Narrow Bold" w:hAnsi="Gotham Narrow Bold"/>
          <w:b/>
          <w:spacing w:val="-20"/>
          <w:sz w:val="16"/>
        </w:rPr>
        <w:t> </w:t>
      </w:r>
      <w:r>
        <w:rPr>
          <w:rFonts w:ascii="Gotham Narrow Bold" w:hAnsi="Gotham Narrow Bold"/>
          <w:b/>
          <w:spacing w:val="2"/>
          <w:sz w:val="16"/>
        </w:rPr>
        <w:t>methodology</w:t>
      </w:r>
      <w:r>
        <w:rPr>
          <w:rFonts w:ascii="Gotham Narrow Bold" w:hAnsi="Gotham Narrow Bold"/>
          <w:b/>
          <w:spacing w:val="-18"/>
          <w:sz w:val="16"/>
        </w:rPr>
        <w:t> </w:t>
      </w:r>
      <w:r>
        <w:rPr>
          <w:sz w:val="16"/>
        </w:rPr>
        <w:t>– including</w:t>
      </w:r>
      <w:r>
        <w:rPr>
          <w:spacing w:val="-18"/>
          <w:sz w:val="16"/>
        </w:rPr>
        <w:t> </w:t>
      </w:r>
      <w:r>
        <w:rPr>
          <w:sz w:val="16"/>
        </w:rPr>
        <w:t>capability</w:t>
      </w:r>
      <w:r>
        <w:rPr>
          <w:spacing w:val="-18"/>
          <w:sz w:val="16"/>
        </w:rPr>
        <w:t> </w:t>
      </w:r>
      <w:r>
        <w:rPr>
          <w:sz w:val="16"/>
        </w:rPr>
        <w:t>investment,</w:t>
      </w:r>
      <w:r>
        <w:rPr>
          <w:spacing w:val="-18"/>
          <w:sz w:val="16"/>
        </w:rPr>
        <w:t> </w:t>
      </w:r>
      <w:r>
        <w:rPr>
          <w:sz w:val="16"/>
        </w:rPr>
        <w:t>tools, processes and</w:t>
      </w:r>
      <w:r>
        <w:rPr>
          <w:spacing w:val="-33"/>
          <w:sz w:val="16"/>
        </w:rPr>
        <w:t> </w:t>
      </w:r>
      <w:r>
        <w:rPr>
          <w:sz w:val="16"/>
        </w:rPr>
        <w:t>templates</w:t>
      </w:r>
    </w:p>
    <w:p>
      <w:pPr>
        <w:spacing w:before="30"/>
        <w:ind w:left="305" w:right="193" w:hanging="199"/>
        <w:jc w:val="left"/>
        <w:rPr>
          <w:sz w:val="16"/>
        </w:rPr>
      </w:pPr>
      <w:r>
        <w:rPr>
          <w:rFonts w:ascii="Century Gothic" w:hAnsi="Century Gothic"/>
          <w:b/>
          <w:w w:val="115"/>
          <w:sz w:val="16"/>
        </w:rPr>
        <w:t>≥ </w:t>
      </w:r>
      <w:r>
        <w:rPr>
          <w:rFonts w:ascii="Gotham Narrow Bold" w:hAnsi="Gotham Narrow Bold"/>
          <w:b/>
          <w:sz w:val="16"/>
        </w:rPr>
        <w:t>Governance and assurance support </w:t>
      </w:r>
      <w:r>
        <w:rPr>
          <w:sz w:val="16"/>
        </w:rPr>
        <w:t>– for portfolios, programs, and projects.</w:t>
      </w:r>
    </w:p>
    <w:p>
      <w:pPr>
        <w:pStyle w:val="BodyText"/>
        <w:spacing w:before="7"/>
        <w:rPr>
          <w:sz w:val="14"/>
        </w:rPr>
      </w:pPr>
    </w:p>
    <w:p>
      <w:pPr>
        <w:pStyle w:val="BodyText"/>
        <w:spacing w:before="1"/>
        <w:ind w:left="107" w:right="-11"/>
      </w:pPr>
      <w:r>
        <w:rPr>
          <w:spacing w:val="-1"/>
          <w:w w:val="103"/>
        </w:rPr>
        <w:t>K</w:t>
      </w:r>
      <w:r>
        <w:rPr>
          <w:spacing w:val="-1"/>
          <w:w w:val="95"/>
        </w:rPr>
        <w:t>e</w:t>
      </w:r>
      <w:r>
        <w:rPr>
          <w:w w:val="101"/>
        </w:rPr>
        <w:t>y</w:t>
      </w:r>
      <w:r>
        <w:rPr>
          <w:spacing w:val="-12"/>
        </w:rPr>
        <w:t> </w:t>
      </w:r>
      <w:r>
        <w:rPr>
          <w:spacing w:val="2"/>
          <w:w w:val="94"/>
        </w:rPr>
        <w:t>a</w:t>
      </w:r>
      <w:r>
        <w:rPr>
          <w:spacing w:val="1"/>
          <w:w w:val="102"/>
        </w:rPr>
        <w:t>c</w:t>
      </w:r>
      <w:r>
        <w:rPr>
          <w:spacing w:val="1"/>
          <w:w w:val="95"/>
        </w:rPr>
        <w:t>h</w:t>
      </w:r>
      <w:r>
        <w:rPr>
          <w:spacing w:val="1"/>
          <w:w w:val="95"/>
        </w:rPr>
        <w:t>i</w:t>
      </w:r>
      <w:r>
        <w:rPr>
          <w:spacing w:val="-1"/>
          <w:w w:val="95"/>
        </w:rPr>
        <w:t>e</w:t>
      </w:r>
      <w:r>
        <w:rPr>
          <w:spacing w:val="-1"/>
          <w:w w:val="101"/>
        </w:rPr>
        <w:t>v</w:t>
      </w:r>
      <w:r>
        <w:rPr>
          <w:spacing w:val="2"/>
          <w:w w:val="95"/>
        </w:rPr>
        <w:t>e</w:t>
      </w:r>
      <w:r>
        <w:rPr>
          <w:spacing w:val="2"/>
          <w:w w:val="98"/>
        </w:rPr>
        <w:t>m</w:t>
      </w:r>
      <w:r>
        <w:rPr>
          <w:spacing w:val="2"/>
          <w:w w:val="95"/>
        </w:rPr>
        <w:t>e</w:t>
      </w:r>
      <w:r>
        <w:rPr>
          <w:w w:val="95"/>
        </w:rPr>
        <w:t>n</w:t>
      </w:r>
      <w:r>
        <w:rPr>
          <w:spacing w:val="4"/>
          <w:w w:val="102"/>
        </w:rPr>
        <w:t>t</w:t>
      </w:r>
      <w:r>
        <w:rPr>
          <w:w w:val="95"/>
        </w:rPr>
        <w:t>s</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w w:val="101"/>
        </w:rPr>
        <w:t>6</w:t>
      </w:r>
      <w:r>
        <w:rPr>
          <w:spacing w:val="-12"/>
        </w:rPr>
        <w:t> </w:t>
      </w:r>
      <w:r>
        <w:rPr>
          <w:spacing w:val="1"/>
          <w:w w:val="95"/>
        </w:rPr>
        <w:t>i</w:t>
      </w:r>
      <w:r>
        <w:rPr>
          <w:spacing w:val="2"/>
          <w:w w:val="95"/>
        </w:rPr>
        <w:t>n</w:t>
      </w:r>
      <w:r>
        <w:rPr>
          <w:spacing w:val="1"/>
          <w:w w:val="102"/>
        </w:rPr>
        <w:t>c</w:t>
      </w:r>
      <w:r>
        <w:rPr>
          <w:spacing w:val="1"/>
          <w:w w:val="95"/>
        </w:rPr>
        <w:t>l</w:t>
      </w:r>
      <w:r>
        <w:rPr>
          <w:spacing w:val="2"/>
          <w:w w:val="95"/>
        </w:rPr>
        <w:t>u</w:t>
      </w:r>
      <w:r>
        <w:rPr>
          <w:spacing w:val="2"/>
          <w:w w:val="102"/>
        </w:rPr>
        <w:t>d</w:t>
      </w:r>
      <w:r>
        <w:rPr>
          <w:spacing w:val="1"/>
          <w:w w:val="95"/>
        </w:rPr>
        <w:t>e</w:t>
      </w:r>
      <w:r>
        <w:rPr>
          <w:w w:val="61"/>
        </w:rPr>
        <w:t>:</w:t>
      </w:r>
    </w:p>
    <w:p>
      <w:pPr>
        <w:pStyle w:val="BodyText"/>
        <w:spacing w:line="247" w:lineRule="auto" w:before="62"/>
        <w:ind w:left="305" w:right="-11" w:hanging="199"/>
      </w:pPr>
      <w:r>
        <w:rPr>
          <w:rFonts w:ascii="Century Gothic" w:hAnsi="Century Gothic"/>
          <w:b/>
          <w:w w:val="115"/>
        </w:rPr>
        <w:t>≥ </w:t>
      </w:r>
      <w:r>
        <w:rPr>
          <w:rFonts w:ascii="Gotham Narrow Bold" w:hAnsi="Gotham Narrow Bold"/>
          <w:b/>
        </w:rPr>
        <w:t>Project Essex </w:t>
      </w:r>
      <w:r>
        <w:rPr/>
        <w:t>– completion of a strategic business review into the professional services</w:t>
      </w:r>
      <w:r>
        <w:rPr>
          <w:spacing w:val="-18"/>
        </w:rPr>
        <w:t> </w:t>
      </w:r>
      <w:r>
        <w:rPr/>
        <w:t>model</w:t>
      </w:r>
      <w:r>
        <w:rPr>
          <w:spacing w:val="-18"/>
        </w:rPr>
        <w:t> </w:t>
      </w:r>
      <w:r>
        <w:rPr/>
        <w:t>that</w:t>
      </w:r>
      <w:r>
        <w:rPr>
          <w:spacing w:val="-18"/>
        </w:rPr>
        <w:t> </w:t>
      </w:r>
      <w:r>
        <w:rPr/>
        <w:t>exists</w:t>
      </w:r>
      <w:r>
        <w:rPr>
          <w:spacing w:val="-18"/>
        </w:rPr>
        <w:t> </w:t>
      </w:r>
      <w:r>
        <w:rPr/>
        <w:t>in</w:t>
      </w:r>
      <w:r>
        <w:rPr>
          <w:spacing w:val="-18"/>
        </w:rPr>
        <w:t> </w:t>
      </w:r>
      <w:r>
        <w:rPr/>
        <w:t>the</w:t>
      </w:r>
      <w:r>
        <w:rPr>
          <w:spacing w:val="-18"/>
        </w:rPr>
        <w:t> </w:t>
      </w:r>
      <w:r>
        <w:rPr/>
        <w:t>University, across</w:t>
      </w:r>
      <w:r>
        <w:rPr>
          <w:spacing w:val="-28"/>
        </w:rPr>
        <w:t> </w:t>
      </w:r>
      <w:r>
        <w:rPr/>
        <w:t>Schools,</w:t>
      </w:r>
      <w:r>
        <w:rPr>
          <w:spacing w:val="-28"/>
        </w:rPr>
        <w:t> </w:t>
      </w:r>
      <w:r>
        <w:rPr/>
        <w:t>Institutes</w:t>
      </w:r>
      <w:r>
        <w:rPr>
          <w:spacing w:val="-28"/>
        </w:rPr>
        <w:t> </w:t>
      </w:r>
      <w:r>
        <w:rPr/>
        <w:t>and</w:t>
      </w:r>
      <w:r>
        <w:rPr>
          <w:spacing w:val="-28"/>
        </w:rPr>
        <w:t> </w:t>
      </w:r>
      <w:r>
        <w:rPr/>
        <w:t>Divisions.</w:t>
      </w:r>
    </w:p>
    <w:p>
      <w:pPr>
        <w:pStyle w:val="BodyText"/>
        <w:spacing w:line="249" w:lineRule="auto" w:before="1"/>
        <w:ind w:left="305" w:right="-5"/>
      </w:pPr>
      <w:r>
        <w:rPr/>
        <w:t>This</w:t>
      </w:r>
      <w:r>
        <w:rPr>
          <w:spacing w:val="-18"/>
        </w:rPr>
        <w:t> </w:t>
      </w:r>
      <w:r>
        <w:rPr/>
        <w:t>review</w:t>
      </w:r>
      <w:r>
        <w:rPr>
          <w:spacing w:val="-18"/>
        </w:rPr>
        <w:t> </w:t>
      </w:r>
      <w:r>
        <w:rPr/>
        <w:t>was</w:t>
      </w:r>
      <w:r>
        <w:rPr>
          <w:spacing w:val="-18"/>
        </w:rPr>
        <w:t> </w:t>
      </w:r>
      <w:r>
        <w:rPr/>
        <w:t>performed</w:t>
      </w:r>
      <w:r>
        <w:rPr>
          <w:spacing w:val="-18"/>
        </w:rPr>
        <w:t> </w:t>
      </w:r>
      <w:r>
        <w:rPr/>
        <w:t>by</w:t>
      </w:r>
      <w:r>
        <w:rPr>
          <w:spacing w:val="-18"/>
        </w:rPr>
        <w:t> </w:t>
      </w:r>
      <w:r>
        <w:rPr/>
        <w:t>Deloitte,</w:t>
      </w:r>
      <w:r>
        <w:rPr>
          <w:spacing w:val="-18"/>
        </w:rPr>
        <w:t> </w:t>
      </w:r>
      <w:r>
        <w:rPr/>
        <w:t>and </w:t>
      </w:r>
      <w:r>
        <w:rPr>
          <w:spacing w:val="1"/>
          <w:w w:val="98"/>
        </w:rPr>
        <w:t>included</w:t>
      </w:r>
      <w:r>
        <w:rPr>
          <w:w w:val="98"/>
        </w:rPr>
        <w:t> </w:t>
      </w:r>
      <w:r>
        <w:rPr>
          <w:w w:val="98"/>
        </w:rPr>
        <w:t>over </w:t>
      </w:r>
      <w:r>
        <w:rPr>
          <w:spacing w:val="2"/>
          <w:w w:val="92"/>
        </w:rPr>
        <w:t>100</w:t>
      </w:r>
      <w:r>
        <w:rPr>
          <w:w w:val="92"/>
        </w:rPr>
        <w:t> </w:t>
      </w:r>
      <w:r>
        <w:rPr>
          <w:spacing w:val="1"/>
          <w:w w:val="97"/>
        </w:rPr>
        <w:t>engagement</w:t>
      </w:r>
      <w:r>
        <w:rPr>
          <w:w w:val="97"/>
        </w:rPr>
        <w:t> </w:t>
      </w:r>
      <w:r>
        <w:rPr>
          <w:spacing w:val="1"/>
          <w:w w:val="97"/>
        </w:rPr>
        <w:t>meetings</w:t>
      </w:r>
      <w:r>
        <w:rPr>
          <w:w w:val="97"/>
        </w:rPr>
        <w:t> </w:t>
      </w:r>
      <w:r>
        <w:rPr/>
        <w:t>and workshops of various shapes and sizes. The outcome of this review was communicated to the broader University via</w:t>
      </w:r>
      <w:r>
        <w:rPr>
          <w:spacing w:val="-19"/>
        </w:rPr>
        <w:t> </w:t>
      </w:r>
      <w:r>
        <w:rPr/>
        <w:t>a</w:t>
      </w:r>
      <w:r>
        <w:rPr>
          <w:spacing w:val="-19"/>
        </w:rPr>
        <w:t> </w:t>
      </w:r>
      <w:r>
        <w:rPr/>
        <w:t>discussion</w:t>
      </w:r>
      <w:r>
        <w:rPr>
          <w:spacing w:val="-19"/>
        </w:rPr>
        <w:t> </w:t>
      </w:r>
      <w:r>
        <w:rPr/>
        <w:t>paper,</w:t>
      </w:r>
      <w:r>
        <w:rPr>
          <w:spacing w:val="-19"/>
        </w:rPr>
        <w:t> </w:t>
      </w:r>
      <w:r>
        <w:rPr/>
        <w:t>with</w:t>
      </w:r>
      <w:r>
        <w:rPr>
          <w:spacing w:val="-19"/>
        </w:rPr>
        <w:t> </w:t>
      </w:r>
      <w:r>
        <w:rPr/>
        <w:t>an</w:t>
      </w:r>
      <w:r>
        <w:rPr>
          <w:spacing w:val="-19"/>
        </w:rPr>
        <w:t> </w:t>
      </w:r>
      <w:r>
        <w:rPr/>
        <w:t>overview</w:t>
      </w:r>
    </w:p>
    <w:p>
      <w:pPr>
        <w:pStyle w:val="BodyText"/>
        <w:spacing w:line="249" w:lineRule="auto"/>
        <w:ind w:left="305" w:right="153"/>
      </w:pPr>
      <w:r>
        <w:rPr/>
        <w:t>of the proposal for concepts to develop a “better business” professional services model for the University.</w:t>
      </w:r>
    </w:p>
    <w:p>
      <w:pPr>
        <w:pStyle w:val="BodyText"/>
        <w:spacing w:line="247" w:lineRule="auto" w:before="55"/>
        <w:ind w:left="305" w:right="224" w:hanging="199"/>
      </w:pPr>
      <w:r>
        <w:rPr>
          <w:rFonts w:ascii="Century Gothic" w:hAnsi="Century Gothic"/>
          <w:b/>
          <w:w w:val="115"/>
        </w:rPr>
        <w:t>≥ </w:t>
      </w:r>
      <w:r>
        <w:rPr>
          <w:rFonts w:ascii="Gotham Narrow Bold" w:hAnsi="Gotham Narrow Bold"/>
          <w:b/>
          <w:spacing w:val="2"/>
        </w:rPr>
        <w:t>Service Unlimited </w:t>
      </w:r>
      <w:r>
        <w:rPr/>
        <w:t>– despite key resourcing</w:t>
      </w:r>
      <w:r>
        <w:rPr>
          <w:spacing w:val="-20"/>
        </w:rPr>
        <w:t> </w:t>
      </w:r>
      <w:r>
        <w:rPr/>
        <w:t>challenges,</w:t>
      </w:r>
      <w:r>
        <w:rPr>
          <w:spacing w:val="-20"/>
        </w:rPr>
        <w:t> </w:t>
      </w:r>
      <w:r>
        <w:rPr/>
        <w:t>this</w:t>
      </w:r>
      <w:r>
        <w:rPr>
          <w:spacing w:val="-20"/>
        </w:rPr>
        <w:t> </w:t>
      </w:r>
      <w:r>
        <w:rPr/>
        <w:t>program</w:t>
      </w:r>
      <w:r>
        <w:rPr>
          <w:spacing w:val="-20"/>
        </w:rPr>
        <w:t> </w:t>
      </w:r>
      <w:r>
        <w:rPr/>
        <w:t>was able</w:t>
      </w:r>
      <w:r>
        <w:rPr>
          <w:spacing w:val="-14"/>
        </w:rPr>
        <w:t> </w:t>
      </w:r>
      <w:r>
        <w:rPr/>
        <w:t>to</w:t>
      </w:r>
      <w:r>
        <w:rPr>
          <w:spacing w:val="-14"/>
        </w:rPr>
        <w:t> </w:t>
      </w:r>
      <w:r>
        <w:rPr/>
        <w:t>develop</w:t>
      </w:r>
      <w:r>
        <w:rPr>
          <w:spacing w:val="-14"/>
        </w:rPr>
        <w:t> </w:t>
      </w:r>
      <w:r>
        <w:rPr/>
        <w:t>a</w:t>
      </w:r>
      <w:r>
        <w:rPr>
          <w:spacing w:val="-14"/>
        </w:rPr>
        <w:t> </w:t>
      </w:r>
      <w:r>
        <w:rPr/>
        <w:t>services</w:t>
      </w:r>
      <w:r>
        <w:rPr>
          <w:spacing w:val="-14"/>
        </w:rPr>
        <w:t> </w:t>
      </w:r>
      <w:r>
        <w:rPr/>
        <w:t>improvement roadmap,</w:t>
      </w:r>
      <w:r>
        <w:rPr>
          <w:spacing w:val="-16"/>
        </w:rPr>
        <w:t> </w:t>
      </w:r>
      <w:r>
        <w:rPr/>
        <w:t>and</w:t>
      </w:r>
      <w:r>
        <w:rPr>
          <w:spacing w:val="-16"/>
        </w:rPr>
        <w:t> </w:t>
      </w:r>
      <w:r>
        <w:rPr/>
        <w:t>conceptualise</w:t>
      </w:r>
      <w:r>
        <w:rPr>
          <w:spacing w:val="-16"/>
        </w:rPr>
        <w:t> </w:t>
      </w:r>
      <w:r>
        <w:rPr/>
        <w:t>options</w:t>
      </w:r>
      <w:r>
        <w:rPr>
          <w:spacing w:val="-16"/>
        </w:rPr>
        <w:t> </w:t>
      </w:r>
      <w:r>
        <w:rPr/>
        <w:t>for a University-wide Tiered Service model in conjunction with </w:t>
      </w:r>
      <w:r>
        <w:rPr>
          <w:spacing w:val="2"/>
        </w:rPr>
        <w:t>1PSQ, </w:t>
      </w:r>
      <w:r>
        <w:rPr/>
        <w:t>for potential further consolidation and rollout across </w:t>
      </w:r>
      <w:r>
        <w:rPr>
          <w:w w:val="95"/>
        </w:rPr>
        <w:t>the</w:t>
      </w:r>
      <w:r>
        <w:rPr>
          <w:spacing w:val="12"/>
          <w:w w:val="95"/>
        </w:rPr>
        <w:t> </w:t>
      </w:r>
      <w:r>
        <w:rPr>
          <w:w w:val="95"/>
        </w:rPr>
        <w:t>University.</w:t>
      </w:r>
    </w:p>
    <w:p>
      <w:pPr>
        <w:pStyle w:val="BodyText"/>
        <w:spacing w:before="11"/>
        <w:rPr>
          <w:sz w:val="19"/>
        </w:rPr>
      </w:pPr>
      <w:r>
        <w:rPr/>
        <w:br w:type="column"/>
      </w:r>
      <w:r>
        <w:rPr>
          <w:sz w:val="19"/>
        </w:rPr>
      </w:r>
    </w:p>
    <w:p>
      <w:pPr>
        <w:pStyle w:val="BodyText"/>
        <w:spacing w:line="247" w:lineRule="auto" w:before="1"/>
        <w:ind w:left="305" w:right="62" w:hanging="199"/>
      </w:pPr>
      <w:r>
        <w:rPr>
          <w:rFonts w:ascii="Century Gothic" w:hAnsi="Century Gothic"/>
          <w:b/>
          <w:w w:val="115"/>
        </w:rPr>
        <w:t>≥ </w:t>
      </w:r>
      <w:r>
        <w:rPr>
          <w:rFonts w:ascii="Gotham Narrow Bold" w:hAnsi="Gotham Narrow Bold"/>
          <w:b/>
        </w:rPr>
        <w:t>Red Tape Task Force </w:t>
      </w:r>
      <w:r>
        <w:rPr/>
        <w:t>– delivered a number of red tape reduction initiatives, including the securing of a number of Process Efficiency Grants for Student Appeals and HR processes. Collaborated with ITDS to ensure adoption of an e-form solution with significant process efficiency potential.</w:t>
      </w:r>
    </w:p>
    <w:p>
      <w:pPr>
        <w:spacing w:line="244" w:lineRule="auto" w:before="57"/>
        <w:ind w:left="305" w:right="27" w:hanging="199"/>
        <w:jc w:val="left"/>
        <w:rPr>
          <w:sz w:val="16"/>
        </w:rPr>
      </w:pPr>
      <w:r>
        <w:rPr>
          <w:rFonts w:ascii="Century Gothic" w:hAnsi="Century Gothic"/>
          <w:b/>
          <w:w w:val="115"/>
          <w:sz w:val="16"/>
        </w:rPr>
        <w:t>≥ </w:t>
      </w:r>
      <w:r>
        <w:rPr>
          <w:rFonts w:ascii="Gotham Narrow Bold" w:hAnsi="Gotham Narrow Bold"/>
          <w:b/>
          <w:sz w:val="16"/>
        </w:rPr>
        <w:t>Divisional Services and Process Assessment </w:t>
      </w:r>
      <w:r>
        <w:rPr>
          <w:sz w:val="16"/>
        </w:rPr>
        <w:t>– provided project management support for the ongoing centralisation of College support resources based on the Hub and Spoke model.</w:t>
      </w:r>
    </w:p>
    <w:p>
      <w:pPr>
        <w:pStyle w:val="BodyText"/>
        <w:spacing w:line="244" w:lineRule="auto" w:before="58"/>
        <w:ind w:left="305" w:right="212" w:hanging="199"/>
      </w:pPr>
      <w:r>
        <w:rPr>
          <w:rFonts w:ascii="Century Gothic" w:hAnsi="Century Gothic"/>
          <w:b/>
          <w:w w:val="115"/>
        </w:rPr>
        <w:t>≥ </w:t>
      </w:r>
      <w:r>
        <w:rPr>
          <w:rFonts w:ascii="Gotham Narrow Bold" w:hAnsi="Gotham Narrow Bold"/>
          <w:b/>
        </w:rPr>
        <w:t>Process Review and Optimisation Project </w:t>
      </w:r>
      <w:r>
        <w:rPr/>
        <w:t>– continued the review of University policies and process mapping improvements, including support for the travel policy review, recruitment, REDI, </w:t>
      </w:r>
      <w:r>
        <w:rPr>
          <w:w w:val="95"/>
        </w:rPr>
        <w:t>International Office and 1PSQ.</w:t>
      </w:r>
    </w:p>
    <w:p>
      <w:pPr>
        <w:spacing w:line="244" w:lineRule="auto" w:before="58"/>
        <w:ind w:left="305" w:right="469" w:hanging="199"/>
        <w:jc w:val="left"/>
        <w:rPr>
          <w:sz w:val="16"/>
        </w:rPr>
      </w:pPr>
      <w:r>
        <w:rPr>
          <w:rFonts w:ascii="Century Gothic" w:hAnsi="Century Gothic"/>
          <w:b/>
          <w:w w:val="115"/>
          <w:sz w:val="16"/>
        </w:rPr>
        <w:t>≥ </w:t>
      </w:r>
      <w:r>
        <w:rPr>
          <w:rFonts w:ascii="Gotham Narrow Bold" w:hAnsi="Gotham Narrow Bold"/>
          <w:b/>
          <w:sz w:val="16"/>
        </w:rPr>
        <w:t>Project Management </w:t>
      </w:r>
      <w:r>
        <w:rPr>
          <w:sz w:val="16"/>
        </w:rPr>
        <w:t>– commenced development of a fit-for-purpose Project Management framework and</w:t>
      </w:r>
    </w:p>
    <w:p>
      <w:pPr>
        <w:pStyle w:val="BodyText"/>
        <w:spacing w:line="249" w:lineRule="auto" w:before="3"/>
        <w:ind w:left="305" w:right="111"/>
      </w:pPr>
      <w:r>
        <w:rPr/>
        <w:t>methodology for the University, including the development of a prototype Project Management Toolkit which is currently under testing.</w:t>
      </w:r>
    </w:p>
    <w:p>
      <w:pPr>
        <w:pStyle w:val="BodyText"/>
        <w:spacing w:line="247" w:lineRule="auto" w:before="55"/>
        <w:ind w:left="305" w:right="15" w:hanging="199"/>
      </w:pPr>
      <w:r>
        <w:rPr>
          <w:rFonts w:ascii="Century Gothic" w:hAnsi="Century Gothic"/>
          <w:b/>
          <w:w w:val="115"/>
        </w:rPr>
        <w:t>≥ </w:t>
      </w:r>
      <w:r>
        <w:rPr>
          <w:rFonts w:ascii="Gotham Narrow Bold" w:hAnsi="Gotham Narrow Bold"/>
          <w:b/>
        </w:rPr>
        <w:t>Consolidation </w:t>
      </w:r>
      <w:r>
        <w:rPr/>
        <w:t>– the Project Delivery Office (PDO) in ITDS was incorporated into the PMO. This change enabled a reduction in duplication of services and has resulted in a reduction in operating costs with respect to level of service.</w:t>
      </w:r>
    </w:p>
    <w:p>
      <w:pPr>
        <w:pStyle w:val="BodyText"/>
      </w:pPr>
    </w:p>
    <w:p>
      <w:pPr>
        <w:pStyle w:val="BodyText"/>
        <w:spacing w:before="4"/>
        <w:rPr>
          <w:sz w:val="13"/>
        </w:rPr>
      </w:pPr>
    </w:p>
    <w:p>
      <w:pPr>
        <w:pStyle w:val="Heading5"/>
        <w:spacing w:line="260" w:lineRule="exact"/>
        <w:ind w:right="212"/>
      </w:pPr>
      <w:r>
        <w:rPr/>
        <w:t>FINANCIAL RESOURCES </w:t>
      </w:r>
      <w:r>
        <w:rPr>
          <w:w w:val="95"/>
        </w:rPr>
        <w:t>AND BUDGET OUTCOMES</w:t>
      </w:r>
    </w:p>
    <w:p>
      <w:pPr>
        <w:pStyle w:val="BodyText"/>
        <w:spacing w:line="249" w:lineRule="auto" w:before="101"/>
        <w:ind w:left="107" w:right="330"/>
      </w:pPr>
      <w:r>
        <w:rPr>
          <w:spacing w:val="1"/>
          <w:w w:val="94"/>
        </w:rPr>
        <w:t>The</w:t>
      </w:r>
      <w:r>
        <w:rPr>
          <w:w w:val="94"/>
        </w:rPr>
        <w:t> </w:t>
      </w:r>
      <w:r>
        <w:rPr>
          <w:spacing w:val="1"/>
          <w:w w:val="97"/>
        </w:rPr>
        <w:t>University</w:t>
      </w:r>
      <w:r>
        <w:rPr>
          <w:w w:val="97"/>
        </w:rPr>
        <w:t> </w:t>
      </w:r>
      <w:r>
        <w:rPr>
          <w:spacing w:val="1"/>
          <w:w w:val="98"/>
        </w:rPr>
        <w:t>ended</w:t>
      </w:r>
      <w:r>
        <w:rPr>
          <w:w w:val="98"/>
        </w:rPr>
        <w:t> </w:t>
      </w:r>
      <w:r>
        <w:rPr>
          <w:w w:val="97"/>
        </w:rPr>
        <w:t>the </w:t>
      </w:r>
      <w:r>
        <w:rPr>
          <w:spacing w:val="1"/>
          <w:w w:val="90"/>
        </w:rPr>
        <w:t>2016</w:t>
      </w:r>
      <w:r>
        <w:rPr>
          <w:w w:val="90"/>
        </w:rPr>
        <w:t> </w:t>
      </w:r>
      <w:r>
        <w:rPr>
          <w:spacing w:val="1"/>
          <w:w w:val="96"/>
        </w:rPr>
        <w:t>financial</w:t>
      </w:r>
      <w:r>
        <w:rPr>
          <w:w w:val="96"/>
        </w:rPr>
        <w:t> </w:t>
      </w:r>
      <w:r>
        <w:rPr/>
        <w:t>year with a consolidated reported surplus of</w:t>
      </w:r>
      <w:r>
        <w:rPr>
          <w:spacing w:val="-24"/>
        </w:rPr>
        <w:t> </w:t>
      </w:r>
      <w:r>
        <w:rPr>
          <w:spacing w:val="3"/>
        </w:rPr>
        <w:t>$34.8</w:t>
      </w:r>
      <w:r>
        <w:rPr>
          <w:spacing w:val="-24"/>
        </w:rPr>
        <w:t> </w:t>
      </w:r>
      <w:r>
        <w:rPr/>
        <w:t>million,</w:t>
      </w:r>
      <w:r>
        <w:rPr>
          <w:spacing w:val="-24"/>
        </w:rPr>
        <w:t> </w:t>
      </w:r>
      <w:r>
        <w:rPr/>
        <w:t>compared</w:t>
      </w:r>
      <w:r>
        <w:rPr>
          <w:spacing w:val="-24"/>
        </w:rPr>
        <w:t> </w:t>
      </w:r>
      <w:r>
        <w:rPr/>
        <w:t>to</w:t>
      </w:r>
      <w:r>
        <w:rPr>
          <w:spacing w:val="-24"/>
        </w:rPr>
        <w:t> </w:t>
      </w:r>
      <w:r>
        <w:rPr>
          <w:spacing w:val="2"/>
        </w:rPr>
        <w:t>$41.3</w:t>
      </w:r>
      <w:r>
        <w:rPr>
          <w:spacing w:val="-24"/>
        </w:rPr>
        <w:t> </w:t>
      </w:r>
      <w:r>
        <w:rPr/>
        <w:t>million </w:t>
      </w:r>
      <w:r>
        <w:rPr>
          <w:w w:val="95"/>
        </w:rPr>
        <w:t>in</w:t>
      </w:r>
      <w:r>
        <w:rPr>
          <w:spacing w:val="-8"/>
          <w:w w:val="95"/>
        </w:rPr>
        <w:t> </w:t>
      </w:r>
      <w:r>
        <w:rPr>
          <w:spacing w:val="1"/>
          <w:w w:val="88"/>
        </w:rPr>
        <w:t>2015</w:t>
      </w:r>
      <w:r>
        <w:rPr>
          <w:spacing w:val="-4"/>
          <w:w w:val="88"/>
        </w:rPr>
        <w:t> </w:t>
      </w:r>
      <w:r>
        <w:rPr>
          <w:spacing w:val="1"/>
          <w:w w:val="97"/>
        </w:rPr>
        <w:t>and</w:t>
      </w:r>
      <w:r>
        <w:rPr>
          <w:spacing w:val="-9"/>
          <w:w w:val="97"/>
        </w:rPr>
        <w:t> </w:t>
      </w:r>
      <w:r>
        <w:rPr>
          <w:w w:val="94"/>
        </w:rPr>
        <w:t>a</w:t>
      </w:r>
      <w:r>
        <w:rPr>
          <w:spacing w:val="-7"/>
          <w:w w:val="94"/>
        </w:rPr>
        <w:t> </w:t>
      </w:r>
      <w:r>
        <w:rPr>
          <w:spacing w:val="1"/>
          <w:w w:val="90"/>
        </w:rPr>
        <w:t>2016</w:t>
      </w:r>
      <w:r>
        <w:rPr>
          <w:spacing w:val="-5"/>
          <w:w w:val="90"/>
        </w:rPr>
        <w:t> </w:t>
      </w:r>
      <w:r>
        <w:rPr>
          <w:spacing w:val="1"/>
          <w:w w:val="100"/>
        </w:rPr>
        <w:t>budget</w:t>
      </w:r>
      <w:r>
        <w:rPr>
          <w:spacing w:val="-10"/>
          <w:w w:val="100"/>
        </w:rPr>
        <w:t> </w:t>
      </w:r>
      <w:r>
        <w:rPr>
          <w:w w:val="99"/>
        </w:rPr>
        <w:t>of</w:t>
      </w:r>
      <w:r>
        <w:rPr>
          <w:spacing w:val="-10"/>
          <w:w w:val="99"/>
        </w:rPr>
        <w:t> </w:t>
      </w:r>
      <w:r>
        <w:rPr>
          <w:spacing w:val="2"/>
          <w:w w:val="85"/>
        </w:rPr>
        <w:t>$132.6</w:t>
      </w:r>
      <w:r>
        <w:rPr>
          <w:spacing w:val="-3"/>
          <w:w w:val="85"/>
        </w:rPr>
        <w:t> </w:t>
      </w:r>
      <w:r>
        <w:rPr>
          <w:spacing w:val="1"/>
          <w:w w:val="93"/>
        </w:rPr>
        <w:t>million.</w:t>
      </w:r>
      <w:r>
        <w:rPr>
          <w:w w:val="93"/>
        </w:rPr>
        <w:t> </w:t>
      </w:r>
      <w:r>
        <w:rPr>
          <w:spacing w:val="1"/>
          <w:w w:val="94"/>
        </w:rPr>
        <w:t>This</w:t>
      </w:r>
      <w:r>
        <w:rPr>
          <w:w w:val="94"/>
        </w:rPr>
        <w:t> </w:t>
      </w:r>
      <w:r>
        <w:rPr>
          <w:spacing w:val="1"/>
          <w:w w:val="97"/>
        </w:rPr>
        <w:t>variance</w:t>
      </w:r>
      <w:r>
        <w:rPr>
          <w:w w:val="97"/>
        </w:rPr>
        <w:t> </w:t>
      </w:r>
      <w:r>
        <w:rPr>
          <w:spacing w:val="1"/>
          <w:w w:val="97"/>
        </w:rPr>
        <w:t>against</w:t>
      </w:r>
      <w:r>
        <w:rPr>
          <w:w w:val="97"/>
        </w:rPr>
        <w:t> </w:t>
      </w:r>
      <w:r>
        <w:rPr>
          <w:w w:val="97"/>
        </w:rPr>
        <w:t>the </w:t>
      </w:r>
      <w:r>
        <w:rPr>
          <w:spacing w:val="1"/>
          <w:w w:val="90"/>
        </w:rPr>
        <w:t>2016</w:t>
      </w:r>
      <w:r>
        <w:rPr>
          <w:w w:val="90"/>
        </w:rPr>
        <w:t> </w:t>
      </w:r>
      <w:r>
        <w:rPr>
          <w:spacing w:val="1"/>
          <w:w w:val="100"/>
        </w:rPr>
        <w:t>budget</w:t>
      </w:r>
      <w:r>
        <w:rPr>
          <w:w w:val="100"/>
        </w:rPr>
        <w:t> </w:t>
      </w:r>
      <w:r>
        <w:rPr/>
        <w:t>predominantly reflects the</w:t>
      </w:r>
      <w:r>
        <w:rPr>
          <w:spacing w:val="-38"/>
        </w:rPr>
        <w:t> </w:t>
      </w:r>
      <w:r>
        <w:rPr/>
        <w:t>updated</w:t>
      </w:r>
    </w:p>
    <w:p>
      <w:pPr>
        <w:pStyle w:val="BodyText"/>
        <w:spacing w:line="249" w:lineRule="auto"/>
        <w:ind w:left="107" w:right="111"/>
      </w:pPr>
      <w:r>
        <w:rPr/>
        <w:t>accounting standards treatment for the $128 million</w:t>
      </w:r>
      <w:r>
        <w:rPr>
          <w:spacing w:val="-15"/>
        </w:rPr>
        <w:t> </w:t>
      </w:r>
      <w:r>
        <w:rPr/>
        <w:t>sale</w:t>
      </w:r>
      <w:r>
        <w:rPr>
          <w:spacing w:val="-15"/>
        </w:rPr>
        <w:t> </w:t>
      </w:r>
      <w:r>
        <w:rPr/>
        <w:t>of</w:t>
      </w:r>
      <w:r>
        <w:rPr>
          <w:spacing w:val="-15"/>
        </w:rPr>
        <w:t> </w:t>
      </w:r>
      <w:r>
        <w:rPr/>
        <w:t>Westmead</w:t>
      </w:r>
      <w:r>
        <w:rPr>
          <w:spacing w:val="-15"/>
        </w:rPr>
        <w:t> </w:t>
      </w:r>
      <w:r>
        <w:rPr/>
        <w:t>Site</w:t>
      </w:r>
      <w:r>
        <w:rPr>
          <w:spacing w:val="-15"/>
        </w:rPr>
        <w:t> </w:t>
      </w:r>
      <w:r>
        <w:rPr/>
        <w:t>Redevelopment land, compared to the treatment included in </w:t>
      </w:r>
      <w:r>
        <w:rPr>
          <w:w w:val="97"/>
        </w:rPr>
        <w:t>the </w:t>
      </w:r>
      <w:r>
        <w:rPr>
          <w:spacing w:val="1"/>
          <w:w w:val="90"/>
        </w:rPr>
        <w:t>2016</w:t>
      </w:r>
      <w:r>
        <w:rPr>
          <w:w w:val="90"/>
        </w:rPr>
        <w:t> </w:t>
      </w:r>
      <w:r>
        <w:rPr>
          <w:spacing w:val="1"/>
          <w:w w:val="95"/>
        </w:rPr>
        <w:t>budget.</w:t>
      </w:r>
      <w:r>
        <w:rPr>
          <w:w w:val="95"/>
        </w:rPr>
        <w:t> </w:t>
      </w:r>
      <w:r>
        <w:rPr>
          <w:spacing w:val="1"/>
          <w:w w:val="93"/>
        </w:rPr>
        <w:t>Overall,</w:t>
      </w:r>
      <w:r>
        <w:rPr>
          <w:w w:val="93"/>
        </w:rPr>
        <w:t> </w:t>
      </w:r>
      <w:r>
        <w:rPr>
          <w:w w:val="97"/>
        </w:rPr>
        <w:t>the </w:t>
      </w:r>
      <w:r>
        <w:rPr>
          <w:spacing w:val="3"/>
          <w:w w:val="92"/>
        </w:rPr>
        <w:t>$34.8</w:t>
      </w:r>
      <w:r>
        <w:rPr>
          <w:w w:val="92"/>
        </w:rPr>
        <w:t> </w:t>
      </w:r>
      <w:r>
        <w:rPr>
          <w:w w:val="96"/>
        </w:rPr>
        <w:t>million </w:t>
      </w:r>
      <w:r>
        <w:rPr/>
        <w:t>surplus reflects controlled staff numbers; centralised functions (particularly in the divisional areas); strict fiscal discipline on overhead expenditure; and better than anticipated</w:t>
      </w:r>
      <w:r>
        <w:rPr>
          <w:spacing w:val="-21"/>
        </w:rPr>
        <w:t> </w:t>
      </w:r>
      <w:r>
        <w:rPr/>
        <w:t>returns</w:t>
      </w:r>
      <w:r>
        <w:rPr>
          <w:spacing w:val="-21"/>
        </w:rPr>
        <w:t> </w:t>
      </w:r>
      <w:r>
        <w:rPr/>
        <w:t>on</w:t>
      </w:r>
      <w:r>
        <w:rPr>
          <w:spacing w:val="-21"/>
        </w:rPr>
        <w:t> </w:t>
      </w:r>
      <w:r>
        <w:rPr/>
        <w:t>commercial</w:t>
      </w:r>
      <w:r>
        <w:rPr>
          <w:spacing w:val="-21"/>
        </w:rPr>
        <w:t> </w:t>
      </w:r>
      <w:r>
        <w:rPr/>
        <w:t>activities.</w:t>
      </w:r>
      <w:r>
        <w:rPr>
          <w:spacing w:val="-21"/>
        </w:rPr>
        <w:t> </w:t>
      </w:r>
      <w:r>
        <w:rPr/>
        <w:t>It also</w:t>
      </w:r>
      <w:r>
        <w:rPr>
          <w:spacing w:val="-23"/>
        </w:rPr>
        <w:t> </w:t>
      </w:r>
      <w:r>
        <w:rPr/>
        <w:t>includes</w:t>
      </w:r>
      <w:r>
        <w:rPr>
          <w:spacing w:val="-23"/>
        </w:rPr>
        <w:t> </w:t>
      </w:r>
      <w:r>
        <w:rPr>
          <w:spacing w:val="2"/>
        </w:rPr>
        <w:t>$19.3</w:t>
      </w:r>
      <w:r>
        <w:rPr>
          <w:spacing w:val="-23"/>
        </w:rPr>
        <w:t> </w:t>
      </w:r>
      <w:r>
        <w:rPr/>
        <w:t>million</w:t>
      </w:r>
      <w:r>
        <w:rPr>
          <w:spacing w:val="-23"/>
        </w:rPr>
        <w:t> </w:t>
      </w:r>
      <w:r>
        <w:rPr/>
        <w:t>in</w:t>
      </w:r>
      <w:r>
        <w:rPr>
          <w:spacing w:val="-23"/>
        </w:rPr>
        <w:t> </w:t>
      </w:r>
      <w:r>
        <w:rPr/>
        <w:t>payments</w:t>
      </w:r>
      <w:r>
        <w:rPr>
          <w:spacing w:val="-23"/>
        </w:rPr>
        <w:t> </w:t>
      </w:r>
      <w:r>
        <w:rPr/>
        <w:t>to</w:t>
      </w:r>
      <w:r>
        <w:rPr>
          <w:spacing w:val="-23"/>
        </w:rPr>
        <w:t> </w:t>
      </w:r>
      <w:r>
        <w:rPr/>
        <w:t>staff members who took up the Early Voluntary </w:t>
      </w:r>
      <w:r>
        <w:rPr>
          <w:w w:val="97"/>
        </w:rPr>
        <w:t>Retirement </w:t>
      </w:r>
      <w:r>
        <w:rPr>
          <w:spacing w:val="1"/>
          <w:w w:val="97"/>
        </w:rPr>
        <w:t>Scheme</w:t>
      </w:r>
      <w:r>
        <w:rPr>
          <w:w w:val="97"/>
        </w:rPr>
        <w:t> </w:t>
      </w:r>
      <w:r>
        <w:rPr>
          <w:w w:val="97"/>
        </w:rPr>
        <w:t>offer </w:t>
      </w:r>
      <w:r>
        <w:rPr>
          <w:w w:val="95"/>
        </w:rPr>
        <w:t>in </w:t>
      </w:r>
      <w:r>
        <w:rPr>
          <w:spacing w:val="1"/>
          <w:w w:val="98"/>
        </w:rPr>
        <w:t>December</w:t>
      </w:r>
      <w:r>
        <w:rPr>
          <w:spacing w:val="-28"/>
          <w:w w:val="98"/>
        </w:rPr>
        <w:t> </w:t>
      </w:r>
      <w:r>
        <w:rPr>
          <w:spacing w:val="2"/>
          <w:w w:val="85"/>
        </w:rPr>
        <w:t>2016.</w:t>
      </w:r>
    </w:p>
    <w:p>
      <w:pPr>
        <w:spacing w:after="0" w:line="249" w:lineRule="auto"/>
        <w:sectPr>
          <w:type w:val="continuous"/>
          <w:pgSz w:w="11910" w:h="16840"/>
          <w:pgMar w:top="1580" w:bottom="280" w:left="800" w:right="800"/>
          <w:cols w:num="3" w:equalWidth="0">
            <w:col w:w="3320" w:space="119"/>
            <w:col w:w="3313" w:space="126"/>
            <w:col w:w="3432"/>
          </w:cols>
        </w:sectPr>
      </w:pPr>
    </w:p>
    <w:p>
      <w:pPr>
        <w:pStyle w:val="BodyText"/>
        <w:spacing w:before="9"/>
        <w:rPr>
          <w:sz w:val="28"/>
        </w:rPr>
      </w:pPr>
    </w:p>
    <w:p>
      <w:pPr>
        <w:pStyle w:val="Heading2"/>
        <w:ind w:right="8063"/>
        <w:rPr>
          <w:b w:val="0"/>
        </w:rPr>
      </w:pPr>
      <w:r>
        <w:rPr>
          <w:b w:val="0"/>
        </w:rPr>
        <w:t>Finance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6" w:footer="472" w:top="680" w:bottom="660" w:left="800" w:right="800"/>
        </w:sectPr>
      </w:pPr>
    </w:p>
    <w:p>
      <w:pPr>
        <w:pStyle w:val="BodyText"/>
        <w:spacing w:before="11"/>
        <w:rPr>
          <w:rFonts w:ascii="Chronicle Text G1"/>
          <w:b w:val="0"/>
        </w:rPr>
      </w:pPr>
    </w:p>
    <w:p>
      <w:pPr>
        <w:pStyle w:val="BodyText"/>
        <w:spacing w:line="249" w:lineRule="auto"/>
        <w:ind w:left="107" w:right="-2"/>
      </w:pPr>
      <w:r>
        <w:rPr>
          <w:spacing w:val="1"/>
          <w:w w:val="94"/>
        </w:rPr>
        <w:t>The</w:t>
      </w:r>
      <w:r>
        <w:rPr>
          <w:spacing w:val="-8"/>
          <w:w w:val="94"/>
        </w:rPr>
        <w:t> </w:t>
      </w:r>
      <w:r>
        <w:rPr>
          <w:w w:val="99"/>
        </w:rPr>
        <w:t>outcome</w:t>
      </w:r>
      <w:r>
        <w:rPr>
          <w:spacing w:val="-11"/>
          <w:w w:val="99"/>
        </w:rPr>
        <w:t> </w:t>
      </w:r>
      <w:r>
        <w:rPr>
          <w:w w:val="95"/>
        </w:rPr>
        <w:t>is</w:t>
      </w:r>
      <w:r>
        <w:rPr>
          <w:spacing w:val="-9"/>
          <w:w w:val="95"/>
        </w:rPr>
        <w:t> </w:t>
      </w:r>
      <w:r>
        <w:rPr>
          <w:w w:val="95"/>
        </w:rPr>
        <w:t>in</w:t>
      </w:r>
      <w:r>
        <w:rPr>
          <w:spacing w:val="-9"/>
          <w:w w:val="95"/>
        </w:rPr>
        <w:t> </w:t>
      </w:r>
      <w:r>
        <w:rPr>
          <w:w w:val="95"/>
        </w:rPr>
        <w:t>line</w:t>
      </w:r>
      <w:r>
        <w:rPr>
          <w:spacing w:val="-9"/>
          <w:w w:val="95"/>
        </w:rPr>
        <w:t> </w:t>
      </w:r>
      <w:r>
        <w:rPr>
          <w:w w:val="98"/>
        </w:rPr>
        <w:t>with</w:t>
      </w:r>
      <w:r>
        <w:rPr>
          <w:spacing w:val="-10"/>
          <w:w w:val="98"/>
        </w:rPr>
        <w:t> </w:t>
      </w:r>
      <w:r>
        <w:rPr>
          <w:w w:val="97"/>
        </w:rPr>
        <w:t>the</w:t>
      </w:r>
      <w:r>
        <w:rPr>
          <w:spacing w:val="-10"/>
          <w:w w:val="97"/>
        </w:rPr>
        <w:t> </w:t>
      </w:r>
      <w:r>
        <w:rPr>
          <w:spacing w:val="1"/>
          <w:w w:val="97"/>
        </w:rPr>
        <w:t>plan</w:t>
      </w:r>
      <w:r>
        <w:rPr>
          <w:spacing w:val="-9"/>
          <w:w w:val="97"/>
        </w:rPr>
        <w:t> </w:t>
      </w:r>
      <w:r>
        <w:rPr>
          <w:w w:val="98"/>
        </w:rPr>
        <w:t>for</w:t>
      </w:r>
      <w:r>
        <w:rPr>
          <w:spacing w:val="-10"/>
          <w:w w:val="98"/>
        </w:rPr>
        <w:t> </w:t>
      </w:r>
      <w:r>
        <w:rPr>
          <w:spacing w:val="1"/>
          <w:w w:val="90"/>
        </w:rPr>
        <w:t>2016</w:t>
      </w:r>
      <w:r>
        <w:rPr>
          <w:spacing w:val="-6"/>
          <w:w w:val="90"/>
        </w:rPr>
        <w:t> </w:t>
      </w:r>
      <w:r>
        <w:rPr>
          <w:spacing w:val="-1"/>
          <w:w w:val="101"/>
        </w:rPr>
        <w:t>to</w:t>
      </w:r>
      <w:r>
        <w:rPr>
          <w:w w:val="101"/>
        </w:rPr>
        <w:t> </w:t>
      </w:r>
      <w:r>
        <w:rPr/>
        <w:t>create a buffer against any dramatic </w:t>
      </w:r>
      <w:r>
        <w:rPr>
          <w:spacing w:val="2"/>
        </w:rPr>
        <w:t>impacts </w:t>
      </w:r>
      <w:r>
        <w:rPr/>
        <w:t>of</w:t>
      </w:r>
      <w:r>
        <w:rPr>
          <w:spacing w:val="-15"/>
        </w:rPr>
        <w:t> </w:t>
      </w:r>
      <w:r>
        <w:rPr/>
        <w:t>proposed</w:t>
      </w:r>
      <w:r>
        <w:rPr>
          <w:spacing w:val="-15"/>
        </w:rPr>
        <w:t> </w:t>
      </w:r>
      <w:r>
        <w:rPr/>
        <w:t>regulatory</w:t>
      </w:r>
      <w:r>
        <w:rPr>
          <w:spacing w:val="-15"/>
        </w:rPr>
        <w:t> </w:t>
      </w:r>
      <w:r>
        <w:rPr/>
        <w:t>changes.</w:t>
      </w:r>
    </w:p>
    <w:p>
      <w:pPr>
        <w:pStyle w:val="BodyText"/>
        <w:rPr>
          <w:sz w:val="14"/>
        </w:rPr>
      </w:pPr>
    </w:p>
    <w:p>
      <w:pPr>
        <w:pStyle w:val="BodyText"/>
        <w:spacing w:line="249" w:lineRule="auto"/>
        <w:ind w:left="107" w:right="13"/>
      </w:pPr>
      <w:r>
        <w:rPr/>
        <w:t>Revenue from continuing operations increased to $774.8 million, which was $19.2 </w:t>
      </w:r>
      <w:r>
        <w:rPr>
          <w:w w:val="96"/>
        </w:rPr>
        <w:t>million </w:t>
      </w:r>
      <w:r>
        <w:rPr>
          <w:w w:val="88"/>
        </w:rPr>
        <w:t>(2.5 </w:t>
      </w:r>
      <w:r>
        <w:rPr>
          <w:w w:val="97"/>
        </w:rPr>
        <w:t>per </w:t>
      </w:r>
      <w:r>
        <w:rPr>
          <w:w w:val="98"/>
        </w:rPr>
        <w:t>cent) </w:t>
      </w:r>
      <w:r>
        <w:rPr>
          <w:w w:val="96"/>
        </w:rPr>
        <w:t>higher </w:t>
      </w:r>
      <w:r>
        <w:rPr>
          <w:w w:val="97"/>
        </w:rPr>
        <w:t>than </w:t>
      </w:r>
      <w:r>
        <w:rPr>
          <w:w w:val="95"/>
        </w:rPr>
        <w:t>in </w:t>
      </w:r>
      <w:r>
        <w:rPr>
          <w:w w:val="84"/>
        </w:rPr>
        <w:t>2015. </w:t>
      </w:r>
      <w:r>
        <w:rPr>
          <w:w w:val="94"/>
        </w:rPr>
        <w:t>This </w:t>
      </w:r>
      <w:r>
        <w:rPr/>
        <w:t>increase incorporates the University’s move towards uncapped demand-driven student funding and includes Australian Government financial assistance, which increased by</w:t>
      </w:r>
    </w:p>
    <w:p>
      <w:pPr>
        <w:pStyle w:val="BodyText"/>
        <w:spacing w:line="249" w:lineRule="auto"/>
        <w:ind w:left="107" w:right="221"/>
      </w:pPr>
      <w:r>
        <w:rPr>
          <w:w w:val="90"/>
        </w:rPr>
        <w:t>$5.8 </w:t>
      </w:r>
      <w:r>
        <w:rPr>
          <w:w w:val="96"/>
        </w:rPr>
        <w:t>million </w:t>
      </w:r>
      <w:r>
        <w:rPr>
          <w:w w:val="82"/>
        </w:rPr>
        <w:t>(1.0 </w:t>
      </w:r>
      <w:r>
        <w:rPr>
          <w:w w:val="97"/>
        </w:rPr>
        <w:t>per </w:t>
      </w:r>
      <w:r>
        <w:rPr>
          <w:w w:val="98"/>
        </w:rPr>
        <w:t>cent) </w:t>
      </w:r>
      <w:r>
        <w:rPr>
          <w:w w:val="101"/>
        </w:rPr>
        <w:t>to </w:t>
      </w:r>
      <w:r>
        <w:rPr>
          <w:w w:val="93"/>
        </w:rPr>
        <w:t>$569.3 </w:t>
      </w:r>
      <w:r>
        <w:rPr>
          <w:w w:val="93"/>
        </w:rPr>
        <w:t>million. </w:t>
      </w:r>
      <w:r>
        <w:rPr/>
        <w:t>Revenue from international student fees increased by $4.4 million (5.8 per cent) to</w:t>
      </w:r>
    </w:p>
    <w:p>
      <w:pPr>
        <w:pStyle w:val="BodyText"/>
        <w:spacing w:line="249" w:lineRule="auto"/>
        <w:ind w:left="107" w:right="118"/>
        <w:jc w:val="both"/>
      </w:pPr>
      <w:r>
        <w:rPr/>
        <w:t>$80.7</w:t>
      </w:r>
      <w:r>
        <w:rPr>
          <w:spacing w:val="-20"/>
        </w:rPr>
        <w:t> </w:t>
      </w:r>
      <w:r>
        <w:rPr/>
        <w:t>million,</w:t>
      </w:r>
      <w:r>
        <w:rPr>
          <w:spacing w:val="-20"/>
        </w:rPr>
        <w:t> </w:t>
      </w:r>
      <w:r>
        <w:rPr/>
        <w:t>and</w:t>
      </w:r>
      <w:r>
        <w:rPr>
          <w:spacing w:val="-20"/>
        </w:rPr>
        <w:t> </w:t>
      </w:r>
      <w:r>
        <w:rPr/>
        <w:t>revenue</w:t>
      </w:r>
      <w:r>
        <w:rPr>
          <w:spacing w:val="-20"/>
        </w:rPr>
        <w:t> </w:t>
      </w:r>
      <w:r>
        <w:rPr/>
        <w:t>from</w:t>
      </w:r>
      <w:r>
        <w:rPr>
          <w:spacing w:val="-20"/>
        </w:rPr>
        <w:t> </w:t>
      </w:r>
      <w:r>
        <w:rPr/>
        <w:t>other</w:t>
      </w:r>
      <w:r>
        <w:rPr>
          <w:spacing w:val="-20"/>
        </w:rPr>
        <w:t> </w:t>
      </w:r>
      <w:r>
        <w:rPr/>
        <w:t>course fees</w:t>
      </w:r>
      <w:r>
        <w:rPr>
          <w:spacing w:val="-30"/>
        </w:rPr>
        <w:t> </w:t>
      </w:r>
      <w:r>
        <w:rPr/>
        <w:t>decreased</w:t>
      </w:r>
      <w:r>
        <w:rPr>
          <w:spacing w:val="-30"/>
        </w:rPr>
        <w:t> </w:t>
      </w:r>
      <w:r>
        <w:rPr/>
        <w:t>by</w:t>
      </w:r>
      <w:r>
        <w:rPr>
          <w:spacing w:val="-30"/>
        </w:rPr>
        <w:t> </w:t>
      </w:r>
      <w:r>
        <w:rPr>
          <w:spacing w:val="3"/>
        </w:rPr>
        <w:t>$1.2</w:t>
      </w:r>
      <w:r>
        <w:rPr>
          <w:spacing w:val="-30"/>
        </w:rPr>
        <w:t> </w:t>
      </w:r>
      <w:r>
        <w:rPr/>
        <w:t>million</w:t>
      </w:r>
      <w:r>
        <w:rPr>
          <w:spacing w:val="-30"/>
        </w:rPr>
        <w:t> </w:t>
      </w:r>
      <w:r>
        <w:rPr>
          <w:spacing w:val="3"/>
        </w:rPr>
        <w:t>(14.5</w:t>
      </w:r>
      <w:r>
        <w:rPr>
          <w:spacing w:val="-30"/>
        </w:rPr>
        <w:t> </w:t>
      </w:r>
      <w:r>
        <w:rPr/>
        <w:t>per</w:t>
      </w:r>
      <w:r>
        <w:rPr>
          <w:spacing w:val="-30"/>
        </w:rPr>
        <w:t> </w:t>
      </w:r>
      <w:r>
        <w:rPr/>
        <w:t>cent) </w:t>
      </w:r>
      <w:r>
        <w:rPr>
          <w:w w:val="95"/>
        </w:rPr>
        <w:t>to</w:t>
      </w:r>
      <w:r>
        <w:rPr>
          <w:spacing w:val="-25"/>
          <w:w w:val="95"/>
        </w:rPr>
        <w:t> </w:t>
      </w:r>
      <w:r>
        <w:rPr>
          <w:spacing w:val="-3"/>
          <w:w w:val="95"/>
        </w:rPr>
        <w:t>$7.1</w:t>
      </w:r>
      <w:r>
        <w:rPr>
          <w:spacing w:val="-25"/>
          <w:w w:val="95"/>
        </w:rPr>
        <w:t> </w:t>
      </w:r>
      <w:r>
        <w:rPr>
          <w:w w:val="95"/>
        </w:rPr>
        <w:t>million.</w:t>
      </w:r>
    </w:p>
    <w:p>
      <w:pPr>
        <w:pStyle w:val="BodyText"/>
        <w:rPr>
          <w:sz w:val="14"/>
        </w:rPr>
      </w:pPr>
    </w:p>
    <w:p>
      <w:pPr>
        <w:pStyle w:val="BodyText"/>
        <w:ind w:left="107" w:right="-2"/>
      </w:pPr>
      <w:r>
        <w:rPr/>
        <w:t>Expenses from continuing operations rose by</w:t>
      </w:r>
    </w:p>
    <w:p>
      <w:pPr>
        <w:pStyle w:val="BodyText"/>
        <w:spacing w:line="249" w:lineRule="auto" w:before="7"/>
        <w:ind w:left="107" w:right="132"/>
        <w:jc w:val="both"/>
      </w:pPr>
      <w:r>
        <w:rPr/>
        <w:t>$25.7</w:t>
      </w:r>
      <w:r>
        <w:rPr>
          <w:spacing w:val="-23"/>
        </w:rPr>
        <w:t> </w:t>
      </w:r>
      <w:r>
        <w:rPr/>
        <w:t>million</w:t>
      </w:r>
      <w:r>
        <w:rPr>
          <w:spacing w:val="-23"/>
        </w:rPr>
        <w:t> </w:t>
      </w:r>
      <w:r>
        <w:rPr>
          <w:spacing w:val="2"/>
        </w:rPr>
        <w:t>(3.6</w:t>
      </w:r>
      <w:r>
        <w:rPr>
          <w:spacing w:val="-23"/>
        </w:rPr>
        <w:t> </w:t>
      </w:r>
      <w:r>
        <w:rPr/>
        <w:t>per</w:t>
      </w:r>
      <w:r>
        <w:rPr>
          <w:spacing w:val="-23"/>
        </w:rPr>
        <w:t> </w:t>
      </w:r>
      <w:r>
        <w:rPr/>
        <w:t>cent)</w:t>
      </w:r>
      <w:r>
        <w:rPr>
          <w:spacing w:val="-23"/>
        </w:rPr>
        <w:t> </w:t>
      </w:r>
      <w:r>
        <w:rPr/>
        <w:t>to</w:t>
      </w:r>
      <w:r>
        <w:rPr>
          <w:spacing w:val="-23"/>
        </w:rPr>
        <w:t> </w:t>
      </w:r>
      <w:r>
        <w:rPr/>
        <w:t>$740.0</w:t>
      </w:r>
      <w:r>
        <w:rPr>
          <w:spacing w:val="-23"/>
        </w:rPr>
        <w:t> </w:t>
      </w:r>
      <w:r>
        <w:rPr/>
        <w:t>million, which</w:t>
      </w:r>
      <w:r>
        <w:rPr>
          <w:spacing w:val="-20"/>
        </w:rPr>
        <w:t> </w:t>
      </w:r>
      <w:r>
        <w:rPr/>
        <w:t>included</w:t>
      </w:r>
      <w:r>
        <w:rPr>
          <w:spacing w:val="-20"/>
        </w:rPr>
        <w:t> </w:t>
      </w:r>
      <w:r>
        <w:rPr/>
        <w:t>a</w:t>
      </w:r>
      <w:r>
        <w:rPr>
          <w:spacing w:val="-20"/>
        </w:rPr>
        <w:t> </w:t>
      </w:r>
      <w:r>
        <w:rPr>
          <w:spacing w:val="2"/>
        </w:rPr>
        <w:t>$23.6</w:t>
      </w:r>
      <w:r>
        <w:rPr>
          <w:spacing w:val="-20"/>
        </w:rPr>
        <w:t> </w:t>
      </w:r>
      <w:r>
        <w:rPr/>
        <w:t>million</w:t>
      </w:r>
      <w:r>
        <w:rPr>
          <w:spacing w:val="-20"/>
        </w:rPr>
        <w:t> </w:t>
      </w:r>
      <w:r>
        <w:rPr>
          <w:spacing w:val="2"/>
        </w:rPr>
        <w:t>(5.3</w:t>
      </w:r>
      <w:r>
        <w:rPr>
          <w:spacing w:val="-20"/>
        </w:rPr>
        <w:t> </w:t>
      </w:r>
      <w:r>
        <w:rPr/>
        <w:t>per</w:t>
      </w:r>
      <w:r>
        <w:rPr>
          <w:spacing w:val="-20"/>
        </w:rPr>
        <w:t> </w:t>
      </w:r>
      <w:r>
        <w:rPr/>
        <w:t>cent) increase</w:t>
      </w:r>
      <w:r>
        <w:rPr>
          <w:spacing w:val="-20"/>
        </w:rPr>
        <w:t> </w:t>
      </w:r>
      <w:r>
        <w:rPr/>
        <w:t>in</w:t>
      </w:r>
      <w:r>
        <w:rPr>
          <w:spacing w:val="-20"/>
        </w:rPr>
        <w:t> </w:t>
      </w:r>
      <w:r>
        <w:rPr/>
        <w:t>employee-related</w:t>
      </w:r>
      <w:r>
        <w:rPr>
          <w:spacing w:val="-20"/>
        </w:rPr>
        <w:t> </w:t>
      </w:r>
      <w:r>
        <w:rPr/>
        <w:t>expenses</w:t>
      </w:r>
      <w:r>
        <w:rPr>
          <w:spacing w:val="-20"/>
        </w:rPr>
        <w:t> </w:t>
      </w:r>
      <w:r>
        <w:rPr/>
        <w:t>to</w:t>
      </w:r>
    </w:p>
    <w:p>
      <w:pPr>
        <w:pStyle w:val="BodyText"/>
        <w:spacing w:line="192" w:lineRule="exact"/>
        <w:ind w:left="107" w:right="-2"/>
      </w:pPr>
      <w:r>
        <w:rPr/>
        <w:t>$466.0 million.</w:t>
      </w:r>
    </w:p>
    <w:p>
      <w:pPr>
        <w:pStyle w:val="BodyText"/>
        <w:spacing w:before="7"/>
        <w:rPr>
          <w:sz w:val="14"/>
        </w:rPr>
      </w:pPr>
    </w:p>
    <w:p>
      <w:pPr>
        <w:pStyle w:val="BodyText"/>
        <w:spacing w:before="1"/>
        <w:ind w:left="107" w:right="-2"/>
      </w:pPr>
      <w:r>
        <w:rPr/>
        <w:t>The</w:t>
      </w:r>
      <w:r>
        <w:rPr>
          <w:spacing w:val="-19"/>
        </w:rPr>
        <w:t> </w:t>
      </w:r>
      <w:r>
        <w:rPr/>
        <w:t>University’s</w:t>
      </w:r>
      <w:r>
        <w:rPr>
          <w:spacing w:val="-19"/>
        </w:rPr>
        <w:t> </w:t>
      </w:r>
      <w:r>
        <w:rPr/>
        <w:t>overall</w:t>
      </w:r>
      <w:r>
        <w:rPr>
          <w:spacing w:val="-19"/>
        </w:rPr>
        <w:t> </w:t>
      </w:r>
      <w:r>
        <w:rPr/>
        <w:t>net</w:t>
      </w:r>
      <w:r>
        <w:rPr>
          <w:spacing w:val="-19"/>
        </w:rPr>
        <w:t> </w:t>
      </w:r>
      <w:r>
        <w:rPr/>
        <w:t>worth</w:t>
      </w:r>
      <w:r>
        <w:rPr>
          <w:spacing w:val="-19"/>
        </w:rPr>
        <w:t> </w:t>
      </w:r>
      <w:r>
        <w:rPr/>
        <w:t>increased</w:t>
      </w:r>
      <w:r>
        <w:rPr>
          <w:spacing w:val="-19"/>
        </w:rPr>
        <w:t> </w:t>
      </w:r>
      <w:r>
        <w:rPr/>
        <w:t>by</w:t>
      </w:r>
    </w:p>
    <w:p>
      <w:pPr>
        <w:pStyle w:val="BodyText"/>
        <w:spacing w:line="249" w:lineRule="auto" w:before="7"/>
        <w:ind w:left="107" w:right="28"/>
      </w:pPr>
      <w:r>
        <w:rPr>
          <w:spacing w:val="2"/>
        </w:rPr>
        <w:t>$58.9</w:t>
      </w:r>
      <w:r>
        <w:rPr>
          <w:spacing w:val="-31"/>
        </w:rPr>
        <w:t> </w:t>
      </w:r>
      <w:r>
        <w:rPr/>
        <w:t>million</w:t>
      </w:r>
      <w:r>
        <w:rPr>
          <w:spacing w:val="-31"/>
        </w:rPr>
        <w:t> </w:t>
      </w:r>
      <w:r>
        <w:rPr/>
        <w:t>(3.7</w:t>
      </w:r>
      <w:r>
        <w:rPr>
          <w:spacing w:val="-31"/>
        </w:rPr>
        <w:t> </w:t>
      </w:r>
      <w:r>
        <w:rPr/>
        <w:t>per</w:t>
      </w:r>
      <w:r>
        <w:rPr>
          <w:spacing w:val="-31"/>
        </w:rPr>
        <w:t> </w:t>
      </w:r>
      <w:r>
        <w:rPr/>
        <w:t>cent)</w:t>
      </w:r>
      <w:r>
        <w:rPr>
          <w:spacing w:val="-31"/>
        </w:rPr>
        <w:t> </w:t>
      </w:r>
      <w:r>
        <w:rPr/>
        <w:t>to</w:t>
      </w:r>
      <w:r>
        <w:rPr>
          <w:spacing w:val="-31"/>
        </w:rPr>
        <w:t> </w:t>
      </w:r>
      <w:r>
        <w:rPr>
          <w:spacing w:val="3"/>
        </w:rPr>
        <w:t>$1,666.2</w:t>
      </w:r>
      <w:r>
        <w:rPr>
          <w:spacing w:val="-31"/>
        </w:rPr>
        <w:t> </w:t>
      </w:r>
      <w:r>
        <w:rPr/>
        <w:t>million. </w:t>
      </w:r>
      <w:r>
        <w:rPr>
          <w:spacing w:val="3"/>
        </w:rPr>
        <w:t>This </w:t>
      </w:r>
      <w:r>
        <w:rPr>
          <w:spacing w:val="4"/>
        </w:rPr>
        <w:t>includes </w:t>
      </w:r>
      <w:r>
        <w:rPr>
          <w:spacing w:val="3"/>
        </w:rPr>
        <w:t>the University’s </w:t>
      </w:r>
      <w:r>
        <w:rPr>
          <w:spacing w:val="4"/>
        </w:rPr>
        <w:t>operating </w:t>
      </w:r>
      <w:r>
        <w:rPr>
          <w:spacing w:val="3"/>
        </w:rPr>
        <w:t>result </w:t>
      </w:r>
      <w:r>
        <w:rPr/>
        <w:t>of a </w:t>
      </w:r>
      <w:r>
        <w:rPr>
          <w:spacing w:val="5"/>
        </w:rPr>
        <w:t>$34.8 </w:t>
      </w:r>
      <w:r>
        <w:rPr>
          <w:spacing w:val="3"/>
        </w:rPr>
        <w:t>million </w:t>
      </w:r>
      <w:r>
        <w:rPr>
          <w:spacing w:val="4"/>
        </w:rPr>
        <w:t>surplus, </w:t>
      </w:r>
      <w:r>
        <w:rPr>
          <w:spacing w:val="3"/>
        </w:rPr>
        <w:t>and other comprehensive</w:t>
      </w:r>
      <w:r>
        <w:rPr>
          <w:spacing w:val="-30"/>
        </w:rPr>
        <w:t> </w:t>
      </w:r>
      <w:r>
        <w:rPr>
          <w:spacing w:val="3"/>
        </w:rPr>
        <w:t>income</w:t>
      </w:r>
      <w:r>
        <w:rPr>
          <w:spacing w:val="-30"/>
        </w:rPr>
        <w:t> </w:t>
      </w:r>
      <w:r>
        <w:rPr/>
        <w:t>of</w:t>
      </w:r>
      <w:r>
        <w:rPr>
          <w:spacing w:val="-30"/>
        </w:rPr>
        <w:t> </w:t>
      </w:r>
      <w:r>
        <w:rPr>
          <w:spacing w:val="2"/>
        </w:rPr>
        <w:t>$24.1</w:t>
      </w:r>
      <w:r>
        <w:rPr>
          <w:spacing w:val="-30"/>
        </w:rPr>
        <w:t> </w:t>
      </w:r>
      <w:r>
        <w:rPr>
          <w:spacing w:val="4"/>
        </w:rPr>
        <w:t>million.</w:t>
      </w:r>
    </w:p>
    <w:p>
      <w:pPr>
        <w:pStyle w:val="BodyText"/>
        <w:rPr>
          <w:sz w:val="14"/>
        </w:rPr>
      </w:pPr>
    </w:p>
    <w:p>
      <w:pPr>
        <w:pStyle w:val="BodyText"/>
        <w:spacing w:line="249" w:lineRule="auto"/>
        <w:ind w:left="107" w:right="360"/>
      </w:pPr>
      <w:r>
        <w:rPr/>
        <w:t>Higher education funding continued to </w:t>
      </w:r>
      <w:r>
        <w:rPr>
          <w:spacing w:val="1"/>
          <w:w w:val="99"/>
        </w:rPr>
        <w:t>be</w:t>
      </w:r>
      <w:r>
        <w:rPr>
          <w:w w:val="99"/>
        </w:rPr>
        <w:t> </w:t>
      </w:r>
      <w:r>
        <w:rPr>
          <w:spacing w:val="1"/>
          <w:w w:val="97"/>
        </w:rPr>
        <w:t>somewhat</w:t>
      </w:r>
      <w:r>
        <w:rPr>
          <w:w w:val="97"/>
        </w:rPr>
        <w:t> </w:t>
      </w:r>
      <w:r>
        <w:rPr>
          <w:spacing w:val="1"/>
          <w:w w:val="98"/>
        </w:rPr>
        <w:t>unpredictable</w:t>
      </w:r>
      <w:r>
        <w:rPr>
          <w:w w:val="98"/>
        </w:rPr>
        <w:t> </w:t>
      </w:r>
      <w:r>
        <w:rPr>
          <w:spacing w:val="1"/>
          <w:w w:val="97"/>
        </w:rPr>
        <w:t>during</w:t>
      </w:r>
      <w:r>
        <w:rPr>
          <w:w w:val="97"/>
        </w:rPr>
        <w:t> </w:t>
      </w:r>
      <w:r>
        <w:rPr>
          <w:spacing w:val="2"/>
          <w:w w:val="85"/>
        </w:rPr>
        <w:t>2016.</w:t>
      </w:r>
      <w:r>
        <w:rPr>
          <w:w w:val="85"/>
        </w:rPr>
        <w:t> </w:t>
      </w:r>
      <w:r>
        <w:rPr/>
        <w:t>All</w:t>
      </w:r>
      <w:r>
        <w:rPr>
          <w:spacing w:val="-16"/>
        </w:rPr>
        <w:t> </w:t>
      </w:r>
      <w:r>
        <w:rPr/>
        <w:t>universities</w:t>
      </w:r>
      <w:r>
        <w:rPr>
          <w:spacing w:val="-16"/>
        </w:rPr>
        <w:t> </w:t>
      </w:r>
      <w:r>
        <w:rPr>
          <w:spacing w:val="2"/>
        </w:rPr>
        <w:t>needed</w:t>
      </w:r>
      <w:r>
        <w:rPr>
          <w:spacing w:val="-16"/>
        </w:rPr>
        <w:t> </w:t>
      </w:r>
      <w:r>
        <w:rPr/>
        <w:t>to</w:t>
      </w:r>
      <w:r>
        <w:rPr>
          <w:spacing w:val="-16"/>
        </w:rPr>
        <w:t> </w:t>
      </w:r>
      <w:r>
        <w:rPr/>
        <w:t>be</w:t>
      </w:r>
      <w:r>
        <w:rPr>
          <w:spacing w:val="-16"/>
        </w:rPr>
        <w:t> </w:t>
      </w:r>
      <w:r>
        <w:rPr/>
        <w:t>in</w:t>
      </w:r>
      <w:r>
        <w:rPr>
          <w:spacing w:val="-16"/>
        </w:rPr>
        <w:t> </w:t>
      </w:r>
      <w:r>
        <w:rPr/>
        <w:t>a</w:t>
      </w:r>
      <w:r>
        <w:rPr>
          <w:spacing w:val="-16"/>
        </w:rPr>
        <w:t> </w:t>
      </w:r>
      <w:r>
        <w:rPr/>
        <w:t>position to</w:t>
      </w:r>
      <w:r>
        <w:rPr>
          <w:spacing w:val="-18"/>
        </w:rPr>
        <w:t> </w:t>
      </w:r>
      <w:r>
        <w:rPr/>
        <w:t>generate</w:t>
      </w:r>
      <w:r>
        <w:rPr>
          <w:spacing w:val="-18"/>
        </w:rPr>
        <w:t> </w:t>
      </w:r>
      <w:r>
        <w:rPr/>
        <w:t>new</w:t>
      </w:r>
      <w:r>
        <w:rPr>
          <w:spacing w:val="-18"/>
        </w:rPr>
        <w:t> </w:t>
      </w:r>
      <w:r>
        <w:rPr/>
        <w:t>streams</w:t>
      </w:r>
      <w:r>
        <w:rPr>
          <w:spacing w:val="-18"/>
        </w:rPr>
        <w:t> </w:t>
      </w:r>
      <w:r>
        <w:rPr/>
        <w:t>of</w:t>
      </w:r>
      <w:r>
        <w:rPr>
          <w:spacing w:val="-18"/>
        </w:rPr>
        <w:t> </w:t>
      </w:r>
      <w:r>
        <w:rPr/>
        <w:t>income</w:t>
      </w:r>
      <w:r>
        <w:rPr>
          <w:spacing w:val="-18"/>
        </w:rPr>
        <w:t> </w:t>
      </w:r>
      <w:r>
        <w:rPr/>
        <w:t>while</w:t>
      </w:r>
    </w:p>
    <w:p>
      <w:pPr>
        <w:pStyle w:val="BodyText"/>
        <w:spacing w:line="249" w:lineRule="auto"/>
        <w:ind w:left="107" w:right="12"/>
      </w:pPr>
      <w:r>
        <w:rPr/>
        <w:t>using their financial resources as efficiently and effectively as possible. To this end, the University is pursuing opportunities to use its assets in ways that provide alternative and sustainable income streams.</w:t>
      </w:r>
    </w:p>
    <w:p>
      <w:pPr>
        <w:pStyle w:val="BodyText"/>
      </w:pPr>
    </w:p>
    <w:p>
      <w:pPr>
        <w:pStyle w:val="BodyText"/>
        <w:spacing w:before="1"/>
        <w:rPr>
          <w:sz w:val="13"/>
        </w:rPr>
      </w:pPr>
    </w:p>
    <w:p>
      <w:pPr>
        <w:pStyle w:val="Heading5"/>
        <w:spacing w:line="260" w:lineRule="exact"/>
        <w:ind w:right="63"/>
      </w:pPr>
      <w:r>
        <w:rPr>
          <w:w w:val="95"/>
        </w:rPr>
        <w:t>INFORMATION TECHNOLOGY AND DIGITAL SERVICES</w:t>
      </w:r>
    </w:p>
    <w:p>
      <w:pPr>
        <w:pStyle w:val="BodyText"/>
        <w:spacing w:line="249" w:lineRule="auto" w:before="101"/>
        <w:ind w:left="107" w:right="163"/>
      </w:pPr>
      <w:r>
        <w:rPr/>
        <w:t>Western</w:t>
      </w:r>
      <w:r>
        <w:rPr>
          <w:spacing w:val="-18"/>
        </w:rPr>
        <w:t> </w:t>
      </w:r>
      <w:r>
        <w:rPr/>
        <w:t>Sydney</w:t>
      </w:r>
      <w:r>
        <w:rPr>
          <w:spacing w:val="-18"/>
        </w:rPr>
        <w:t> </w:t>
      </w:r>
      <w:r>
        <w:rPr/>
        <w:t>University’s</w:t>
      </w:r>
      <w:r>
        <w:rPr>
          <w:spacing w:val="-18"/>
        </w:rPr>
        <w:t> </w:t>
      </w:r>
      <w:r>
        <w:rPr/>
        <w:t>students,</w:t>
      </w:r>
      <w:r>
        <w:rPr>
          <w:spacing w:val="-18"/>
        </w:rPr>
        <w:t> </w:t>
      </w:r>
      <w:r>
        <w:rPr/>
        <w:t>staff and community partners use technology to communicate, collaborate, research, </w:t>
      </w:r>
      <w:r>
        <w:rPr>
          <w:spacing w:val="2"/>
        </w:rPr>
        <w:t>learn, </w:t>
      </w:r>
      <w:r>
        <w:rPr/>
        <w:t>teach</w:t>
      </w:r>
      <w:r>
        <w:rPr>
          <w:spacing w:val="-18"/>
        </w:rPr>
        <w:t> </w:t>
      </w:r>
      <w:r>
        <w:rPr/>
        <w:t>and</w:t>
      </w:r>
      <w:r>
        <w:rPr>
          <w:spacing w:val="-18"/>
        </w:rPr>
        <w:t> </w:t>
      </w:r>
      <w:r>
        <w:rPr/>
        <w:t>conduct</w:t>
      </w:r>
      <w:r>
        <w:rPr>
          <w:spacing w:val="-18"/>
        </w:rPr>
        <w:t> </w:t>
      </w:r>
      <w:r>
        <w:rPr/>
        <w:t>business.</w:t>
      </w:r>
      <w:r>
        <w:rPr>
          <w:spacing w:val="-18"/>
        </w:rPr>
        <w:t> </w:t>
      </w:r>
      <w:r>
        <w:rPr/>
        <w:t>In</w:t>
      </w:r>
      <w:r>
        <w:rPr>
          <w:spacing w:val="-18"/>
        </w:rPr>
        <w:t> </w:t>
      </w:r>
      <w:r>
        <w:rPr/>
        <w:t>response</w:t>
      </w:r>
      <w:r>
        <w:rPr>
          <w:spacing w:val="-18"/>
        </w:rPr>
        <w:t> </w:t>
      </w:r>
      <w:r>
        <w:rPr/>
        <w:t>to this,</w:t>
      </w:r>
      <w:r>
        <w:rPr>
          <w:spacing w:val="-22"/>
        </w:rPr>
        <w:t> </w:t>
      </w:r>
      <w:r>
        <w:rPr/>
        <w:t>the</w:t>
      </w:r>
      <w:r>
        <w:rPr>
          <w:spacing w:val="-22"/>
        </w:rPr>
        <w:t> </w:t>
      </w:r>
      <w:r>
        <w:rPr/>
        <w:t>Information</w:t>
      </w:r>
      <w:r>
        <w:rPr>
          <w:spacing w:val="-22"/>
        </w:rPr>
        <w:t> </w:t>
      </w:r>
      <w:r>
        <w:rPr/>
        <w:t>Technology</w:t>
      </w:r>
      <w:r>
        <w:rPr>
          <w:spacing w:val="-22"/>
        </w:rPr>
        <w:t> </w:t>
      </w:r>
      <w:r>
        <w:rPr/>
        <w:t>and</w:t>
      </w:r>
      <w:r>
        <w:rPr>
          <w:spacing w:val="-22"/>
        </w:rPr>
        <w:t> </w:t>
      </w:r>
      <w:r>
        <w:rPr/>
        <w:t>Digital Services (ITDS) unit ensures that the right technology is available for use at any time and</w:t>
      </w:r>
      <w:r>
        <w:rPr>
          <w:spacing w:val="-18"/>
        </w:rPr>
        <w:t> </w:t>
      </w:r>
      <w:r>
        <w:rPr/>
        <w:t>in</w:t>
      </w:r>
      <w:r>
        <w:rPr>
          <w:spacing w:val="-18"/>
        </w:rPr>
        <w:t> </w:t>
      </w:r>
      <w:r>
        <w:rPr/>
        <w:t>any</w:t>
      </w:r>
      <w:r>
        <w:rPr>
          <w:spacing w:val="-18"/>
        </w:rPr>
        <w:t> </w:t>
      </w:r>
      <w:r>
        <w:rPr/>
        <w:t>place,</w:t>
      </w:r>
      <w:r>
        <w:rPr>
          <w:spacing w:val="-18"/>
        </w:rPr>
        <w:t> </w:t>
      </w:r>
      <w:r>
        <w:rPr/>
        <w:t>striking</w:t>
      </w:r>
      <w:r>
        <w:rPr>
          <w:spacing w:val="-18"/>
        </w:rPr>
        <w:t> </w:t>
      </w:r>
      <w:r>
        <w:rPr/>
        <w:t>a</w:t>
      </w:r>
      <w:r>
        <w:rPr>
          <w:spacing w:val="-18"/>
        </w:rPr>
        <w:t> </w:t>
      </w:r>
      <w:r>
        <w:rPr/>
        <w:t>balance</w:t>
      </w:r>
      <w:r>
        <w:rPr>
          <w:spacing w:val="-18"/>
        </w:rPr>
        <w:t> </w:t>
      </w:r>
      <w:r>
        <w:rPr/>
        <w:t>between</w:t>
      </w:r>
    </w:p>
    <w:p>
      <w:pPr>
        <w:spacing w:line="458" w:lineRule="auto" w:before="0"/>
        <w:ind w:left="107" w:right="-2" w:firstLine="0"/>
        <w:jc w:val="left"/>
        <w:rPr>
          <w:rFonts w:ascii="Century Gothic" w:hAnsi="Century Gothic"/>
          <w:i/>
          <w:sz w:val="16"/>
        </w:rPr>
      </w:pPr>
      <w:r>
        <w:rPr>
          <w:sz w:val="16"/>
        </w:rPr>
        <w:t>privacy</w:t>
      </w:r>
      <w:r>
        <w:rPr>
          <w:spacing w:val="-15"/>
          <w:sz w:val="16"/>
        </w:rPr>
        <w:t> </w:t>
      </w:r>
      <w:r>
        <w:rPr>
          <w:sz w:val="16"/>
        </w:rPr>
        <w:t>and</w:t>
      </w:r>
      <w:r>
        <w:rPr>
          <w:spacing w:val="-15"/>
          <w:sz w:val="16"/>
        </w:rPr>
        <w:t> </w:t>
      </w:r>
      <w:r>
        <w:rPr>
          <w:sz w:val="16"/>
        </w:rPr>
        <w:t>security</w:t>
      </w:r>
      <w:r>
        <w:rPr>
          <w:spacing w:val="-15"/>
          <w:sz w:val="16"/>
        </w:rPr>
        <w:t> </w:t>
      </w:r>
      <w:r>
        <w:rPr>
          <w:sz w:val="16"/>
        </w:rPr>
        <w:t>with</w:t>
      </w:r>
      <w:r>
        <w:rPr>
          <w:spacing w:val="-15"/>
          <w:sz w:val="16"/>
        </w:rPr>
        <w:t> </w:t>
      </w:r>
      <w:r>
        <w:rPr>
          <w:sz w:val="16"/>
        </w:rPr>
        <w:t>flexibility</w:t>
      </w:r>
      <w:r>
        <w:rPr>
          <w:spacing w:val="-15"/>
          <w:sz w:val="16"/>
        </w:rPr>
        <w:t> </w:t>
      </w:r>
      <w:r>
        <w:rPr>
          <w:sz w:val="16"/>
        </w:rPr>
        <w:t>and</w:t>
      </w:r>
      <w:r>
        <w:rPr>
          <w:spacing w:val="-15"/>
          <w:sz w:val="16"/>
        </w:rPr>
        <w:t> </w:t>
      </w:r>
      <w:r>
        <w:rPr>
          <w:sz w:val="16"/>
        </w:rPr>
        <w:t>agility. </w:t>
      </w:r>
      <w:r>
        <w:rPr>
          <w:w w:val="95"/>
          <w:sz w:val="16"/>
        </w:rPr>
        <w:t>The</w:t>
      </w:r>
      <w:r>
        <w:rPr>
          <w:spacing w:val="-21"/>
          <w:w w:val="95"/>
          <w:sz w:val="16"/>
        </w:rPr>
        <w:t> </w:t>
      </w:r>
      <w:r>
        <w:rPr>
          <w:w w:val="95"/>
          <w:sz w:val="16"/>
        </w:rPr>
        <w:t>ITDS</w:t>
      </w:r>
      <w:r>
        <w:rPr>
          <w:spacing w:val="-21"/>
          <w:w w:val="95"/>
          <w:sz w:val="16"/>
        </w:rPr>
        <w:t> </w:t>
      </w:r>
      <w:r>
        <w:rPr>
          <w:w w:val="95"/>
          <w:sz w:val="16"/>
        </w:rPr>
        <w:t>strategy,</w:t>
      </w:r>
      <w:r>
        <w:rPr>
          <w:spacing w:val="-21"/>
          <w:w w:val="95"/>
          <w:sz w:val="16"/>
        </w:rPr>
        <w:t> </w:t>
      </w:r>
      <w:r>
        <w:rPr>
          <w:rFonts w:ascii="Century Gothic" w:hAnsi="Century Gothic"/>
          <w:i/>
          <w:w w:val="95"/>
          <w:sz w:val="16"/>
        </w:rPr>
        <w:t>Future</w:t>
      </w:r>
      <w:r>
        <w:rPr>
          <w:rFonts w:ascii="Century Gothic" w:hAnsi="Century Gothic"/>
          <w:i/>
          <w:spacing w:val="-16"/>
          <w:w w:val="95"/>
          <w:sz w:val="16"/>
        </w:rPr>
        <w:t> </w:t>
      </w:r>
      <w:r>
        <w:rPr>
          <w:rFonts w:ascii="Century Gothic" w:hAnsi="Century Gothic"/>
          <w:i/>
          <w:w w:val="95"/>
          <w:sz w:val="16"/>
        </w:rPr>
        <w:t>Now</w:t>
      </w:r>
      <w:r>
        <w:rPr>
          <w:rFonts w:ascii="Century Gothic" w:hAnsi="Century Gothic"/>
          <w:i/>
          <w:spacing w:val="-16"/>
          <w:w w:val="95"/>
          <w:sz w:val="16"/>
        </w:rPr>
        <w:t> </w:t>
      </w:r>
      <w:r>
        <w:rPr>
          <w:rFonts w:ascii="Century Gothic" w:hAnsi="Century Gothic"/>
          <w:i/>
          <w:w w:val="95"/>
          <w:sz w:val="16"/>
        </w:rPr>
        <w:t>–</w:t>
      </w:r>
      <w:r>
        <w:rPr>
          <w:rFonts w:ascii="Century Gothic" w:hAnsi="Century Gothic"/>
          <w:i/>
          <w:spacing w:val="-16"/>
          <w:w w:val="95"/>
          <w:sz w:val="16"/>
        </w:rPr>
        <w:t> </w:t>
      </w:r>
      <w:r>
        <w:rPr>
          <w:rFonts w:ascii="Century Gothic" w:hAnsi="Century Gothic"/>
          <w:i/>
          <w:w w:val="95"/>
          <w:sz w:val="16"/>
        </w:rPr>
        <w:t>Securing</w:t>
      </w:r>
    </w:p>
    <w:p>
      <w:pPr>
        <w:pStyle w:val="BodyText"/>
        <w:spacing w:before="6"/>
        <w:rPr>
          <w:rFonts w:ascii="Century Gothic"/>
          <w:i/>
        </w:rPr>
      </w:pPr>
      <w:r>
        <w:rPr/>
        <w:br w:type="column"/>
      </w:r>
      <w:r>
        <w:rPr>
          <w:rFonts w:ascii="Century Gothic"/>
          <w:i/>
        </w:rPr>
      </w:r>
    </w:p>
    <w:p>
      <w:pPr>
        <w:pStyle w:val="BodyText"/>
        <w:spacing w:line="247" w:lineRule="auto"/>
        <w:ind w:left="107" w:right="316"/>
      </w:pPr>
      <w:r>
        <w:rPr>
          <w:rFonts w:ascii="Century Gothic" w:hAnsi="Century Gothic"/>
          <w:i/>
        </w:rPr>
        <w:t>Digital Success</w:t>
      </w:r>
      <w:r>
        <w:rPr/>
        <w:t>, sets out five core objectives for providing technology throughout</w:t>
      </w:r>
      <w:r>
        <w:rPr>
          <w:spacing w:val="-19"/>
        </w:rPr>
        <w:t> </w:t>
      </w:r>
      <w:r>
        <w:rPr/>
        <w:t>the</w:t>
      </w:r>
      <w:r>
        <w:rPr>
          <w:spacing w:val="-19"/>
        </w:rPr>
        <w:t> </w:t>
      </w:r>
      <w:r>
        <w:rPr/>
        <w:t>University.</w:t>
      </w:r>
      <w:r>
        <w:rPr>
          <w:spacing w:val="-19"/>
        </w:rPr>
        <w:t> </w:t>
      </w:r>
      <w:r>
        <w:rPr/>
        <w:t>Each</w:t>
      </w:r>
      <w:r>
        <w:rPr>
          <w:spacing w:val="-19"/>
        </w:rPr>
        <w:t> </w:t>
      </w:r>
      <w:r>
        <w:rPr/>
        <w:t>objective is guided by seven strategic digital principles</w:t>
      </w:r>
      <w:r>
        <w:rPr>
          <w:spacing w:val="-20"/>
        </w:rPr>
        <w:t> </w:t>
      </w:r>
      <w:r>
        <w:rPr/>
        <w:t>that</w:t>
      </w:r>
      <w:r>
        <w:rPr>
          <w:spacing w:val="-20"/>
        </w:rPr>
        <w:t> </w:t>
      </w:r>
      <w:r>
        <w:rPr/>
        <w:t>will</w:t>
      </w:r>
      <w:r>
        <w:rPr>
          <w:spacing w:val="-20"/>
        </w:rPr>
        <w:t> </w:t>
      </w:r>
      <w:r>
        <w:rPr/>
        <w:t>inform</w:t>
      </w:r>
      <w:r>
        <w:rPr>
          <w:spacing w:val="-20"/>
        </w:rPr>
        <w:t> </w:t>
      </w:r>
      <w:r>
        <w:rPr/>
        <w:t>ITDS’s</w:t>
      </w:r>
      <w:r>
        <w:rPr>
          <w:spacing w:val="-20"/>
        </w:rPr>
        <w:t> </w:t>
      </w:r>
      <w:r>
        <w:rPr/>
        <w:t>decision- making</w:t>
      </w:r>
      <w:r>
        <w:rPr>
          <w:spacing w:val="-20"/>
        </w:rPr>
        <w:t> </w:t>
      </w:r>
      <w:r>
        <w:rPr/>
        <w:t>over</w:t>
      </w:r>
      <w:r>
        <w:rPr>
          <w:spacing w:val="-20"/>
        </w:rPr>
        <w:t> </w:t>
      </w:r>
      <w:r>
        <w:rPr/>
        <w:t>the</w:t>
      </w:r>
      <w:r>
        <w:rPr>
          <w:spacing w:val="-20"/>
        </w:rPr>
        <w:t> </w:t>
      </w:r>
      <w:r>
        <w:rPr/>
        <w:t>next</w:t>
      </w:r>
      <w:r>
        <w:rPr>
          <w:spacing w:val="-20"/>
        </w:rPr>
        <w:t> </w:t>
      </w:r>
      <w:r>
        <w:rPr/>
        <w:t>five</w:t>
      </w:r>
      <w:r>
        <w:rPr>
          <w:spacing w:val="-20"/>
        </w:rPr>
        <w:t> </w:t>
      </w:r>
      <w:r>
        <w:rPr/>
        <w:t>years.</w:t>
      </w:r>
    </w:p>
    <w:p>
      <w:pPr>
        <w:pStyle w:val="BodyText"/>
        <w:spacing w:before="2"/>
        <w:rPr>
          <w:sz w:val="14"/>
        </w:rPr>
      </w:pPr>
    </w:p>
    <w:p>
      <w:pPr>
        <w:pStyle w:val="BodyText"/>
        <w:spacing w:line="249" w:lineRule="auto"/>
        <w:ind w:left="107" w:right="-3"/>
      </w:pPr>
      <w:r>
        <w:rPr/>
        <w:t>ITDS’s mission is to ensure the University is ‘consistently</w:t>
      </w:r>
      <w:r>
        <w:rPr>
          <w:spacing w:val="-23"/>
        </w:rPr>
        <w:t> </w:t>
      </w:r>
      <w:r>
        <w:rPr/>
        <w:t>contemporary’.</w:t>
      </w:r>
      <w:r>
        <w:rPr>
          <w:spacing w:val="-23"/>
        </w:rPr>
        <w:t> </w:t>
      </w:r>
      <w:r>
        <w:rPr/>
        <w:t>It</w:t>
      </w:r>
      <w:r>
        <w:rPr>
          <w:spacing w:val="-23"/>
        </w:rPr>
        <w:t> </w:t>
      </w:r>
      <w:r>
        <w:rPr/>
        <w:t>will</w:t>
      </w:r>
      <w:r>
        <w:rPr>
          <w:spacing w:val="-23"/>
        </w:rPr>
        <w:t> </w:t>
      </w:r>
      <w:r>
        <w:rPr/>
        <w:t>achieve</w:t>
      </w:r>
      <w:r>
        <w:rPr>
          <w:spacing w:val="-23"/>
        </w:rPr>
        <w:t> </w:t>
      </w:r>
      <w:r>
        <w:rPr/>
        <w:t>this by simplifying its approach to core services and</w:t>
      </w:r>
      <w:r>
        <w:rPr>
          <w:spacing w:val="-18"/>
        </w:rPr>
        <w:t> </w:t>
      </w:r>
      <w:r>
        <w:rPr/>
        <w:t>increasing</w:t>
      </w:r>
      <w:r>
        <w:rPr>
          <w:spacing w:val="-18"/>
        </w:rPr>
        <w:t> </w:t>
      </w:r>
      <w:r>
        <w:rPr/>
        <w:t>the</w:t>
      </w:r>
      <w:r>
        <w:rPr>
          <w:spacing w:val="-18"/>
        </w:rPr>
        <w:t> </w:t>
      </w:r>
      <w:r>
        <w:rPr/>
        <w:t>focus</w:t>
      </w:r>
      <w:r>
        <w:rPr>
          <w:spacing w:val="-18"/>
        </w:rPr>
        <w:t> </w:t>
      </w:r>
      <w:r>
        <w:rPr/>
        <w:t>on</w:t>
      </w:r>
      <w:r>
        <w:rPr>
          <w:spacing w:val="-18"/>
        </w:rPr>
        <w:t> </w:t>
      </w:r>
      <w:r>
        <w:rPr/>
        <w:t>innovation</w:t>
      </w:r>
    </w:p>
    <w:p>
      <w:pPr>
        <w:pStyle w:val="BodyText"/>
        <w:spacing w:line="249" w:lineRule="auto"/>
        <w:ind w:left="107" w:right="46"/>
      </w:pPr>
      <w:r>
        <w:rPr/>
        <w:t>to differentiate the University from other institutions. ITDS will deliver this via quality, industry-standard processes, combined with measured risk assessments and cross-unit collaboration.</w:t>
      </w:r>
    </w:p>
    <w:p>
      <w:pPr>
        <w:pStyle w:val="BodyText"/>
        <w:spacing w:before="3"/>
        <w:rPr>
          <w:sz w:val="19"/>
        </w:rPr>
      </w:pPr>
    </w:p>
    <w:p>
      <w:pPr>
        <w:pStyle w:val="Heading7"/>
        <w:ind w:right="335"/>
      </w:pPr>
      <w:r>
        <w:rPr>
          <w:w w:val="95"/>
        </w:rPr>
        <w:t>MAJOR ACHIEVEMENTS</w:t>
      </w:r>
    </w:p>
    <w:p>
      <w:pPr>
        <w:pStyle w:val="BodyText"/>
        <w:spacing w:line="249" w:lineRule="auto" w:before="58"/>
        <w:ind w:left="107" w:right="134"/>
      </w:pPr>
      <w:r>
        <w:rPr/>
        <w:t>ITDS</w:t>
      </w:r>
      <w:r>
        <w:rPr>
          <w:spacing w:val="-24"/>
        </w:rPr>
        <w:t> </w:t>
      </w:r>
      <w:r>
        <w:rPr/>
        <w:t>had</w:t>
      </w:r>
      <w:r>
        <w:rPr>
          <w:spacing w:val="-24"/>
        </w:rPr>
        <w:t> </w:t>
      </w:r>
      <w:r>
        <w:rPr/>
        <w:t>several</w:t>
      </w:r>
      <w:r>
        <w:rPr>
          <w:spacing w:val="-24"/>
        </w:rPr>
        <w:t> </w:t>
      </w:r>
      <w:r>
        <w:rPr/>
        <w:t>significant</w:t>
      </w:r>
      <w:r>
        <w:rPr>
          <w:spacing w:val="-24"/>
        </w:rPr>
        <w:t> </w:t>
      </w:r>
      <w:r>
        <w:rPr/>
        <w:t>achievements</w:t>
      </w:r>
      <w:r>
        <w:rPr>
          <w:spacing w:val="-24"/>
        </w:rPr>
        <w:t> </w:t>
      </w:r>
      <w:r>
        <w:rPr/>
        <w:t>in </w:t>
      </w:r>
      <w:r>
        <w:rPr>
          <w:spacing w:val="1"/>
          <w:w w:val="86"/>
        </w:rPr>
        <w:t>2016:</w:t>
      </w:r>
    </w:p>
    <w:p>
      <w:pPr>
        <w:pStyle w:val="BodyText"/>
        <w:rPr>
          <w:sz w:val="14"/>
        </w:rPr>
      </w:pPr>
    </w:p>
    <w:p>
      <w:pPr>
        <w:pStyle w:val="BodyText"/>
        <w:spacing w:line="244" w:lineRule="auto"/>
        <w:ind w:left="107" w:right="181"/>
      </w:pPr>
      <w:r>
        <w:rPr>
          <w:rFonts w:ascii="Gotham Narrow Bold" w:hAnsi="Gotham Narrow Bold"/>
          <w:b/>
          <w:spacing w:val="2"/>
        </w:rPr>
        <w:t>Parramatta</w:t>
      </w:r>
      <w:r>
        <w:rPr>
          <w:rFonts w:ascii="Gotham Narrow Bold" w:hAnsi="Gotham Narrow Bold"/>
          <w:b/>
          <w:spacing w:val="-24"/>
        </w:rPr>
        <w:t> </w:t>
      </w:r>
      <w:r>
        <w:rPr>
          <w:rFonts w:ascii="Gotham Narrow Bold" w:hAnsi="Gotham Narrow Bold"/>
          <w:b/>
        </w:rPr>
        <w:t>City</w:t>
      </w:r>
      <w:r>
        <w:rPr>
          <w:rFonts w:ascii="Gotham Narrow Bold" w:hAnsi="Gotham Narrow Bold"/>
          <w:b/>
          <w:spacing w:val="-24"/>
        </w:rPr>
        <w:t> </w:t>
      </w:r>
      <w:r>
        <w:rPr>
          <w:rFonts w:ascii="Gotham Narrow Bold" w:hAnsi="Gotham Narrow Bold"/>
          <w:b/>
          <w:spacing w:val="2"/>
        </w:rPr>
        <w:t>campus</w:t>
      </w:r>
      <w:r>
        <w:rPr>
          <w:rFonts w:ascii="Gotham Narrow Bold" w:hAnsi="Gotham Narrow Bold"/>
          <w:b/>
          <w:spacing w:val="-23"/>
        </w:rPr>
        <w:t> </w:t>
      </w:r>
      <w:r>
        <w:rPr/>
        <w:t>–</w:t>
      </w:r>
      <w:r>
        <w:rPr>
          <w:spacing w:val="-32"/>
        </w:rPr>
        <w:t> </w:t>
      </w:r>
      <w:r>
        <w:rPr/>
        <w:t>ITDS</w:t>
      </w:r>
      <w:r>
        <w:rPr>
          <w:spacing w:val="-32"/>
        </w:rPr>
        <w:t> </w:t>
      </w:r>
      <w:r>
        <w:rPr/>
        <w:t>completed 15 streams of work from its technology master</w:t>
      </w:r>
      <w:r>
        <w:rPr>
          <w:spacing w:val="-19"/>
        </w:rPr>
        <w:t> </w:t>
      </w:r>
      <w:r>
        <w:rPr/>
        <w:t>plan,</w:t>
      </w:r>
      <w:r>
        <w:rPr>
          <w:spacing w:val="-19"/>
        </w:rPr>
        <w:t> </w:t>
      </w:r>
      <w:r>
        <w:rPr/>
        <w:t>on</w:t>
      </w:r>
      <w:r>
        <w:rPr>
          <w:spacing w:val="-19"/>
        </w:rPr>
        <w:t> </w:t>
      </w:r>
      <w:r>
        <w:rPr/>
        <w:t>time</w:t>
      </w:r>
      <w:r>
        <w:rPr>
          <w:spacing w:val="-19"/>
        </w:rPr>
        <w:t> </w:t>
      </w:r>
      <w:r>
        <w:rPr/>
        <w:t>and</w:t>
      </w:r>
      <w:r>
        <w:rPr>
          <w:spacing w:val="-19"/>
        </w:rPr>
        <w:t> </w:t>
      </w:r>
      <w:r>
        <w:rPr/>
        <w:t>within</w:t>
      </w:r>
      <w:r>
        <w:rPr>
          <w:spacing w:val="-19"/>
        </w:rPr>
        <w:t> </w:t>
      </w:r>
      <w:r>
        <w:rPr/>
        <w:t>budget.</w:t>
      </w:r>
    </w:p>
    <w:p>
      <w:pPr>
        <w:pStyle w:val="BodyText"/>
        <w:spacing w:line="249" w:lineRule="auto" w:before="3"/>
        <w:ind w:left="107" w:right="-11"/>
      </w:pPr>
      <w:r>
        <w:rPr/>
        <w:t>The campus has been heralded for its rich use of technology to support core student and learning objectives. The design and capabilities of its teaching spaces are world- leading. Many of the services and technology ITDS deployed at this campus are now also being offered at other campuses, including customer flow management, wayfinding, software virtualisation and digital signage. Campuses now also enjoy upgraded or new room booking systems.</w:t>
      </w:r>
    </w:p>
    <w:p>
      <w:pPr>
        <w:pStyle w:val="BodyText"/>
        <w:rPr>
          <w:sz w:val="14"/>
        </w:rPr>
      </w:pPr>
    </w:p>
    <w:p>
      <w:pPr>
        <w:pStyle w:val="BodyText"/>
        <w:spacing w:line="247" w:lineRule="auto"/>
        <w:ind w:left="107" w:right="33"/>
      </w:pPr>
      <w:r>
        <w:rPr>
          <w:rFonts w:ascii="Gotham Narrow Bold" w:hAnsi="Gotham Narrow Bold"/>
          <w:b/>
        </w:rPr>
        <w:t>International and domestic </w:t>
      </w:r>
      <w:r>
        <w:rPr/>
        <w:t>– ITDS implemented a new agent management system and StudyLink to help build the University’s international student cohort. </w:t>
      </w:r>
      <w:r>
        <w:rPr>
          <w:w w:val="94"/>
        </w:rPr>
        <w:t>These </w:t>
      </w:r>
      <w:r>
        <w:rPr>
          <w:w w:val="96"/>
        </w:rPr>
        <w:t>have </w:t>
      </w:r>
      <w:r>
        <w:rPr>
          <w:w w:val="97"/>
        </w:rPr>
        <w:t>been </w:t>
      </w:r>
      <w:r>
        <w:rPr>
          <w:w w:val="97"/>
        </w:rPr>
        <w:t>used </w:t>
      </w:r>
      <w:r>
        <w:rPr>
          <w:w w:val="97"/>
        </w:rPr>
        <w:t>fruitfully </w:t>
      </w:r>
      <w:r>
        <w:rPr>
          <w:w w:val="98"/>
        </w:rPr>
        <w:t>for </w:t>
      </w:r>
      <w:r>
        <w:rPr>
          <w:w w:val="87"/>
        </w:rPr>
        <w:t>2017 </w:t>
      </w:r>
      <w:r>
        <w:rPr/>
        <w:t>recruitment and to increase the visibility of, and engagement with, the University among potential international students.</w:t>
      </w:r>
    </w:p>
    <w:p>
      <w:pPr>
        <w:pStyle w:val="BodyText"/>
        <w:spacing w:before="2"/>
        <w:rPr>
          <w:sz w:val="14"/>
        </w:rPr>
      </w:pPr>
    </w:p>
    <w:p>
      <w:pPr>
        <w:pStyle w:val="BodyText"/>
        <w:spacing w:line="247" w:lineRule="auto"/>
        <w:ind w:left="107" w:right="97"/>
      </w:pPr>
      <w:r>
        <w:rPr>
          <w:rFonts w:ascii="Gotham Narrow Bold" w:hAnsi="Gotham Narrow Bold"/>
          <w:b/>
        </w:rPr>
        <w:t>Marketing</w:t>
      </w:r>
      <w:r>
        <w:rPr>
          <w:rFonts w:ascii="Gotham Narrow Bold" w:hAnsi="Gotham Narrow Bold"/>
          <w:b/>
          <w:spacing w:val="-17"/>
        </w:rPr>
        <w:t> </w:t>
      </w:r>
      <w:r>
        <w:rPr>
          <w:rFonts w:ascii="Gotham Narrow Bold" w:hAnsi="Gotham Narrow Bold"/>
          <w:b/>
          <w:spacing w:val="2"/>
        </w:rPr>
        <w:t>automation</w:t>
      </w:r>
      <w:r>
        <w:rPr>
          <w:rFonts w:ascii="Gotham Narrow Bold" w:hAnsi="Gotham Narrow Bold"/>
          <w:b/>
          <w:spacing w:val="-15"/>
        </w:rPr>
        <w:t> </w:t>
      </w:r>
      <w:r>
        <w:rPr/>
        <w:t>–</w:t>
      </w:r>
      <w:r>
        <w:rPr>
          <w:spacing w:val="-25"/>
        </w:rPr>
        <w:t> </w:t>
      </w:r>
      <w:r>
        <w:rPr/>
        <w:t>The</w:t>
      </w:r>
      <w:r>
        <w:rPr>
          <w:spacing w:val="-25"/>
        </w:rPr>
        <w:t> </w:t>
      </w:r>
      <w:r>
        <w:rPr/>
        <w:t>first</w:t>
      </w:r>
      <w:r>
        <w:rPr>
          <w:spacing w:val="-25"/>
        </w:rPr>
        <w:t> </w:t>
      </w:r>
      <w:r>
        <w:rPr/>
        <w:t>phase</w:t>
      </w:r>
      <w:r>
        <w:rPr>
          <w:spacing w:val="-25"/>
        </w:rPr>
        <w:t> </w:t>
      </w:r>
      <w:r>
        <w:rPr/>
        <w:t>of</w:t>
      </w:r>
      <w:r>
        <w:rPr>
          <w:spacing w:val="-25"/>
        </w:rPr>
        <w:t> </w:t>
      </w:r>
      <w:r>
        <w:rPr/>
        <w:t>a marketing</w:t>
      </w:r>
      <w:r>
        <w:rPr>
          <w:spacing w:val="-18"/>
        </w:rPr>
        <w:t> </w:t>
      </w:r>
      <w:r>
        <w:rPr/>
        <w:t>automation</w:t>
      </w:r>
      <w:r>
        <w:rPr>
          <w:spacing w:val="-18"/>
        </w:rPr>
        <w:t> </w:t>
      </w:r>
      <w:r>
        <w:rPr/>
        <w:t>project,</w:t>
      </w:r>
      <w:r>
        <w:rPr>
          <w:spacing w:val="-18"/>
        </w:rPr>
        <w:t> </w:t>
      </w:r>
      <w:r>
        <w:rPr/>
        <w:t>completed</w:t>
      </w:r>
      <w:r>
        <w:rPr>
          <w:spacing w:val="-18"/>
        </w:rPr>
        <w:t> </w:t>
      </w:r>
      <w:r>
        <w:rPr/>
        <w:t>in </w:t>
      </w:r>
      <w:r>
        <w:rPr>
          <w:spacing w:val="1"/>
          <w:w w:val="96"/>
        </w:rPr>
        <w:t>early</w:t>
      </w:r>
      <w:r>
        <w:rPr>
          <w:w w:val="96"/>
        </w:rPr>
        <w:t> </w:t>
      </w:r>
      <w:r>
        <w:rPr>
          <w:spacing w:val="-2"/>
          <w:w w:val="83"/>
        </w:rPr>
        <w:t>2017,</w:t>
      </w:r>
      <w:r>
        <w:rPr>
          <w:w w:val="83"/>
        </w:rPr>
        <w:t> </w:t>
      </w:r>
      <w:r>
        <w:rPr>
          <w:w w:val="97"/>
        </w:rPr>
        <w:t>will </w:t>
      </w:r>
      <w:r>
        <w:rPr>
          <w:spacing w:val="1"/>
          <w:w w:val="99"/>
        </w:rPr>
        <w:t>support</w:t>
      </w:r>
      <w:r>
        <w:rPr>
          <w:w w:val="99"/>
        </w:rPr>
        <w:t> </w:t>
      </w:r>
      <w:r>
        <w:rPr>
          <w:spacing w:val="1"/>
          <w:w w:val="98"/>
        </w:rPr>
        <w:t>student</w:t>
      </w:r>
      <w:r>
        <w:rPr>
          <w:w w:val="98"/>
        </w:rPr>
        <w:t> </w:t>
      </w:r>
      <w:r>
        <w:rPr>
          <w:spacing w:val="1"/>
          <w:w w:val="95"/>
        </w:rPr>
        <w:t>recruitment.</w:t>
      </w:r>
      <w:r>
        <w:rPr>
          <w:w w:val="95"/>
        </w:rPr>
        <w:t> </w:t>
      </w:r>
      <w:r>
        <w:rPr/>
        <w:t>The</w:t>
      </w:r>
      <w:r>
        <w:rPr>
          <w:spacing w:val="-17"/>
        </w:rPr>
        <w:t> </w:t>
      </w:r>
      <w:r>
        <w:rPr/>
        <w:t>new</w:t>
      </w:r>
      <w:r>
        <w:rPr>
          <w:spacing w:val="-17"/>
        </w:rPr>
        <w:t> </w:t>
      </w:r>
      <w:r>
        <w:rPr/>
        <w:t>marketing</w:t>
      </w:r>
      <w:r>
        <w:rPr>
          <w:spacing w:val="-17"/>
        </w:rPr>
        <w:t> </w:t>
      </w:r>
      <w:r>
        <w:rPr/>
        <w:t>platform</w:t>
      </w:r>
      <w:r>
        <w:rPr>
          <w:spacing w:val="-17"/>
        </w:rPr>
        <w:t> </w:t>
      </w:r>
      <w:r>
        <w:rPr/>
        <w:t>has</w:t>
      </w:r>
      <w:r>
        <w:rPr>
          <w:spacing w:val="-17"/>
        </w:rPr>
        <w:t> </w:t>
      </w:r>
      <w:r>
        <w:rPr/>
        <w:t>broadened the University’s capabilities with regard to presentation, presence, personalisation and </w:t>
      </w:r>
      <w:r>
        <w:rPr>
          <w:spacing w:val="2"/>
          <w:w w:val="94"/>
        </w:rPr>
        <w:t>analytics.</w:t>
      </w:r>
      <w:r>
        <w:rPr>
          <w:w w:val="94"/>
        </w:rPr>
        <w:t> </w:t>
      </w:r>
      <w:r>
        <w:rPr>
          <w:spacing w:val="1"/>
          <w:w w:val="80"/>
        </w:rPr>
        <w:t>In</w:t>
      </w:r>
      <w:r>
        <w:rPr>
          <w:w w:val="80"/>
        </w:rPr>
        <w:t> </w:t>
      </w:r>
      <w:r>
        <w:rPr>
          <w:w w:val="97"/>
        </w:rPr>
        <w:t>the </w:t>
      </w:r>
      <w:r>
        <w:rPr>
          <w:spacing w:val="1"/>
          <w:w w:val="96"/>
        </w:rPr>
        <w:t>last</w:t>
      </w:r>
      <w:r>
        <w:rPr>
          <w:w w:val="96"/>
        </w:rPr>
        <w:t> </w:t>
      </w:r>
      <w:r>
        <w:rPr>
          <w:spacing w:val="1"/>
          <w:w w:val="97"/>
        </w:rPr>
        <w:t>quarter</w:t>
      </w:r>
      <w:r>
        <w:rPr>
          <w:w w:val="97"/>
        </w:rPr>
        <w:t> </w:t>
      </w:r>
      <w:r>
        <w:rPr>
          <w:w w:val="99"/>
        </w:rPr>
        <w:t>of </w:t>
      </w:r>
      <w:r>
        <w:rPr>
          <w:spacing w:val="2"/>
          <w:w w:val="85"/>
        </w:rPr>
        <w:t>2016,</w:t>
      </w:r>
      <w:r>
        <w:rPr>
          <w:w w:val="85"/>
        </w:rPr>
        <w:t> </w:t>
      </w:r>
      <w:r>
        <w:rPr>
          <w:w w:val="97"/>
        </w:rPr>
        <w:t>the </w:t>
      </w:r>
      <w:r>
        <w:rPr/>
        <w:t>implementation of a new outbound calling system</w:t>
      </w:r>
      <w:r>
        <w:rPr>
          <w:spacing w:val="-16"/>
        </w:rPr>
        <w:t> </w:t>
      </w:r>
      <w:r>
        <w:rPr/>
        <w:t>also</w:t>
      </w:r>
      <w:r>
        <w:rPr>
          <w:spacing w:val="-16"/>
        </w:rPr>
        <w:t> </w:t>
      </w:r>
      <w:r>
        <w:rPr/>
        <w:t>improved</w:t>
      </w:r>
      <w:r>
        <w:rPr>
          <w:spacing w:val="-16"/>
        </w:rPr>
        <w:t> </w:t>
      </w:r>
      <w:r>
        <w:rPr/>
        <w:t>the</w:t>
      </w:r>
      <w:r>
        <w:rPr>
          <w:spacing w:val="-16"/>
        </w:rPr>
        <w:t> </w:t>
      </w:r>
      <w:r>
        <w:rPr/>
        <w:t>University’s</w:t>
      </w:r>
      <w:r>
        <w:rPr>
          <w:spacing w:val="-16"/>
        </w:rPr>
        <w:t> </w:t>
      </w:r>
      <w:r>
        <w:rPr/>
        <w:t>ability</w:t>
      </w:r>
    </w:p>
    <w:p>
      <w:pPr>
        <w:pStyle w:val="BodyText"/>
        <w:spacing w:before="9"/>
      </w:pPr>
      <w:r>
        <w:rPr/>
        <w:br w:type="column"/>
      </w:r>
      <w:r>
        <w:rPr/>
      </w:r>
    </w:p>
    <w:p>
      <w:pPr>
        <w:pStyle w:val="BodyText"/>
        <w:ind w:left="107" w:right="460"/>
      </w:pPr>
      <w:r>
        <w:rPr/>
        <w:t>to undertake recruitment campaigns.</w:t>
      </w:r>
    </w:p>
    <w:p>
      <w:pPr>
        <w:pStyle w:val="BodyText"/>
        <w:spacing w:before="7"/>
        <w:rPr>
          <w:sz w:val="14"/>
        </w:rPr>
      </w:pPr>
    </w:p>
    <w:p>
      <w:pPr>
        <w:spacing w:line="247" w:lineRule="auto" w:before="1"/>
        <w:ind w:left="107" w:right="447" w:firstLine="0"/>
        <w:jc w:val="left"/>
        <w:rPr>
          <w:sz w:val="16"/>
        </w:rPr>
      </w:pPr>
      <w:r>
        <w:rPr>
          <w:rFonts w:ascii="Gotham Narrow Bold" w:hAnsi="Gotham Narrow Bold"/>
          <w:b/>
          <w:sz w:val="16"/>
        </w:rPr>
        <w:t>Infrastructure-as-a-Service (cloud) </w:t>
      </w:r>
      <w:r>
        <w:rPr>
          <w:sz w:val="16"/>
        </w:rPr>
        <w:t>– ITDS oversaw a comprehensive tender and evaluation process to select an Infrastructure-as-a-Service provider that</w:t>
      </w:r>
    </w:p>
    <w:p>
      <w:pPr>
        <w:pStyle w:val="BodyText"/>
        <w:spacing w:line="249" w:lineRule="auto" w:before="1"/>
        <w:ind w:left="107" w:right="86"/>
      </w:pPr>
      <w:r>
        <w:rPr/>
        <w:t>would accommodate the University’s future computing and storage needs. A tier </w:t>
      </w:r>
      <w:r>
        <w:rPr>
          <w:w w:val="95"/>
        </w:rPr>
        <w:t>1 </w:t>
      </w:r>
      <w:r>
        <w:rPr/>
        <w:t>technology provider was selected to manage a private cloud-based computing system. The transition of applications to the new system </w:t>
      </w:r>
      <w:r>
        <w:rPr>
          <w:w w:val="97"/>
        </w:rPr>
        <w:t>will </w:t>
      </w:r>
      <w:r>
        <w:rPr>
          <w:w w:val="97"/>
        </w:rPr>
        <w:t>take </w:t>
      </w:r>
      <w:r>
        <w:rPr>
          <w:w w:val="99"/>
        </w:rPr>
        <w:t>most </w:t>
      </w:r>
      <w:r>
        <w:rPr>
          <w:w w:val="99"/>
        </w:rPr>
        <w:t>of </w:t>
      </w:r>
      <w:r>
        <w:rPr>
          <w:w w:val="83"/>
        </w:rPr>
        <w:t>2017, </w:t>
      </w:r>
      <w:r>
        <w:rPr>
          <w:w w:val="97"/>
        </w:rPr>
        <w:t>and </w:t>
      </w:r>
      <w:r>
        <w:rPr>
          <w:w w:val="97"/>
        </w:rPr>
        <w:t>will </w:t>
      </w:r>
      <w:r>
        <w:rPr>
          <w:w w:val="97"/>
        </w:rPr>
        <w:t>include </w:t>
      </w:r>
      <w:r>
        <w:rPr>
          <w:w w:val="97"/>
        </w:rPr>
        <w:t>the </w:t>
      </w:r>
      <w:r>
        <w:rPr/>
        <w:t>standardisation and rationalisation of the software portfolio.</w:t>
      </w:r>
    </w:p>
    <w:p>
      <w:pPr>
        <w:pStyle w:val="BodyText"/>
        <w:rPr>
          <w:sz w:val="14"/>
        </w:rPr>
      </w:pPr>
    </w:p>
    <w:p>
      <w:pPr>
        <w:pStyle w:val="BodyText"/>
        <w:spacing w:line="244" w:lineRule="auto"/>
        <w:ind w:left="107" w:right="394"/>
      </w:pPr>
      <w:r>
        <w:rPr>
          <w:rFonts w:ascii="Gotham Narrow Bold" w:hAnsi="Gotham Narrow Bold"/>
          <w:b/>
        </w:rPr>
        <w:t>Networking </w:t>
      </w:r>
      <w:r>
        <w:rPr/>
        <w:t>– Following the completion </w:t>
      </w:r>
      <w:r>
        <w:rPr>
          <w:w w:val="99"/>
        </w:rPr>
        <w:t>of </w:t>
      </w:r>
      <w:r>
        <w:rPr>
          <w:w w:val="97"/>
        </w:rPr>
        <w:t>the </w:t>
      </w:r>
      <w:r>
        <w:rPr>
          <w:w w:val="98"/>
        </w:rPr>
        <w:t>switched </w:t>
      </w:r>
      <w:r>
        <w:rPr>
          <w:w w:val="98"/>
        </w:rPr>
        <w:t>network </w:t>
      </w:r>
      <w:r>
        <w:rPr>
          <w:w w:val="98"/>
        </w:rPr>
        <w:t>upgrade </w:t>
      </w:r>
      <w:r>
        <w:rPr>
          <w:w w:val="95"/>
        </w:rPr>
        <w:t>in </w:t>
      </w:r>
      <w:r>
        <w:rPr>
          <w:w w:val="85"/>
        </w:rPr>
        <w:t>2016, </w:t>
      </w:r>
      <w:r>
        <w:rPr/>
        <w:t>a new wireless networking service will be</w:t>
      </w:r>
    </w:p>
    <w:p>
      <w:pPr>
        <w:pStyle w:val="BodyText"/>
        <w:spacing w:line="249" w:lineRule="auto" w:before="3"/>
        <w:ind w:left="107" w:right="136"/>
      </w:pPr>
      <w:r>
        <w:rPr/>
        <w:t>progressively rolled out across all campuses </w:t>
      </w:r>
      <w:r>
        <w:rPr>
          <w:w w:val="95"/>
        </w:rPr>
        <w:t>in </w:t>
      </w:r>
      <w:r>
        <w:rPr>
          <w:w w:val="83"/>
        </w:rPr>
        <w:t>2017. </w:t>
      </w:r>
      <w:r>
        <w:rPr>
          <w:w w:val="94"/>
        </w:rPr>
        <w:t>The </w:t>
      </w:r>
      <w:r>
        <w:rPr>
          <w:w w:val="99"/>
        </w:rPr>
        <w:t>Kingswood </w:t>
      </w:r>
      <w:r>
        <w:rPr>
          <w:w w:val="97"/>
        </w:rPr>
        <w:t>and </w:t>
      </w:r>
      <w:r>
        <w:rPr>
          <w:w w:val="97"/>
        </w:rPr>
        <w:t>Parramatta </w:t>
      </w:r>
      <w:r>
        <w:rPr/>
        <w:t>campuses have enjoyed significant improvements in network performance. In addition, a second major internet link was established to provide better load balancing and redundancy across the campus network.</w:t>
      </w:r>
    </w:p>
    <w:p>
      <w:pPr>
        <w:pStyle w:val="BodyText"/>
        <w:rPr>
          <w:sz w:val="14"/>
        </w:rPr>
      </w:pPr>
    </w:p>
    <w:p>
      <w:pPr>
        <w:pStyle w:val="BodyText"/>
        <w:spacing w:line="247" w:lineRule="auto"/>
        <w:ind w:left="107" w:right="122"/>
      </w:pPr>
      <w:r>
        <w:rPr>
          <w:rFonts w:ascii="Gotham Narrow Bold" w:hAnsi="Gotham Narrow Bold"/>
          <w:b/>
        </w:rPr>
        <w:t>Video and </w:t>
      </w:r>
      <w:r>
        <w:rPr>
          <w:rFonts w:ascii="Gotham Narrow Bold" w:hAnsi="Gotham Narrow Bold"/>
          <w:b/>
          <w:spacing w:val="2"/>
        </w:rPr>
        <w:t>online </w:t>
      </w:r>
      <w:r>
        <w:rPr>
          <w:rFonts w:ascii="Gotham Narrow Bold" w:hAnsi="Gotham Narrow Bold"/>
          <w:b/>
        </w:rPr>
        <w:t>collaboration </w:t>
      </w:r>
      <w:r>
        <w:rPr/>
        <w:t>– The deployment of Zoom video and web conferencing technology has seen a widespread</w:t>
      </w:r>
      <w:r>
        <w:rPr>
          <w:spacing w:val="-16"/>
        </w:rPr>
        <w:t> </w:t>
      </w:r>
      <w:r>
        <w:rPr/>
        <w:t>change</w:t>
      </w:r>
      <w:r>
        <w:rPr>
          <w:spacing w:val="-16"/>
        </w:rPr>
        <w:t> </w:t>
      </w:r>
      <w:r>
        <w:rPr/>
        <w:t>in</w:t>
      </w:r>
      <w:r>
        <w:rPr>
          <w:spacing w:val="-16"/>
        </w:rPr>
        <w:t> </w:t>
      </w:r>
      <w:r>
        <w:rPr/>
        <w:t>the</w:t>
      </w:r>
      <w:r>
        <w:rPr>
          <w:spacing w:val="-16"/>
        </w:rPr>
        <w:t> </w:t>
      </w:r>
      <w:r>
        <w:rPr/>
        <w:t>way</w:t>
      </w:r>
      <w:r>
        <w:rPr>
          <w:spacing w:val="-16"/>
        </w:rPr>
        <w:t> </w:t>
      </w:r>
      <w:r>
        <w:rPr/>
        <w:t>the</w:t>
      </w:r>
      <w:r>
        <w:rPr>
          <w:spacing w:val="-16"/>
        </w:rPr>
        <w:t> </w:t>
      </w:r>
      <w:r>
        <w:rPr/>
        <w:t>University’s staff and students collaborate. The new technology</w:t>
      </w:r>
      <w:r>
        <w:rPr>
          <w:spacing w:val="-14"/>
        </w:rPr>
        <w:t> </w:t>
      </w:r>
      <w:r>
        <w:rPr/>
        <w:t>has</w:t>
      </w:r>
      <w:r>
        <w:rPr>
          <w:spacing w:val="-14"/>
        </w:rPr>
        <w:t> </w:t>
      </w:r>
      <w:r>
        <w:rPr/>
        <w:t>significantly</w:t>
      </w:r>
      <w:r>
        <w:rPr>
          <w:spacing w:val="-14"/>
        </w:rPr>
        <w:t> </w:t>
      </w:r>
      <w:r>
        <w:rPr/>
        <w:t>reduced</w:t>
      </w:r>
      <w:r>
        <w:rPr>
          <w:spacing w:val="-14"/>
        </w:rPr>
        <w:t> </w:t>
      </w:r>
      <w:r>
        <w:rPr/>
        <w:t>the</w:t>
      </w:r>
      <w:r>
        <w:rPr>
          <w:spacing w:val="-14"/>
        </w:rPr>
        <w:t> </w:t>
      </w:r>
      <w:r>
        <w:rPr/>
        <w:t>need for</w:t>
      </w:r>
      <w:r>
        <w:rPr>
          <w:spacing w:val="-20"/>
        </w:rPr>
        <w:t> </w:t>
      </w:r>
      <w:r>
        <w:rPr/>
        <w:t>travel</w:t>
      </w:r>
      <w:r>
        <w:rPr>
          <w:spacing w:val="-20"/>
        </w:rPr>
        <w:t> </w:t>
      </w:r>
      <w:r>
        <w:rPr/>
        <w:t>between</w:t>
      </w:r>
      <w:r>
        <w:rPr>
          <w:spacing w:val="-20"/>
        </w:rPr>
        <w:t> </w:t>
      </w:r>
      <w:r>
        <w:rPr>
          <w:spacing w:val="2"/>
        </w:rPr>
        <w:t>campuses,</w:t>
      </w:r>
      <w:r>
        <w:rPr>
          <w:spacing w:val="-20"/>
        </w:rPr>
        <w:t> </w:t>
      </w:r>
      <w:r>
        <w:rPr/>
        <w:t>and</w:t>
      </w:r>
      <w:r>
        <w:rPr>
          <w:spacing w:val="-20"/>
        </w:rPr>
        <w:t> </w:t>
      </w:r>
      <w:r>
        <w:rPr/>
        <w:t>has</w:t>
      </w:r>
      <w:r>
        <w:rPr>
          <w:spacing w:val="-20"/>
        </w:rPr>
        <w:t> </w:t>
      </w:r>
      <w:r>
        <w:rPr/>
        <w:t>created a quickly ballooning expectation that every meeting will be Zoom-enabled. The project’s catchphrase – ‘Why drive when you can Zoom?’</w:t>
      </w:r>
      <w:r>
        <w:rPr>
          <w:spacing w:val="-20"/>
        </w:rPr>
        <w:t> </w:t>
      </w:r>
      <w:r>
        <w:rPr/>
        <w:t>–</w:t>
      </w:r>
      <w:r>
        <w:rPr>
          <w:spacing w:val="-20"/>
        </w:rPr>
        <w:t> </w:t>
      </w:r>
      <w:r>
        <w:rPr/>
        <w:t>has</w:t>
      </w:r>
      <w:r>
        <w:rPr>
          <w:spacing w:val="-20"/>
        </w:rPr>
        <w:t> </w:t>
      </w:r>
      <w:r>
        <w:rPr/>
        <w:t>become</w:t>
      </w:r>
      <w:r>
        <w:rPr>
          <w:spacing w:val="-20"/>
        </w:rPr>
        <w:t> </w:t>
      </w:r>
      <w:r>
        <w:rPr/>
        <w:t>a</w:t>
      </w:r>
      <w:r>
        <w:rPr>
          <w:spacing w:val="-20"/>
        </w:rPr>
        <w:t> </w:t>
      </w:r>
      <w:r>
        <w:rPr/>
        <w:t>reality.</w:t>
      </w:r>
    </w:p>
    <w:p>
      <w:pPr>
        <w:pStyle w:val="BodyText"/>
        <w:spacing w:before="2"/>
        <w:rPr>
          <w:sz w:val="14"/>
        </w:rPr>
      </w:pPr>
    </w:p>
    <w:p>
      <w:pPr>
        <w:pStyle w:val="BodyText"/>
        <w:spacing w:line="244" w:lineRule="auto"/>
        <w:ind w:left="107" w:right="568"/>
      </w:pPr>
      <w:r>
        <w:rPr>
          <w:rFonts w:ascii="Gotham Narrow Bold" w:hAnsi="Gotham Narrow Bold"/>
          <w:b/>
          <w:spacing w:val="2"/>
          <w:w w:val="94"/>
        </w:rPr>
        <w:t>Desktop</w:t>
      </w:r>
      <w:r>
        <w:rPr>
          <w:rFonts w:ascii="Gotham Narrow Bold" w:hAnsi="Gotham Narrow Bold"/>
          <w:b/>
          <w:w w:val="94"/>
        </w:rPr>
        <w:t> </w:t>
      </w:r>
      <w:r>
        <w:rPr>
          <w:rFonts w:ascii="Gotham Narrow Bold" w:hAnsi="Gotham Narrow Bold"/>
          <w:b/>
          <w:spacing w:val="2"/>
          <w:w w:val="94"/>
        </w:rPr>
        <w:t>platforms</w:t>
      </w:r>
      <w:r>
        <w:rPr>
          <w:rFonts w:ascii="Gotham Narrow Bold" w:hAnsi="Gotham Narrow Bold"/>
          <w:b/>
          <w:w w:val="94"/>
        </w:rPr>
        <w:t> </w:t>
      </w:r>
      <w:r>
        <w:rPr>
          <w:w w:val="89"/>
        </w:rPr>
        <w:t>– </w:t>
      </w:r>
      <w:r>
        <w:rPr>
          <w:w w:val="99"/>
        </w:rPr>
        <w:t>Windows </w:t>
      </w:r>
      <w:r>
        <w:rPr>
          <w:spacing w:val="2"/>
          <w:w w:val="82"/>
        </w:rPr>
        <w:t>10</w:t>
      </w:r>
      <w:r>
        <w:rPr>
          <w:w w:val="82"/>
        </w:rPr>
        <w:t> </w:t>
      </w:r>
      <w:r>
        <w:rPr>
          <w:w w:val="95"/>
        </w:rPr>
        <w:t>is </w:t>
      </w:r>
      <w:r>
        <w:rPr/>
        <w:t>now</w:t>
      </w:r>
      <w:r>
        <w:rPr>
          <w:spacing w:val="-15"/>
        </w:rPr>
        <w:t> </w:t>
      </w:r>
      <w:r>
        <w:rPr/>
        <w:t>the</w:t>
      </w:r>
      <w:r>
        <w:rPr>
          <w:spacing w:val="-15"/>
        </w:rPr>
        <w:t> </w:t>
      </w:r>
      <w:r>
        <w:rPr/>
        <w:t>default</w:t>
      </w:r>
      <w:r>
        <w:rPr>
          <w:spacing w:val="-15"/>
        </w:rPr>
        <w:t> </w:t>
      </w:r>
      <w:r>
        <w:rPr/>
        <w:t>operating</w:t>
      </w:r>
      <w:r>
        <w:rPr>
          <w:spacing w:val="-15"/>
        </w:rPr>
        <w:t> </w:t>
      </w:r>
      <w:r>
        <w:rPr/>
        <w:t>system</w:t>
      </w:r>
      <w:r>
        <w:rPr>
          <w:spacing w:val="-15"/>
        </w:rPr>
        <w:t> </w:t>
      </w:r>
      <w:r>
        <w:rPr/>
        <w:t>for</w:t>
      </w:r>
      <w:r>
        <w:rPr>
          <w:spacing w:val="-15"/>
        </w:rPr>
        <w:t> </w:t>
      </w:r>
      <w:r>
        <w:rPr/>
        <w:t>all PC-based</w:t>
      </w:r>
      <w:r>
        <w:rPr>
          <w:spacing w:val="-15"/>
        </w:rPr>
        <w:t> </w:t>
      </w:r>
      <w:r>
        <w:rPr/>
        <w:t>systems,</w:t>
      </w:r>
      <w:r>
        <w:rPr>
          <w:spacing w:val="-15"/>
        </w:rPr>
        <w:t> </w:t>
      </w:r>
      <w:r>
        <w:rPr/>
        <w:t>including</w:t>
      </w:r>
      <w:r>
        <w:rPr>
          <w:spacing w:val="-15"/>
        </w:rPr>
        <w:t> </w:t>
      </w:r>
      <w:r>
        <w:rPr/>
        <w:t>general-</w:t>
      </w:r>
    </w:p>
    <w:p>
      <w:pPr>
        <w:pStyle w:val="BodyText"/>
        <w:spacing w:line="249" w:lineRule="auto" w:before="3"/>
        <w:ind w:left="107" w:right="418"/>
      </w:pPr>
      <w:r>
        <w:rPr/>
        <w:t>purpose computer labs, and learning and teaching</w:t>
      </w:r>
      <w:r>
        <w:rPr>
          <w:spacing w:val="-18"/>
        </w:rPr>
        <w:t> </w:t>
      </w:r>
      <w:r>
        <w:rPr/>
        <w:t>spaces.</w:t>
      </w:r>
      <w:r>
        <w:rPr>
          <w:spacing w:val="-18"/>
        </w:rPr>
        <w:t> </w:t>
      </w:r>
      <w:r>
        <w:rPr/>
        <w:t>It</w:t>
      </w:r>
      <w:r>
        <w:rPr>
          <w:spacing w:val="-18"/>
        </w:rPr>
        <w:t> </w:t>
      </w:r>
      <w:r>
        <w:rPr/>
        <w:t>is</w:t>
      </w:r>
      <w:r>
        <w:rPr>
          <w:spacing w:val="-18"/>
        </w:rPr>
        <w:t> </w:t>
      </w:r>
      <w:r>
        <w:rPr/>
        <w:t>also</w:t>
      </w:r>
      <w:r>
        <w:rPr>
          <w:spacing w:val="-18"/>
        </w:rPr>
        <w:t> </w:t>
      </w:r>
      <w:r>
        <w:rPr/>
        <w:t>the</w:t>
      </w:r>
      <w:r>
        <w:rPr>
          <w:spacing w:val="-18"/>
        </w:rPr>
        <w:t> </w:t>
      </w:r>
      <w:r>
        <w:rPr/>
        <w:t>designated operating</w:t>
      </w:r>
      <w:r>
        <w:rPr>
          <w:spacing w:val="-17"/>
        </w:rPr>
        <w:t> </w:t>
      </w:r>
      <w:r>
        <w:rPr/>
        <w:t>system</w:t>
      </w:r>
      <w:r>
        <w:rPr>
          <w:spacing w:val="-17"/>
        </w:rPr>
        <w:t> </w:t>
      </w:r>
      <w:r>
        <w:rPr/>
        <w:t>for</w:t>
      </w:r>
      <w:r>
        <w:rPr>
          <w:spacing w:val="-17"/>
        </w:rPr>
        <w:t> </w:t>
      </w:r>
      <w:r>
        <w:rPr/>
        <w:t>all</w:t>
      </w:r>
      <w:r>
        <w:rPr>
          <w:spacing w:val="-17"/>
        </w:rPr>
        <w:t> </w:t>
      </w:r>
      <w:r>
        <w:rPr/>
        <w:t>new</w:t>
      </w:r>
      <w:r>
        <w:rPr>
          <w:spacing w:val="-17"/>
        </w:rPr>
        <w:t> </w:t>
      </w:r>
      <w:r>
        <w:rPr/>
        <w:t>staff</w:t>
      </w:r>
      <w:r>
        <w:rPr>
          <w:spacing w:val="-17"/>
        </w:rPr>
        <w:t> </w:t>
      </w:r>
      <w:r>
        <w:rPr/>
        <w:t>devices. ITDS</w:t>
      </w:r>
      <w:r>
        <w:rPr>
          <w:spacing w:val="-20"/>
        </w:rPr>
        <w:t> </w:t>
      </w:r>
      <w:r>
        <w:rPr/>
        <w:t>strives</w:t>
      </w:r>
      <w:r>
        <w:rPr>
          <w:spacing w:val="-20"/>
        </w:rPr>
        <w:t> </w:t>
      </w:r>
      <w:r>
        <w:rPr/>
        <w:t>to</w:t>
      </w:r>
      <w:r>
        <w:rPr>
          <w:spacing w:val="-20"/>
        </w:rPr>
        <w:t> </w:t>
      </w:r>
      <w:r>
        <w:rPr/>
        <w:t>ensure</w:t>
      </w:r>
      <w:r>
        <w:rPr>
          <w:spacing w:val="-20"/>
        </w:rPr>
        <w:t> </w:t>
      </w:r>
      <w:r>
        <w:rPr/>
        <w:t>the</w:t>
      </w:r>
      <w:r>
        <w:rPr>
          <w:spacing w:val="-20"/>
        </w:rPr>
        <w:t> </w:t>
      </w:r>
      <w:r>
        <w:rPr/>
        <w:t>use</w:t>
      </w:r>
      <w:r>
        <w:rPr>
          <w:spacing w:val="-20"/>
        </w:rPr>
        <w:t> </w:t>
      </w:r>
      <w:r>
        <w:rPr/>
        <w:t>of</w:t>
      </w:r>
      <w:r>
        <w:rPr>
          <w:spacing w:val="-20"/>
        </w:rPr>
        <w:t> </w:t>
      </w:r>
      <w:r>
        <w:rPr/>
        <w:t>Microsoft best practices, and will be making some </w:t>
      </w:r>
      <w:r>
        <w:rPr>
          <w:w w:val="99"/>
        </w:rPr>
        <w:t>back-office </w:t>
      </w:r>
      <w:r>
        <w:rPr>
          <w:spacing w:val="1"/>
          <w:w w:val="98"/>
        </w:rPr>
        <w:t>improvements</w:t>
      </w:r>
      <w:r>
        <w:rPr>
          <w:w w:val="98"/>
        </w:rPr>
        <w:t> </w:t>
      </w:r>
      <w:r>
        <w:rPr>
          <w:w w:val="95"/>
        </w:rPr>
        <w:t>in</w:t>
      </w:r>
      <w:r>
        <w:rPr>
          <w:spacing w:val="-11"/>
          <w:w w:val="95"/>
        </w:rPr>
        <w:t> </w:t>
      </w:r>
      <w:r>
        <w:rPr>
          <w:spacing w:val="-2"/>
          <w:w w:val="83"/>
        </w:rPr>
        <w:t>2017.</w:t>
      </w:r>
    </w:p>
    <w:p>
      <w:pPr>
        <w:pStyle w:val="BodyText"/>
        <w:rPr>
          <w:sz w:val="14"/>
        </w:rPr>
      </w:pPr>
    </w:p>
    <w:p>
      <w:pPr>
        <w:pStyle w:val="BodyText"/>
        <w:spacing w:line="247" w:lineRule="auto"/>
        <w:ind w:left="107" w:right="207"/>
      </w:pPr>
      <w:r>
        <w:rPr>
          <w:rFonts w:ascii="Gotham Narrow Bold" w:hAnsi="Gotham Narrow Bold"/>
          <w:b/>
          <w:spacing w:val="2"/>
        </w:rPr>
        <w:t>Student Management </w:t>
      </w:r>
      <w:r>
        <w:rPr>
          <w:rFonts w:ascii="Gotham Narrow Bold" w:hAnsi="Gotham Narrow Bold"/>
          <w:b/>
        </w:rPr>
        <w:t>System </w:t>
      </w:r>
      <w:r>
        <w:rPr/>
        <w:t>– After an extensive</w:t>
      </w:r>
      <w:r>
        <w:rPr>
          <w:spacing w:val="-26"/>
        </w:rPr>
        <w:t> </w:t>
      </w:r>
      <w:r>
        <w:rPr/>
        <w:t>vendor</w:t>
      </w:r>
      <w:r>
        <w:rPr>
          <w:spacing w:val="-26"/>
        </w:rPr>
        <w:t> </w:t>
      </w:r>
      <w:r>
        <w:rPr/>
        <w:t>evaluation,</w:t>
      </w:r>
      <w:r>
        <w:rPr>
          <w:spacing w:val="-26"/>
        </w:rPr>
        <w:t> </w:t>
      </w:r>
      <w:r>
        <w:rPr/>
        <w:t>ITDS</w:t>
      </w:r>
      <w:r>
        <w:rPr>
          <w:spacing w:val="-26"/>
        </w:rPr>
        <w:t> </w:t>
      </w:r>
      <w:r>
        <w:rPr/>
        <w:t>shortlisted two potential providers of a new Student Management System. ITDS scheduled </w:t>
      </w:r>
      <w:r>
        <w:rPr>
          <w:spacing w:val="1"/>
          <w:w w:val="97"/>
        </w:rPr>
        <w:t>further</w:t>
      </w:r>
      <w:r>
        <w:rPr>
          <w:spacing w:val="-8"/>
          <w:w w:val="97"/>
        </w:rPr>
        <w:t> </w:t>
      </w:r>
      <w:r>
        <w:rPr>
          <w:spacing w:val="1"/>
          <w:w w:val="97"/>
        </w:rPr>
        <w:t>due</w:t>
      </w:r>
      <w:r>
        <w:rPr>
          <w:spacing w:val="-8"/>
          <w:w w:val="97"/>
        </w:rPr>
        <w:t> </w:t>
      </w:r>
      <w:r>
        <w:rPr>
          <w:w w:val="98"/>
        </w:rPr>
        <w:t>diligence</w:t>
      </w:r>
      <w:r>
        <w:rPr>
          <w:spacing w:val="-8"/>
          <w:w w:val="98"/>
        </w:rPr>
        <w:t> </w:t>
      </w:r>
      <w:r>
        <w:rPr>
          <w:w w:val="98"/>
        </w:rPr>
        <w:t>for</w:t>
      </w:r>
      <w:r>
        <w:rPr>
          <w:spacing w:val="-8"/>
          <w:w w:val="98"/>
        </w:rPr>
        <w:t> </w:t>
      </w:r>
      <w:r>
        <w:rPr>
          <w:spacing w:val="1"/>
          <w:w w:val="96"/>
        </w:rPr>
        <w:t>early</w:t>
      </w:r>
      <w:r>
        <w:rPr>
          <w:spacing w:val="-7"/>
          <w:w w:val="96"/>
        </w:rPr>
        <w:t> </w:t>
      </w:r>
      <w:r>
        <w:rPr>
          <w:w w:val="87"/>
        </w:rPr>
        <w:t>2017</w:t>
      </w:r>
      <w:r>
        <w:rPr>
          <w:spacing w:val="-3"/>
          <w:w w:val="87"/>
        </w:rPr>
        <w:t> </w:t>
      </w:r>
      <w:r>
        <w:rPr>
          <w:spacing w:val="-1"/>
          <w:w w:val="101"/>
        </w:rPr>
        <w:t>to</w:t>
      </w:r>
      <w:r>
        <w:rPr>
          <w:spacing w:val="-10"/>
          <w:w w:val="101"/>
        </w:rPr>
        <w:t> </w:t>
      </w:r>
      <w:r>
        <w:rPr>
          <w:spacing w:val="1"/>
          <w:w w:val="96"/>
        </w:rPr>
        <w:t>enable</w:t>
      </w:r>
      <w:r>
        <w:rPr>
          <w:w w:val="96"/>
        </w:rPr>
        <w:t> </w:t>
      </w:r>
      <w:r>
        <w:rPr/>
        <w:t>it</w:t>
      </w:r>
      <w:r>
        <w:rPr>
          <w:spacing w:val="-13"/>
        </w:rPr>
        <w:t> </w:t>
      </w:r>
      <w:r>
        <w:rPr/>
        <w:t>to</w:t>
      </w:r>
      <w:r>
        <w:rPr>
          <w:spacing w:val="-13"/>
        </w:rPr>
        <w:t> </w:t>
      </w:r>
      <w:r>
        <w:rPr/>
        <w:t>recommend</w:t>
      </w:r>
      <w:r>
        <w:rPr>
          <w:spacing w:val="-13"/>
        </w:rPr>
        <w:t> </w:t>
      </w:r>
      <w:r>
        <w:rPr/>
        <w:t>a</w:t>
      </w:r>
      <w:r>
        <w:rPr>
          <w:spacing w:val="-13"/>
        </w:rPr>
        <w:t> </w:t>
      </w:r>
      <w:r>
        <w:rPr/>
        <w:t>provider</w:t>
      </w:r>
      <w:r>
        <w:rPr>
          <w:spacing w:val="-13"/>
        </w:rPr>
        <w:t> </w:t>
      </w:r>
      <w:r>
        <w:rPr/>
        <w:t>to</w:t>
      </w:r>
      <w:r>
        <w:rPr>
          <w:spacing w:val="-13"/>
        </w:rPr>
        <w:t> </w:t>
      </w:r>
      <w:r>
        <w:rPr/>
        <w:t>the</w:t>
      </w:r>
      <w:r>
        <w:rPr>
          <w:spacing w:val="-13"/>
        </w:rPr>
        <w:t> </w:t>
      </w:r>
      <w:r>
        <w:rPr/>
        <w:t>Board</w:t>
      </w:r>
    </w:p>
    <w:p>
      <w:pPr>
        <w:pStyle w:val="BodyText"/>
        <w:spacing w:before="1"/>
        <w:ind w:left="107" w:right="197"/>
      </w:pPr>
      <w:r>
        <w:rPr/>
        <w:t>of Trustees in April. The evaluation led to</w:t>
      </w:r>
    </w:p>
    <w:p>
      <w:pPr>
        <w:spacing w:after="0"/>
        <w:sectPr>
          <w:type w:val="continuous"/>
          <w:pgSz w:w="11910" w:h="16840"/>
          <w:pgMar w:top="1580" w:bottom="280" w:left="800" w:right="800"/>
          <w:cols w:num="3" w:equalWidth="0">
            <w:col w:w="3320" w:space="120"/>
            <w:col w:w="3302" w:space="137"/>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6" w:footer="472" w:top="680" w:bottom="660" w:left="800" w:right="800"/>
        </w:sectPr>
      </w:pPr>
    </w:p>
    <w:p>
      <w:pPr>
        <w:pStyle w:val="BodyText"/>
        <w:spacing w:before="1"/>
        <w:rPr>
          <w:sz w:val="20"/>
        </w:rPr>
      </w:pPr>
    </w:p>
    <w:p>
      <w:pPr>
        <w:pStyle w:val="BodyText"/>
        <w:spacing w:line="249" w:lineRule="auto"/>
        <w:ind w:left="107" w:right="360"/>
      </w:pPr>
      <w:r>
        <w:rPr/>
        <w:t>detailed process mapping and some key improvements in student management.</w:t>
      </w:r>
    </w:p>
    <w:p>
      <w:pPr>
        <w:pStyle w:val="BodyText"/>
        <w:rPr>
          <w:sz w:val="14"/>
        </w:rPr>
      </w:pPr>
    </w:p>
    <w:p>
      <w:pPr>
        <w:pStyle w:val="BodyText"/>
        <w:spacing w:line="247" w:lineRule="auto"/>
        <w:ind w:left="107" w:right="19"/>
      </w:pPr>
      <w:r>
        <w:rPr>
          <w:rFonts w:ascii="Gotham Narrow Bold" w:hAnsi="Gotham Narrow Bold"/>
          <w:b/>
          <w:spacing w:val="2"/>
        </w:rPr>
        <w:t>Security </w:t>
      </w:r>
      <w:r>
        <w:rPr>
          <w:rFonts w:ascii="Gotham Narrow Bold" w:hAnsi="Gotham Narrow Bold"/>
          <w:b/>
        </w:rPr>
        <w:t>services </w:t>
      </w:r>
      <w:r>
        <w:rPr/>
        <w:t>– Cyber threats are increasingly complex, so ITDS engaged a leading</w:t>
      </w:r>
      <w:r>
        <w:rPr>
          <w:spacing w:val="-12"/>
        </w:rPr>
        <w:t> </w:t>
      </w:r>
      <w:r>
        <w:rPr/>
        <w:t>provider</w:t>
      </w:r>
      <w:r>
        <w:rPr>
          <w:spacing w:val="-12"/>
        </w:rPr>
        <w:t> </w:t>
      </w:r>
      <w:r>
        <w:rPr/>
        <w:t>of</w:t>
      </w:r>
      <w:r>
        <w:rPr>
          <w:spacing w:val="-12"/>
        </w:rPr>
        <w:t> </w:t>
      </w:r>
      <w:r>
        <w:rPr/>
        <w:t>managed</w:t>
      </w:r>
      <w:r>
        <w:rPr>
          <w:spacing w:val="-12"/>
        </w:rPr>
        <w:t> </w:t>
      </w:r>
      <w:r>
        <w:rPr/>
        <w:t>security</w:t>
      </w:r>
      <w:r>
        <w:rPr>
          <w:spacing w:val="-12"/>
        </w:rPr>
        <w:t> </w:t>
      </w:r>
      <w:r>
        <w:rPr/>
        <w:t>services after a tender process. A new cybersecurity solution</w:t>
      </w:r>
      <w:r>
        <w:rPr>
          <w:spacing w:val="-15"/>
        </w:rPr>
        <w:t> </w:t>
      </w:r>
      <w:r>
        <w:rPr/>
        <w:t>will</w:t>
      </w:r>
      <w:r>
        <w:rPr>
          <w:spacing w:val="-15"/>
        </w:rPr>
        <w:t> </w:t>
      </w:r>
      <w:r>
        <w:rPr/>
        <w:t>be</w:t>
      </w:r>
      <w:r>
        <w:rPr>
          <w:spacing w:val="-15"/>
        </w:rPr>
        <w:t> </w:t>
      </w:r>
      <w:r>
        <w:rPr/>
        <w:t>implemented</w:t>
      </w:r>
      <w:r>
        <w:rPr>
          <w:spacing w:val="-15"/>
        </w:rPr>
        <w:t> </w:t>
      </w:r>
      <w:r>
        <w:rPr/>
        <w:t>in</w:t>
      </w:r>
      <w:r>
        <w:rPr>
          <w:spacing w:val="-15"/>
        </w:rPr>
        <w:t> </w:t>
      </w:r>
      <w:r>
        <w:rPr/>
        <w:t>the</w:t>
      </w:r>
      <w:r>
        <w:rPr>
          <w:spacing w:val="-15"/>
        </w:rPr>
        <w:t> </w:t>
      </w:r>
      <w:r>
        <w:rPr/>
        <w:t>first</w:t>
      </w:r>
      <w:r>
        <w:rPr>
          <w:spacing w:val="-15"/>
        </w:rPr>
        <w:t> </w:t>
      </w:r>
      <w:r>
        <w:rPr/>
        <w:t>half</w:t>
      </w:r>
      <w:r>
        <w:rPr>
          <w:spacing w:val="-15"/>
        </w:rPr>
        <w:t> </w:t>
      </w:r>
      <w:r>
        <w:rPr/>
        <w:t>of </w:t>
      </w:r>
      <w:r>
        <w:rPr>
          <w:spacing w:val="-2"/>
          <w:w w:val="83"/>
        </w:rPr>
        <w:t>2017.</w:t>
      </w:r>
      <w:r>
        <w:rPr>
          <w:w w:val="83"/>
        </w:rPr>
        <w:t> </w:t>
      </w:r>
      <w:r>
        <w:rPr>
          <w:spacing w:val="-1"/>
          <w:w w:val="107"/>
        </w:rPr>
        <w:t>At</w:t>
      </w:r>
      <w:r>
        <w:rPr>
          <w:w w:val="107"/>
        </w:rPr>
        <w:t> </w:t>
      </w:r>
      <w:r>
        <w:rPr>
          <w:w w:val="97"/>
        </w:rPr>
        <w:t>the </w:t>
      </w:r>
      <w:r>
        <w:rPr>
          <w:spacing w:val="1"/>
          <w:w w:val="96"/>
        </w:rPr>
        <w:t>same</w:t>
      </w:r>
      <w:r>
        <w:rPr>
          <w:w w:val="96"/>
        </w:rPr>
        <w:t> </w:t>
      </w:r>
      <w:r>
        <w:rPr>
          <w:spacing w:val="1"/>
          <w:w w:val="92"/>
        </w:rPr>
        <w:t>time,</w:t>
      </w:r>
      <w:r>
        <w:rPr>
          <w:w w:val="92"/>
        </w:rPr>
        <w:t> </w:t>
      </w:r>
      <w:r>
        <w:rPr>
          <w:spacing w:val="1"/>
          <w:w w:val="88"/>
        </w:rPr>
        <w:t>ITDS</w:t>
      </w:r>
      <w:r>
        <w:rPr>
          <w:w w:val="88"/>
        </w:rPr>
        <w:t> </w:t>
      </w:r>
      <w:r>
        <w:rPr>
          <w:spacing w:val="1"/>
          <w:w w:val="95"/>
        </w:rPr>
        <w:t>has</w:t>
      </w:r>
      <w:r>
        <w:rPr>
          <w:w w:val="95"/>
        </w:rPr>
        <w:t> </w:t>
      </w:r>
      <w:r>
        <w:rPr>
          <w:spacing w:val="1"/>
          <w:w w:val="96"/>
        </w:rPr>
        <w:t>measurably</w:t>
      </w:r>
      <w:r>
        <w:rPr>
          <w:w w:val="96"/>
        </w:rPr>
        <w:t> </w:t>
      </w:r>
      <w:r>
        <w:rPr/>
        <w:t>improved the University’s digital security and </w:t>
      </w:r>
      <w:r>
        <w:rPr>
          <w:w w:val="95"/>
        </w:rPr>
        <w:t>risk</w:t>
      </w:r>
      <w:r>
        <w:rPr>
          <w:spacing w:val="-8"/>
          <w:w w:val="95"/>
        </w:rPr>
        <w:t> </w:t>
      </w:r>
      <w:r>
        <w:rPr>
          <w:spacing w:val="1"/>
          <w:w w:val="97"/>
        </w:rPr>
        <w:t>processes</w:t>
      </w:r>
      <w:r>
        <w:rPr>
          <w:spacing w:val="-9"/>
          <w:w w:val="97"/>
        </w:rPr>
        <w:t> </w:t>
      </w:r>
      <w:r>
        <w:rPr>
          <w:w w:val="95"/>
        </w:rPr>
        <w:t>in</w:t>
      </w:r>
      <w:r>
        <w:rPr>
          <w:spacing w:val="-8"/>
          <w:w w:val="95"/>
        </w:rPr>
        <w:t> </w:t>
      </w:r>
      <w:r>
        <w:rPr>
          <w:spacing w:val="1"/>
          <w:w w:val="90"/>
        </w:rPr>
        <w:t>2016</w:t>
      </w:r>
      <w:r>
        <w:rPr>
          <w:spacing w:val="-6"/>
          <w:w w:val="90"/>
        </w:rPr>
        <w:t> </w:t>
      </w:r>
      <w:r>
        <w:rPr>
          <w:w w:val="89"/>
        </w:rPr>
        <w:t>–</w:t>
      </w:r>
      <w:r>
        <w:rPr>
          <w:spacing w:val="-5"/>
          <w:w w:val="89"/>
        </w:rPr>
        <w:t> </w:t>
      </w:r>
      <w:r>
        <w:rPr>
          <w:w w:val="97"/>
        </w:rPr>
        <w:t>the</w:t>
      </w:r>
      <w:r>
        <w:rPr>
          <w:spacing w:val="-10"/>
          <w:w w:val="97"/>
        </w:rPr>
        <w:t> </w:t>
      </w:r>
      <w:r>
        <w:rPr>
          <w:spacing w:val="1"/>
          <w:w w:val="97"/>
        </w:rPr>
        <w:t>first</w:t>
      </w:r>
      <w:r>
        <w:rPr>
          <w:spacing w:val="-9"/>
          <w:w w:val="97"/>
        </w:rPr>
        <w:t> </w:t>
      </w:r>
      <w:r>
        <w:rPr>
          <w:w w:val="97"/>
        </w:rPr>
        <w:t>year</w:t>
      </w:r>
      <w:r>
        <w:rPr>
          <w:spacing w:val="-9"/>
          <w:w w:val="97"/>
        </w:rPr>
        <w:t> </w:t>
      </w:r>
      <w:r>
        <w:rPr>
          <w:w w:val="99"/>
        </w:rPr>
        <w:t>of</w:t>
      </w:r>
      <w:r>
        <w:rPr>
          <w:spacing w:val="-10"/>
          <w:w w:val="99"/>
        </w:rPr>
        <w:t> </w:t>
      </w:r>
      <w:r>
        <w:rPr>
          <w:w w:val="94"/>
        </w:rPr>
        <w:t>a</w:t>
      </w:r>
      <w:r>
        <w:rPr>
          <w:spacing w:val="-8"/>
          <w:w w:val="94"/>
        </w:rPr>
        <w:t> </w:t>
      </w:r>
      <w:r>
        <w:rPr>
          <w:spacing w:val="1"/>
          <w:w w:val="101"/>
        </w:rPr>
        <w:t>two-</w:t>
      </w:r>
      <w:r>
        <w:rPr>
          <w:w w:val="101"/>
        </w:rPr>
        <w:t> </w:t>
      </w:r>
      <w:r>
        <w:rPr/>
        <w:t>year</w:t>
      </w:r>
      <w:r>
        <w:rPr>
          <w:spacing w:val="-18"/>
        </w:rPr>
        <w:t> </w:t>
      </w:r>
      <w:r>
        <w:rPr/>
        <w:t>program</w:t>
      </w:r>
      <w:r>
        <w:rPr>
          <w:spacing w:val="-18"/>
        </w:rPr>
        <w:t> </w:t>
      </w:r>
      <w:r>
        <w:rPr/>
        <w:t>of</w:t>
      </w:r>
      <w:r>
        <w:rPr>
          <w:spacing w:val="-18"/>
        </w:rPr>
        <w:t> </w:t>
      </w:r>
      <w:r>
        <w:rPr/>
        <w:t>work.</w:t>
      </w:r>
    </w:p>
    <w:p>
      <w:pPr>
        <w:pStyle w:val="BodyText"/>
        <w:spacing w:before="2"/>
        <w:rPr>
          <w:sz w:val="14"/>
        </w:rPr>
      </w:pPr>
    </w:p>
    <w:p>
      <w:pPr>
        <w:spacing w:before="0"/>
        <w:ind w:left="107" w:right="-8" w:firstLine="0"/>
        <w:jc w:val="left"/>
        <w:rPr>
          <w:sz w:val="16"/>
        </w:rPr>
      </w:pPr>
      <w:r>
        <w:rPr>
          <w:rFonts w:ascii="Gotham Narrow Bold" w:hAnsi="Gotham Narrow Bold"/>
          <w:b/>
          <w:sz w:val="16"/>
        </w:rPr>
        <w:t>Finance</w:t>
      </w:r>
      <w:r>
        <w:rPr>
          <w:rFonts w:ascii="Gotham Narrow Bold" w:hAnsi="Gotham Narrow Bold"/>
          <w:b/>
          <w:spacing w:val="-23"/>
          <w:sz w:val="16"/>
        </w:rPr>
        <w:t> </w:t>
      </w:r>
      <w:r>
        <w:rPr>
          <w:rFonts w:ascii="Gotham Narrow Bold" w:hAnsi="Gotham Narrow Bold"/>
          <w:b/>
          <w:sz w:val="16"/>
        </w:rPr>
        <w:t>payment</w:t>
      </w:r>
      <w:r>
        <w:rPr>
          <w:rFonts w:ascii="Gotham Narrow Bold" w:hAnsi="Gotham Narrow Bold"/>
          <w:b/>
          <w:spacing w:val="-23"/>
          <w:sz w:val="16"/>
        </w:rPr>
        <w:t> </w:t>
      </w:r>
      <w:r>
        <w:rPr>
          <w:rFonts w:ascii="Gotham Narrow Bold" w:hAnsi="Gotham Narrow Bold"/>
          <w:b/>
          <w:spacing w:val="2"/>
          <w:sz w:val="16"/>
        </w:rPr>
        <w:t>engine</w:t>
      </w:r>
      <w:r>
        <w:rPr>
          <w:rFonts w:ascii="Gotham Narrow Bold" w:hAnsi="Gotham Narrow Bold"/>
          <w:b/>
          <w:spacing w:val="-22"/>
          <w:sz w:val="16"/>
        </w:rPr>
        <w:t> </w:t>
      </w:r>
      <w:r>
        <w:rPr>
          <w:sz w:val="16"/>
        </w:rPr>
        <w:t>–</w:t>
      </w:r>
      <w:r>
        <w:rPr>
          <w:spacing w:val="-32"/>
          <w:sz w:val="16"/>
        </w:rPr>
        <w:t> </w:t>
      </w:r>
      <w:r>
        <w:rPr>
          <w:sz w:val="16"/>
        </w:rPr>
        <w:t>ITDS</w:t>
      </w:r>
      <w:r>
        <w:rPr>
          <w:spacing w:val="-32"/>
          <w:sz w:val="16"/>
        </w:rPr>
        <w:t> </w:t>
      </w:r>
      <w:r>
        <w:rPr>
          <w:sz w:val="16"/>
        </w:rPr>
        <w:t>implemented the</w:t>
      </w:r>
      <w:r>
        <w:rPr>
          <w:spacing w:val="-22"/>
          <w:sz w:val="16"/>
        </w:rPr>
        <w:t> </w:t>
      </w:r>
      <w:r>
        <w:rPr>
          <w:sz w:val="16"/>
        </w:rPr>
        <w:t>OneStopSecure</w:t>
      </w:r>
      <w:r>
        <w:rPr>
          <w:spacing w:val="-22"/>
          <w:sz w:val="16"/>
        </w:rPr>
        <w:t> </w:t>
      </w:r>
      <w:r>
        <w:rPr>
          <w:sz w:val="16"/>
        </w:rPr>
        <w:t>payment</w:t>
      </w:r>
      <w:r>
        <w:rPr>
          <w:spacing w:val="-22"/>
          <w:sz w:val="16"/>
        </w:rPr>
        <w:t> </w:t>
      </w:r>
      <w:r>
        <w:rPr>
          <w:sz w:val="16"/>
        </w:rPr>
        <w:t>engine,</w:t>
      </w:r>
    </w:p>
    <w:p>
      <w:pPr>
        <w:pStyle w:val="BodyText"/>
        <w:spacing w:line="249" w:lineRule="auto" w:before="7"/>
        <w:ind w:left="107" w:right="40"/>
      </w:pPr>
      <w:r>
        <w:rPr/>
        <w:t>which has enabled significant functional improvements. As a bonus, OneStopSecure is an early adopter of a new integration middleware platform that reduces ongoing integration costs as new capabilities are built into the payments system.</w:t>
      </w:r>
    </w:p>
    <w:p>
      <w:pPr>
        <w:pStyle w:val="BodyText"/>
        <w:rPr>
          <w:sz w:val="14"/>
        </w:rPr>
      </w:pPr>
    </w:p>
    <w:p>
      <w:pPr>
        <w:pStyle w:val="BodyText"/>
        <w:spacing w:line="247" w:lineRule="auto"/>
        <w:ind w:left="107" w:right="103"/>
      </w:pPr>
      <w:r>
        <w:rPr>
          <w:rFonts w:ascii="Gotham Narrow Bold" w:hAnsi="Gotham Narrow Bold"/>
          <w:b/>
          <w:spacing w:val="2"/>
        </w:rPr>
        <w:t>Rebranding </w:t>
      </w:r>
      <w:r>
        <w:rPr/>
        <w:t>– The University’s rebranding campaign affects almost every digital asset in</w:t>
      </w:r>
      <w:r>
        <w:rPr>
          <w:spacing w:val="-19"/>
        </w:rPr>
        <w:t> </w:t>
      </w:r>
      <w:r>
        <w:rPr/>
        <w:t>the</w:t>
      </w:r>
      <w:r>
        <w:rPr>
          <w:spacing w:val="-19"/>
        </w:rPr>
        <w:t> </w:t>
      </w:r>
      <w:r>
        <w:rPr/>
        <w:t>portfolio.</w:t>
      </w:r>
      <w:r>
        <w:rPr>
          <w:spacing w:val="-19"/>
        </w:rPr>
        <w:t> </w:t>
      </w:r>
      <w:r>
        <w:rPr/>
        <w:t>Initially,</w:t>
      </w:r>
      <w:r>
        <w:rPr>
          <w:spacing w:val="-19"/>
        </w:rPr>
        <w:t> </w:t>
      </w:r>
      <w:r>
        <w:rPr/>
        <w:t>it</w:t>
      </w:r>
      <w:r>
        <w:rPr>
          <w:spacing w:val="-19"/>
        </w:rPr>
        <w:t> </w:t>
      </w:r>
      <w:r>
        <w:rPr/>
        <w:t>focused</w:t>
      </w:r>
      <w:r>
        <w:rPr>
          <w:spacing w:val="-19"/>
        </w:rPr>
        <w:t> </w:t>
      </w:r>
      <w:r>
        <w:rPr/>
        <w:t>on</w:t>
      </w:r>
      <w:r>
        <w:rPr>
          <w:spacing w:val="-19"/>
        </w:rPr>
        <w:t> </w:t>
      </w:r>
      <w:r>
        <w:rPr/>
        <w:t>public- facing </w:t>
      </w:r>
      <w:r>
        <w:rPr>
          <w:spacing w:val="2"/>
        </w:rPr>
        <w:t>services, </w:t>
      </w:r>
      <w:r>
        <w:rPr/>
        <w:t>followed by those used by </w:t>
      </w:r>
      <w:r>
        <w:rPr>
          <w:spacing w:val="2"/>
          <w:w w:val="94"/>
        </w:rPr>
        <w:t>students.</w:t>
      </w:r>
      <w:r>
        <w:rPr>
          <w:w w:val="94"/>
        </w:rPr>
        <w:t> </w:t>
      </w:r>
      <w:r>
        <w:rPr>
          <w:spacing w:val="1"/>
          <w:w w:val="80"/>
        </w:rPr>
        <w:t>In</w:t>
      </w:r>
      <w:r>
        <w:rPr>
          <w:w w:val="80"/>
        </w:rPr>
        <w:t> </w:t>
      </w:r>
      <w:r>
        <w:rPr>
          <w:spacing w:val="2"/>
          <w:w w:val="85"/>
        </w:rPr>
        <w:t>2016,</w:t>
      </w:r>
      <w:r>
        <w:rPr>
          <w:w w:val="85"/>
        </w:rPr>
        <w:t> </w:t>
      </w:r>
      <w:r>
        <w:rPr>
          <w:spacing w:val="1"/>
          <w:w w:val="88"/>
        </w:rPr>
        <w:t>ITDS</w:t>
      </w:r>
      <w:r>
        <w:rPr>
          <w:w w:val="88"/>
        </w:rPr>
        <w:t> </w:t>
      </w:r>
      <w:r>
        <w:rPr>
          <w:spacing w:val="1"/>
          <w:w w:val="96"/>
        </w:rPr>
        <w:t>finished</w:t>
      </w:r>
      <w:r>
        <w:rPr>
          <w:w w:val="96"/>
        </w:rPr>
        <w:t> </w:t>
      </w:r>
      <w:r>
        <w:rPr>
          <w:spacing w:val="1"/>
          <w:w w:val="98"/>
        </w:rPr>
        <w:t>updating</w:t>
      </w:r>
      <w:r>
        <w:rPr>
          <w:w w:val="98"/>
        </w:rPr>
        <w:t> </w:t>
      </w:r>
      <w:r>
        <w:rPr/>
        <w:t>priority</w:t>
      </w:r>
      <w:r>
        <w:rPr>
          <w:spacing w:val="-15"/>
        </w:rPr>
        <w:t> </w:t>
      </w:r>
      <w:r>
        <w:rPr/>
        <w:t>assets</w:t>
      </w:r>
      <w:r>
        <w:rPr>
          <w:spacing w:val="-15"/>
        </w:rPr>
        <w:t> </w:t>
      </w:r>
      <w:r>
        <w:rPr/>
        <w:t>used</w:t>
      </w:r>
      <w:r>
        <w:rPr>
          <w:spacing w:val="-15"/>
        </w:rPr>
        <w:t> </w:t>
      </w:r>
      <w:r>
        <w:rPr/>
        <w:t>by</w:t>
      </w:r>
      <w:r>
        <w:rPr>
          <w:spacing w:val="-15"/>
        </w:rPr>
        <w:t> </w:t>
      </w:r>
      <w:r>
        <w:rPr/>
        <w:t>staff</w:t>
      </w:r>
      <w:r>
        <w:rPr>
          <w:spacing w:val="-15"/>
        </w:rPr>
        <w:t> </w:t>
      </w:r>
      <w:r>
        <w:rPr/>
        <w:t>members.</w:t>
      </w:r>
    </w:p>
    <w:p>
      <w:pPr>
        <w:pStyle w:val="BodyText"/>
        <w:spacing w:before="2"/>
        <w:rPr>
          <w:sz w:val="14"/>
        </w:rPr>
      </w:pPr>
    </w:p>
    <w:p>
      <w:pPr>
        <w:pStyle w:val="BodyText"/>
        <w:spacing w:line="247" w:lineRule="auto"/>
        <w:ind w:left="107" w:right="186"/>
      </w:pPr>
      <w:r>
        <w:rPr>
          <w:rFonts w:ascii="Gotham Narrow Bold" w:hAnsi="Gotham Narrow Bold"/>
          <w:b/>
          <w:spacing w:val="2"/>
        </w:rPr>
        <w:t>Capital </w:t>
      </w:r>
      <w:r>
        <w:rPr>
          <w:rFonts w:ascii="Gotham Narrow Bold" w:hAnsi="Gotham Narrow Bold"/>
          <w:b/>
        </w:rPr>
        <w:t>works </w:t>
      </w:r>
      <w:r>
        <w:rPr/>
        <w:t>– ITDS made significant contributions to high-profile capital works projects at the University. These involved the</w:t>
      </w:r>
      <w:r>
        <w:rPr>
          <w:spacing w:val="-16"/>
        </w:rPr>
        <w:t> </w:t>
      </w:r>
      <w:r>
        <w:rPr/>
        <w:t>new</w:t>
      </w:r>
      <w:r>
        <w:rPr>
          <w:spacing w:val="-16"/>
        </w:rPr>
        <w:t> </w:t>
      </w:r>
      <w:r>
        <w:rPr/>
        <w:t>science</w:t>
      </w:r>
      <w:r>
        <w:rPr>
          <w:spacing w:val="-16"/>
        </w:rPr>
        <w:t> </w:t>
      </w:r>
      <w:r>
        <w:rPr/>
        <w:t>and</w:t>
      </w:r>
      <w:r>
        <w:rPr>
          <w:spacing w:val="-16"/>
        </w:rPr>
        <w:t> </w:t>
      </w:r>
      <w:r>
        <w:rPr/>
        <w:t>health</w:t>
      </w:r>
      <w:r>
        <w:rPr>
          <w:spacing w:val="-16"/>
        </w:rPr>
        <w:t> </w:t>
      </w:r>
      <w:r>
        <w:rPr/>
        <w:t>building</w:t>
      </w:r>
      <w:r>
        <w:rPr>
          <w:spacing w:val="-16"/>
        </w:rPr>
        <w:t> </w:t>
      </w:r>
      <w:r>
        <w:rPr/>
        <w:t>at</w:t>
      </w:r>
      <w:r>
        <w:rPr>
          <w:spacing w:val="-16"/>
        </w:rPr>
        <w:t> </w:t>
      </w:r>
      <w:r>
        <w:rPr/>
        <w:t>the Parramatta</w:t>
      </w:r>
      <w:r>
        <w:rPr>
          <w:spacing w:val="-19"/>
        </w:rPr>
        <w:t> </w:t>
      </w:r>
      <w:r>
        <w:rPr>
          <w:spacing w:val="2"/>
        </w:rPr>
        <w:t>campus,</w:t>
      </w:r>
      <w:r>
        <w:rPr>
          <w:spacing w:val="-19"/>
        </w:rPr>
        <w:t> </w:t>
      </w:r>
      <w:r>
        <w:rPr/>
        <w:t>the</w:t>
      </w:r>
      <w:r>
        <w:rPr>
          <w:spacing w:val="-19"/>
        </w:rPr>
        <w:t> </w:t>
      </w:r>
      <w:r>
        <w:rPr/>
        <w:t>Macarthur</w:t>
      </w:r>
      <w:r>
        <w:rPr>
          <w:spacing w:val="-19"/>
        </w:rPr>
        <w:t> </w:t>
      </w:r>
      <w:r>
        <w:rPr/>
        <w:t>Clinical School at Campbelltown Hospital and the refurbishment of the </w:t>
      </w:r>
      <w:r>
        <w:rPr>
          <w:spacing w:val="2"/>
        </w:rPr>
        <w:t>EA </w:t>
      </w:r>
      <w:r>
        <w:rPr/>
        <w:t>and EB buildings at</w:t>
      </w:r>
      <w:r>
        <w:rPr>
          <w:spacing w:val="-20"/>
        </w:rPr>
        <w:t> </w:t>
      </w:r>
      <w:r>
        <w:rPr/>
        <w:t>the</w:t>
      </w:r>
      <w:r>
        <w:rPr>
          <w:spacing w:val="-20"/>
        </w:rPr>
        <w:t> </w:t>
      </w:r>
      <w:r>
        <w:rPr/>
        <w:t>Parramatta</w:t>
      </w:r>
      <w:r>
        <w:rPr>
          <w:spacing w:val="-20"/>
        </w:rPr>
        <w:t> </w:t>
      </w:r>
      <w:r>
        <w:rPr/>
        <w:t>south</w:t>
      </w:r>
      <w:r>
        <w:rPr>
          <w:spacing w:val="-20"/>
        </w:rPr>
        <w:t> </w:t>
      </w:r>
      <w:r>
        <w:rPr>
          <w:spacing w:val="2"/>
        </w:rPr>
        <w:t>campus,</w:t>
      </w:r>
      <w:r>
        <w:rPr>
          <w:spacing w:val="-20"/>
        </w:rPr>
        <w:t> </w:t>
      </w:r>
      <w:r>
        <w:rPr/>
        <w:t>to</w:t>
      </w:r>
      <w:r>
        <w:rPr>
          <w:spacing w:val="-20"/>
        </w:rPr>
        <w:t> </w:t>
      </w:r>
      <w:r>
        <w:rPr/>
        <w:t>name</w:t>
      </w:r>
      <w:r>
        <w:rPr>
          <w:spacing w:val="-20"/>
        </w:rPr>
        <w:t> </w:t>
      </w:r>
      <w:r>
        <w:rPr/>
        <w:t>a</w:t>
      </w:r>
    </w:p>
    <w:p>
      <w:pPr>
        <w:pStyle w:val="BodyText"/>
        <w:spacing w:line="249" w:lineRule="auto" w:before="1"/>
        <w:ind w:left="107"/>
      </w:pPr>
      <w:r>
        <w:rPr/>
        <w:t>few.</w:t>
      </w:r>
      <w:r>
        <w:rPr>
          <w:spacing w:val="-17"/>
        </w:rPr>
        <w:t> </w:t>
      </w:r>
      <w:r>
        <w:rPr/>
        <w:t>Another</w:t>
      </w:r>
      <w:r>
        <w:rPr>
          <w:spacing w:val="-17"/>
        </w:rPr>
        <w:t> </w:t>
      </w:r>
      <w:r>
        <w:rPr/>
        <w:t>highlight</w:t>
      </w:r>
      <w:r>
        <w:rPr>
          <w:spacing w:val="-17"/>
        </w:rPr>
        <w:t> </w:t>
      </w:r>
      <w:r>
        <w:rPr/>
        <w:t>was</w:t>
      </w:r>
      <w:r>
        <w:rPr>
          <w:spacing w:val="-17"/>
        </w:rPr>
        <w:t> </w:t>
      </w:r>
      <w:r>
        <w:rPr/>
        <w:t>the</w:t>
      </w:r>
      <w:r>
        <w:rPr>
          <w:spacing w:val="-17"/>
        </w:rPr>
        <w:t> </w:t>
      </w:r>
      <w:r>
        <w:rPr/>
        <w:t>design</w:t>
      </w:r>
      <w:r>
        <w:rPr>
          <w:spacing w:val="-17"/>
        </w:rPr>
        <w:t> </w:t>
      </w:r>
      <w:r>
        <w:rPr/>
        <w:t>of</w:t>
      </w:r>
      <w:r>
        <w:rPr>
          <w:spacing w:val="-17"/>
        </w:rPr>
        <w:t> </w:t>
      </w:r>
      <w:r>
        <w:rPr/>
        <w:t>new standards for immersive teaching spaces, starting with the University’s successful Paramedicine</w:t>
      </w:r>
      <w:r>
        <w:rPr>
          <w:spacing w:val="-29"/>
        </w:rPr>
        <w:t> </w:t>
      </w:r>
      <w:r>
        <w:rPr/>
        <w:t>facility.</w:t>
      </w:r>
    </w:p>
    <w:p>
      <w:pPr>
        <w:pStyle w:val="BodyText"/>
        <w:rPr>
          <w:sz w:val="14"/>
        </w:rPr>
      </w:pPr>
    </w:p>
    <w:p>
      <w:pPr>
        <w:pStyle w:val="BodyText"/>
        <w:spacing w:line="247" w:lineRule="auto"/>
        <w:ind w:left="107"/>
      </w:pPr>
      <w:r>
        <w:rPr>
          <w:rFonts w:ascii="Gotham Narrow Bold" w:hAnsi="Gotham Narrow Bold"/>
          <w:b/>
          <w:spacing w:val="2"/>
        </w:rPr>
        <w:t>Service </w:t>
      </w:r>
      <w:r>
        <w:rPr>
          <w:rFonts w:ascii="Gotham Narrow Bold" w:hAnsi="Gotham Narrow Bold"/>
          <w:b/>
        </w:rPr>
        <w:t>and </w:t>
      </w:r>
      <w:r>
        <w:rPr>
          <w:rFonts w:ascii="Gotham Narrow Bold" w:hAnsi="Gotham Narrow Bold"/>
          <w:b/>
          <w:spacing w:val="2"/>
        </w:rPr>
        <w:t>culture </w:t>
      </w:r>
      <w:r>
        <w:rPr/>
        <w:t>– ITDS continued to focus</w:t>
      </w:r>
      <w:r>
        <w:rPr>
          <w:spacing w:val="-14"/>
        </w:rPr>
        <w:t> </w:t>
      </w:r>
      <w:r>
        <w:rPr/>
        <w:t>on</w:t>
      </w:r>
      <w:r>
        <w:rPr>
          <w:spacing w:val="-14"/>
        </w:rPr>
        <w:t> </w:t>
      </w:r>
      <w:r>
        <w:rPr/>
        <w:t>improving</w:t>
      </w:r>
      <w:r>
        <w:rPr>
          <w:spacing w:val="-14"/>
        </w:rPr>
        <w:t> </w:t>
      </w:r>
      <w:r>
        <w:rPr/>
        <w:t>services</w:t>
      </w:r>
      <w:r>
        <w:rPr>
          <w:spacing w:val="-14"/>
        </w:rPr>
        <w:t> </w:t>
      </w:r>
      <w:r>
        <w:rPr/>
        <w:t>and</w:t>
      </w:r>
      <w:r>
        <w:rPr>
          <w:spacing w:val="-14"/>
        </w:rPr>
        <w:t> </w:t>
      </w:r>
      <w:r>
        <w:rPr/>
        <w:t>cultivating</w:t>
      </w:r>
      <w:r>
        <w:rPr>
          <w:spacing w:val="-14"/>
        </w:rPr>
        <w:t> </w:t>
      </w:r>
      <w:r>
        <w:rPr/>
        <w:t>a proactive</w:t>
      </w:r>
      <w:r>
        <w:rPr>
          <w:spacing w:val="-17"/>
        </w:rPr>
        <w:t> </w:t>
      </w:r>
      <w:r>
        <w:rPr/>
        <w:t>culture</w:t>
      </w:r>
      <w:r>
        <w:rPr>
          <w:spacing w:val="-17"/>
        </w:rPr>
        <w:t> </w:t>
      </w:r>
      <w:r>
        <w:rPr/>
        <w:t>that</w:t>
      </w:r>
      <w:r>
        <w:rPr>
          <w:spacing w:val="-17"/>
        </w:rPr>
        <w:t> </w:t>
      </w:r>
      <w:r>
        <w:rPr/>
        <w:t>always</w:t>
      </w:r>
      <w:r>
        <w:rPr>
          <w:spacing w:val="-17"/>
        </w:rPr>
        <w:t> </w:t>
      </w:r>
      <w:r>
        <w:rPr/>
        <w:t>considers</w:t>
      </w:r>
      <w:r>
        <w:rPr>
          <w:spacing w:val="-17"/>
        </w:rPr>
        <w:t> </w:t>
      </w:r>
      <w:r>
        <w:rPr/>
        <w:t>future </w:t>
      </w:r>
      <w:r>
        <w:rPr>
          <w:spacing w:val="2"/>
        </w:rPr>
        <w:t>needs.</w:t>
      </w:r>
      <w:r>
        <w:rPr>
          <w:spacing w:val="-17"/>
        </w:rPr>
        <w:t> </w:t>
      </w:r>
      <w:r>
        <w:rPr/>
        <w:t>A</w:t>
      </w:r>
      <w:r>
        <w:rPr>
          <w:spacing w:val="-17"/>
        </w:rPr>
        <w:t> </w:t>
      </w:r>
      <w:r>
        <w:rPr/>
        <w:t>focus</w:t>
      </w:r>
      <w:r>
        <w:rPr>
          <w:spacing w:val="-17"/>
        </w:rPr>
        <w:t> </w:t>
      </w:r>
      <w:r>
        <w:rPr/>
        <w:t>in</w:t>
      </w:r>
      <w:r>
        <w:rPr>
          <w:spacing w:val="-17"/>
        </w:rPr>
        <w:t> </w:t>
      </w:r>
      <w:r>
        <w:rPr/>
        <w:t>this</w:t>
      </w:r>
      <w:r>
        <w:rPr>
          <w:spacing w:val="-17"/>
        </w:rPr>
        <w:t> </w:t>
      </w:r>
      <w:r>
        <w:rPr/>
        <w:t>regard</w:t>
      </w:r>
      <w:r>
        <w:rPr>
          <w:spacing w:val="-17"/>
        </w:rPr>
        <w:t> </w:t>
      </w:r>
      <w:r>
        <w:rPr/>
        <w:t>is</w:t>
      </w:r>
      <w:r>
        <w:rPr>
          <w:spacing w:val="-17"/>
        </w:rPr>
        <w:t> </w:t>
      </w:r>
      <w:r>
        <w:rPr/>
        <w:t>the</w:t>
      </w:r>
      <w:r>
        <w:rPr>
          <w:spacing w:val="-17"/>
        </w:rPr>
        <w:t> </w:t>
      </w:r>
      <w:r>
        <w:rPr/>
        <w:t>integrated support</w:t>
      </w:r>
      <w:r>
        <w:rPr>
          <w:spacing w:val="-14"/>
        </w:rPr>
        <w:t> </w:t>
      </w:r>
      <w:r>
        <w:rPr/>
        <w:t>centre</w:t>
      </w:r>
      <w:r>
        <w:rPr>
          <w:spacing w:val="-14"/>
        </w:rPr>
        <w:t> </w:t>
      </w:r>
      <w:r>
        <w:rPr/>
        <w:t>at</w:t>
      </w:r>
      <w:r>
        <w:rPr>
          <w:spacing w:val="-14"/>
        </w:rPr>
        <w:t> </w:t>
      </w:r>
      <w:r>
        <w:rPr/>
        <w:t>the</w:t>
      </w:r>
      <w:r>
        <w:rPr>
          <w:spacing w:val="-14"/>
        </w:rPr>
        <w:t> </w:t>
      </w:r>
      <w:r>
        <w:rPr/>
        <w:t>Parramatta</w:t>
      </w:r>
      <w:r>
        <w:rPr>
          <w:spacing w:val="-14"/>
        </w:rPr>
        <w:t> </w:t>
      </w:r>
      <w:r>
        <w:rPr/>
        <w:t>campus</w:t>
      </w:r>
      <w:r>
        <w:rPr>
          <w:spacing w:val="-14"/>
        </w:rPr>
        <w:t> </w:t>
      </w:r>
      <w:r>
        <w:rPr/>
        <w:t>and its associated knowledge base of self-help articles.</w:t>
      </w:r>
    </w:p>
    <w:p>
      <w:pPr>
        <w:pStyle w:val="BodyText"/>
        <w:spacing w:before="4"/>
        <w:rPr>
          <w:sz w:val="19"/>
        </w:rPr>
      </w:pPr>
    </w:p>
    <w:p>
      <w:pPr>
        <w:pStyle w:val="Heading7"/>
        <w:spacing w:before="1"/>
        <w:ind w:right="0"/>
      </w:pPr>
      <w:r>
        <w:rPr>
          <w:w w:val="95"/>
        </w:rPr>
        <w:t>DAY-TO-DAY OPERATIONS</w:t>
      </w:r>
    </w:p>
    <w:p>
      <w:pPr>
        <w:pStyle w:val="BodyText"/>
        <w:spacing w:line="249" w:lineRule="auto" w:before="58"/>
        <w:ind w:left="107" w:right="295"/>
      </w:pPr>
      <w:r>
        <w:rPr/>
        <w:t>ITDS continues to support the ongoing operations of the University by delivering services that:</w:t>
      </w:r>
    </w:p>
    <w:p>
      <w:pPr>
        <w:pStyle w:val="BodyText"/>
        <w:rPr>
          <w:sz w:val="20"/>
        </w:rPr>
      </w:pPr>
      <w:r>
        <w:rPr/>
        <w:br w:type="column"/>
      </w:r>
      <w:r>
        <w:rPr>
          <w:sz w:val="20"/>
        </w:rPr>
      </w:r>
    </w:p>
    <w:p>
      <w:pPr>
        <w:pStyle w:val="BodyText"/>
        <w:spacing w:line="247" w:lineRule="auto"/>
        <w:ind w:left="305" w:right="133" w:hanging="199"/>
      </w:pPr>
      <w:r>
        <w:rPr>
          <w:rFonts w:ascii="Century Gothic" w:hAnsi="Century Gothic"/>
          <w:b/>
          <w:w w:val="115"/>
        </w:rPr>
        <w:t>≥  </w:t>
      </w:r>
      <w:r>
        <w:rPr/>
        <w:t>promote innovation and agility across the organisation and advocate for digital transformation, including exploring emerging technologies and championing change management</w:t>
      </w:r>
    </w:p>
    <w:p>
      <w:pPr>
        <w:pStyle w:val="BodyText"/>
        <w:spacing w:line="247" w:lineRule="auto" w:before="57"/>
        <w:ind w:left="305" w:right="95" w:hanging="199"/>
      </w:pPr>
      <w:r>
        <w:rPr>
          <w:rFonts w:ascii="Century Gothic" w:hAnsi="Century Gothic"/>
          <w:b/>
          <w:w w:val="115"/>
        </w:rPr>
        <w:t>≥ </w:t>
      </w:r>
      <w:r>
        <w:rPr/>
        <w:t>identify and deliver strategic projects (through a new pipeline process) that support all dimensions of the University’s operations through the enhanced use of technology</w:t>
      </w:r>
    </w:p>
    <w:p>
      <w:pPr>
        <w:pStyle w:val="BodyText"/>
        <w:spacing w:line="247" w:lineRule="auto" w:before="57"/>
        <w:ind w:left="305" w:right="2" w:hanging="199"/>
      </w:pPr>
      <w:r>
        <w:rPr>
          <w:rFonts w:ascii="Century Gothic" w:hAnsi="Century Gothic"/>
          <w:b/>
          <w:w w:val="115"/>
        </w:rPr>
        <w:t>≥ </w:t>
      </w:r>
      <w:r>
        <w:rPr/>
        <w:t>secure the University’s digital assets from cyber</w:t>
      </w:r>
      <w:r>
        <w:rPr>
          <w:spacing w:val="-21"/>
        </w:rPr>
        <w:t> </w:t>
      </w:r>
      <w:r>
        <w:rPr/>
        <w:t>threats,</w:t>
      </w:r>
      <w:r>
        <w:rPr>
          <w:spacing w:val="-21"/>
        </w:rPr>
        <w:t> </w:t>
      </w:r>
      <w:r>
        <w:rPr/>
        <w:t>manage</w:t>
      </w:r>
      <w:r>
        <w:rPr>
          <w:spacing w:val="-21"/>
        </w:rPr>
        <w:t> </w:t>
      </w:r>
      <w:r>
        <w:rPr/>
        <w:t>IT</w:t>
      </w:r>
      <w:r>
        <w:rPr>
          <w:spacing w:val="-21"/>
        </w:rPr>
        <w:t> </w:t>
      </w:r>
      <w:r>
        <w:rPr/>
        <w:t>risks</w:t>
      </w:r>
      <w:r>
        <w:rPr>
          <w:spacing w:val="-21"/>
        </w:rPr>
        <w:t> </w:t>
      </w:r>
      <w:r>
        <w:rPr/>
        <w:t>and</w:t>
      </w:r>
      <w:r>
        <w:rPr>
          <w:spacing w:val="-21"/>
        </w:rPr>
        <w:t> </w:t>
      </w:r>
      <w:r>
        <w:rPr/>
        <w:t>promote good</w:t>
      </w:r>
      <w:r>
        <w:rPr>
          <w:spacing w:val="-11"/>
        </w:rPr>
        <w:t> </w:t>
      </w:r>
      <w:r>
        <w:rPr/>
        <w:t>online</w:t>
      </w:r>
      <w:r>
        <w:rPr>
          <w:spacing w:val="-11"/>
        </w:rPr>
        <w:t> </w:t>
      </w:r>
      <w:r>
        <w:rPr/>
        <w:t>practices</w:t>
      </w:r>
      <w:r>
        <w:rPr>
          <w:spacing w:val="-11"/>
        </w:rPr>
        <w:t> </w:t>
      </w:r>
      <w:r>
        <w:rPr/>
        <w:t>by</w:t>
      </w:r>
      <w:r>
        <w:rPr>
          <w:spacing w:val="-11"/>
        </w:rPr>
        <w:t> </w:t>
      </w:r>
      <w:r>
        <w:rPr/>
        <w:t>staff</w:t>
      </w:r>
      <w:r>
        <w:rPr>
          <w:spacing w:val="-11"/>
        </w:rPr>
        <w:t> </w:t>
      </w:r>
      <w:r>
        <w:rPr/>
        <w:t>and</w:t>
      </w:r>
      <w:r>
        <w:rPr>
          <w:spacing w:val="-11"/>
        </w:rPr>
        <w:t> </w:t>
      </w:r>
      <w:r>
        <w:rPr/>
        <w:t>students</w:t>
      </w:r>
    </w:p>
    <w:p>
      <w:pPr>
        <w:pStyle w:val="BodyText"/>
        <w:spacing w:line="247" w:lineRule="auto" w:before="57"/>
        <w:ind w:left="305" w:right="328" w:hanging="199"/>
      </w:pPr>
      <w:r>
        <w:rPr>
          <w:rFonts w:ascii="Century Gothic" w:hAnsi="Century Gothic"/>
          <w:b/>
          <w:w w:val="115"/>
        </w:rPr>
        <w:t>≥ </w:t>
      </w:r>
      <w:r>
        <w:rPr/>
        <w:t>support, enhance and reform the application portfolio and maintain appropriate access and availability for authorised users</w:t>
      </w:r>
    </w:p>
    <w:p>
      <w:pPr>
        <w:pStyle w:val="BodyText"/>
        <w:spacing w:line="244" w:lineRule="auto" w:before="57"/>
        <w:ind w:left="305" w:right="94" w:hanging="199"/>
      </w:pPr>
      <w:r>
        <w:rPr>
          <w:rFonts w:ascii="Century Gothic" w:hAnsi="Century Gothic"/>
          <w:b/>
          <w:w w:val="115"/>
        </w:rPr>
        <w:t>≥</w:t>
      </w:r>
      <w:r>
        <w:rPr>
          <w:rFonts w:ascii="Century Gothic" w:hAnsi="Century Gothic"/>
          <w:b/>
          <w:spacing w:val="-20"/>
          <w:w w:val="115"/>
        </w:rPr>
        <w:t> </w:t>
      </w:r>
      <w:r>
        <w:rPr>
          <w:w w:val="105"/>
        </w:rPr>
        <w:t>provide</w:t>
      </w:r>
      <w:r>
        <w:rPr>
          <w:spacing w:val="-36"/>
          <w:w w:val="105"/>
        </w:rPr>
        <w:t> </w:t>
      </w:r>
      <w:r>
        <w:rPr>
          <w:w w:val="105"/>
        </w:rPr>
        <w:t>and</w:t>
      </w:r>
      <w:r>
        <w:rPr>
          <w:spacing w:val="-36"/>
          <w:w w:val="105"/>
        </w:rPr>
        <w:t> </w:t>
      </w:r>
      <w:r>
        <w:rPr>
          <w:w w:val="105"/>
        </w:rPr>
        <w:t>maintain</w:t>
      </w:r>
      <w:r>
        <w:rPr>
          <w:spacing w:val="-36"/>
          <w:w w:val="105"/>
        </w:rPr>
        <w:t> </w:t>
      </w:r>
      <w:r>
        <w:rPr>
          <w:w w:val="105"/>
        </w:rPr>
        <w:t>the</w:t>
      </w:r>
      <w:r>
        <w:rPr>
          <w:spacing w:val="-36"/>
          <w:w w:val="105"/>
        </w:rPr>
        <w:t> </w:t>
      </w:r>
      <w:r>
        <w:rPr>
          <w:w w:val="105"/>
        </w:rPr>
        <w:t>communications </w:t>
      </w:r>
      <w:r>
        <w:rPr/>
        <w:t>infrastructure</w:t>
      </w:r>
      <w:r>
        <w:rPr>
          <w:spacing w:val="-20"/>
        </w:rPr>
        <w:t> </w:t>
      </w:r>
      <w:r>
        <w:rPr/>
        <w:t>that</w:t>
      </w:r>
      <w:r>
        <w:rPr>
          <w:spacing w:val="-20"/>
        </w:rPr>
        <w:t> </w:t>
      </w:r>
      <w:r>
        <w:rPr>
          <w:spacing w:val="2"/>
        </w:rPr>
        <w:t>connects</w:t>
      </w:r>
      <w:r>
        <w:rPr>
          <w:spacing w:val="-20"/>
        </w:rPr>
        <w:t> </w:t>
      </w:r>
      <w:r>
        <w:rPr/>
        <w:t>end</w:t>
      </w:r>
      <w:r>
        <w:rPr>
          <w:spacing w:val="-20"/>
        </w:rPr>
        <w:t> </w:t>
      </w:r>
      <w:r>
        <w:rPr/>
        <w:t>users</w:t>
      </w:r>
    </w:p>
    <w:p>
      <w:pPr>
        <w:pStyle w:val="BodyText"/>
        <w:spacing w:line="249" w:lineRule="auto" w:before="3"/>
        <w:ind w:left="305" w:right="269"/>
      </w:pPr>
      <w:r>
        <w:rPr/>
        <w:t>to each other and to the outside world (including networks, telephony and wireless)</w:t>
      </w:r>
    </w:p>
    <w:p>
      <w:pPr>
        <w:pStyle w:val="BodyText"/>
        <w:spacing w:line="247" w:lineRule="auto" w:before="55"/>
        <w:ind w:left="305" w:right="14" w:hanging="199"/>
      </w:pPr>
      <w:r>
        <w:rPr>
          <w:rFonts w:ascii="Century Gothic" w:hAnsi="Century Gothic"/>
          <w:b/>
          <w:w w:val="115"/>
        </w:rPr>
        <w:t>≥ </w:t>
      </w:r>
      <w:r>
        <w:rPr/>
        <w:t>manage external providers that deliver products and services to the University, including</w:t>
      </w:r>
      <w:r>
        <w:rPr>
          <w:spacing w:val="-19"/>
        </w:rPr>
        <w:t> </w:t>
      </w:r>
      <w:r>
        <w:rPr/>
        <w:t>data</w:t>
      </w:r>
      <w:r>
        <w:rPr>
          <w:spacing w:val="-19"/>
        </w:rPr>
        <w:t> </w:t>
      </w:r>
      <w:r>
        <w:rPr/>
        <w:t>centres,</w:t>
      </w:r>
      <w:r>
        <w:rPr>
          <w:spacing w:val="-19"/>
        </w:rPr>
        <w:t> </w:t>
      </w:r>
      <w:r>
        <w:rPr/>
        <w:t>hosted</w:t>
      </w:r>
      <w:r>
        <w:rPr>
          <w:spacing w:val="-19"/>
        </w:rPr>
        <w:t> </w:t>
      </w:r>
      <w:r>
        <w:rPr/>
        <w:t>applications, software</w:t>
      </w:r>
      <w:r>
        <w:rPr>
          <w:spacing w:val="-22"/>
        </w:rPr>
        <w:t> </w:t>
      </w:r>
      <w:r>
        <w:rPr/>
        <w:t>licensing</w:t>
      </w:r>
      <w:r>
        <w:rPr>
          <w:spacing w:val="-22"/>
        </w:rPr>
        <w:t> </w:t>
      </w:r>
      <w:r>
        <w:rPr/>
        <w:t>and</w:t>
      </w:r>
      <w:r>
        <w:rPr>
          <w:spacing w:val="-22"/>
        </w:rPr>
        <w:t> </w:t>
      </w:r>
      <w:r>
        <w:rPr/>
        <w:t>maintenance</w:t>
      </w:r>
    </w:p>
    <w:p>
      <w:pPr>
        <w:pStyle w:val="BodyText"/>
        <w:spacing w:line="247" w:lineRule="auto" w:before="57"/>
        <w:ind w:left="305" w:right="89" w:hanging="199"/>
      </w:pPr>
      <w:r>
        <w:rPr>
          <w:rFonts w:ascii="Century Gothic" w:hAnsi="Century Gothic"/>
          <w:b/>
          <w:w w:val="115"/>
        </w:rPr>
        <w:t>≥ </w:t>
      </w:r>
      <w:r>
        <w:rPr/>
        <w:t>ensure the smooth operation of the computing laboratories used by students and the computing services used by staff members, including the service desk and end user support</w:t>
      </w:r>
    </w:p>
    <w:p>
      <w:pPr>
        <w:pStyle w:val="BodyText"/>
        <w:spacing w:line="247" w:lineRule="auto" w:before="57"/>
        <w:ind w:left="305" w:right="325" w:hanging="199"/>
      </w:pPr>
      <w:r>
        <w:rPr>
          <w:rFonts w:ascii="Century Gothic" w:hAnsi="Century Gothic"/>
          <w:b/>
          <w:w w:val="115"/>
        </w:rPr>
        <w:t>≥ </w:t>
      </w:r>
      <w:r>
        <w:rPr/>
        <w:t>provide and manage the audiovisual systems used for teaching and collaboration, including those for next generation learning spaces and web conferencing.</w:t>
      </w:r>
    </w:p>
    <w:p>
      <w:pPr>
        <w:pStyle w:val="BodyText"/>
      </w:pPr>
    </w:p>
    <w:p>
      <w:pPr>
        <w:pStyle w:val="BodyText"/>
        <w:spacing w:before="3"/>
        <w:rPr>
          <w:sz w:val="13"/>
        </w:rPr>
      </w:pPr>
    </w:p>
    <w:p>
      <w:pPr>
        <w:pStyle w:val="Heading5"/>
        <w:spacing w:line="260" w:lineRule="exact" w:before="1"/>
        <w:ind w:right="621"/>
      </w:pPr>
      <w:r>
        <w:rPr/>
        <w:t>PROJECT </w:t>
      </w:r>
      <w:r>
        <w:rPr>
          <w:w w:val="95"/>
        </w:rPr>
        <w:t>MANAGEMENT OFFICE</w:t>
      </w:r>
    </w:p>
    <w:p>
      <w:pPr>
        <w:pStyle w:val="BodyText"/>
        <w:spacing w:line="249" w:lineRule="auto" w:before="101"/>
        <w:ind w:left="107"/>
      </w:pPr>
      <w:r>
        <w:rPr/>
        <w:t>The Project Management Office (PMO) is a centralised</w:t>
      </w:r>
      <w:r>
        <w:rPr>
          <w:spacing w:val="-13"/>
        </w:rPr>
        <w:t> </w:t>
      </w:r>
      <w:r>
        <w:rPr/>
        <w:t>function</w:t>
      </w:r>
      <w:r>
        <w:rPr>
          <w:spacing w:val="-13"/>
        </w:rPr>
        <w:t> </w:t>
      </w:r>
      <w:r>
        <w:rPr/>
        <w:t>that</w:t>
      </w:r>
      <w:r>
        <w:rPr>
          <w:spacing w:val="-13"/>
        </w:rPr>
        <w:t> </w:t>
      </w:r>
      <w:r>
        <w:rPr/>
        <w:t>provides</w:t>
      </w:r>
      <w:r>
        <w:rPr>
          <w:spacing w:val="-13"/>
        </w:rPr>
        <w:t> </w:t>
      </w:r>
      <w:r>
        <w:rPr/>
        <w:t>key</w:t>
      </w:r>
      <w:r>
        <w:rPr>
          <w:spacing w:val="-13"/>
        </w:rPr>
        <w:t> </w:t>
      </w:r>
      <w:r>
        <w:rPr/>
        <w:t>support services for projects and project managers, and delivers ongoing continuous business improvements.</w:t>
      </w:r>
      <w:r>
        <w:rPr>
          <w:spacing w:val="-22"/>
        </w:rPr>
        <w:t> </w:t>
      </w:r>
      <w:r>
        <w:rPr/>
        <w:t>It</w:t>
      </w:r>
      <w:r>
        <w:rPr>
          <w:spacing w:val="-22"/>
        </w:rPr>
        <w:t> </w:t>
      </w:r>
      <w:r>
        <w:rPr/>
        <w:t>does</w:t>
      </w:r>
      <w:r>
        <w:rPr>
          <w:spacing w:val="-22"/>
        </w:rPr>
        <w:t> </w:t>
      </w:r>
      <w:r>
        <w:rPr/>
        <w:t>so</w:t>
      </w:r>
      <w:r>
        <w:rPr>
          <w:spacing w:val="-22"/>
        </w:rPr>
        <w:t> </w:t>
      </w:r>
      <w:r>
        <w:rPr/>
        <w:t>by</w:t>
      </w:r>
      <w:r>
        <w:rPr>
          <w:spacing w:val="-22"/>
        </w:rPr>
        <w:t> </w:t>
      </w:r>
      <w:r>
        <w:rPr/>
        <w:t>providing:</w:t>
      </w:r>
    </w:p>
    <w:p>
      <w:pPr>
        <w:pStyle w:val="BodyText"/>
        <w:spacing w:line="247" w:lineRule="auto" w:before="55"/>
        <w:ind w:left="305" w:right="-3" w:hanging="199"/>
      </w:pPr>
      <w:r>
        <w:rPr>
          <w:rFonts w:ascii="Century Gothic" w:hAnsi="Century Gothic"/>
          <w:b/>
          <w:w w:val="115"/>
        </w:rPr>
        <w:t>≥ </w:t>
      </w:r>
      <w:r>
        <w:rPr/>
        <w:t>project delivery, including project management</w:t>
      </w:r>
      <w:r>
        <w:rPr>
          <w:spacing w:val="-13"/>
        </w:rPr>
        <w:t> </w:t>
      </w:r>
      <w:r>
        <w:rPr/>
        <w:t>of</w:t>
      </w:r>
      <w:r>
        <w:rPr>
          <w:spacing w:val="-13"/>
        </w:rPr>
        <w:t> </w:t>
      </w:r>
      <w:r>
        <w:rPr/>
        <w:t>and</w:t>
      </w:r>
      <w:r>
        <w:rPr>
          <w:spacing w:val="-13"/>
        </w:rPr>
        <w:t> </w:t>
      </w:r>
      <w:r>
        <w:rPr/>
        <w:t>support</w:t>
      </w:r>
      <w:r>
        <w:rPr>
          <w:spacing w:val="-13"/>
        </w:rPr>
        <w:t> </w:t>
      </w:r>
      <w:r>
        <w:rPr/>
        <w:t>for</w:t>
      </w:r>
      <w:r>
        <w:rPr>
          <w:spacing w:val="-13"/>
        </w:rPr>
        <w:t> </w:t>
      </w:r>
      <w:r>
        <w:rPr/>
        <w:t>University- wide change projects and business improvement</w:t>
      </w:r>
      <w:r>
        <w:rPr>
          <w:spacing w:val="-32"/>
        </w:rPr>
        <w:t> </w:t>
      </w:r>
      <w:r>
        <w:rPr/>
        <w:t>initiatives</w:t>
      </w:r>
    </w:p>
    <w:p>
      <w:pPr>
        <w:pStyle w:val="BodyText"/>
        <w:spacing w:line="244" w:lineRule="auto" w:before="57"/>
        <w:ind w:left="305" w:right="-1" w:hanging="199"/>
      </w:pPr>
      <w:r>
        <w:rPr>
          <w:rFonts w:ascii="Century Gothic" w:hAnsi="Century Gothic"/>
          <w:b/>
          <w:w w:val="115"/>
        </w:rPr>
        <w:t>≥ </w:t>
      </w:r>
      <w:r>
        <w:rPr/>
        <w:t>project support services – including scheduling,</w:t>
      </w:r>
      <w:r>
        <w:rPr>
          <w:spacing w:val="-25"/>
        </w:rPr>
        <w:t> </w:t>
      </w:r>
      <w:r>
        <w:rPr/>
        <w:t>forecasting,</w:t>
      </w:r>
      <w:r>
        <w:rPr>
          <w:spacing w:val="-25"/>
        </w:rPr>
        <w:t> </w:t>
      </w:r>
      <w:r>
        <w:rPr/>
        <w:t>reporting,</w:t>
      </w:r>
      <w:r>
        <w:rPr>
          <w:spacing w:val="-25"/>
        </w:rPr>
        <w:t> </w:t>
      </w:r>
      <w:r>
        <w:rPr/>
        <w:t>planning</w:t>
      </w:r>
    </w:p>
    <w:p>
      <w:pPr>
        <w:pStyle w:val="BodyText"/>
        <w:spacing w:before="1"/>
        <w:rPr>
          <w:sz w:val="20"/>
        </w:rPr>
      </w:pPr>
      <w:r>
        <w:rPr/>
        <w:br w:type="column"/>
      </w:r>
      <w:r>
        <w:rPr>
          <w:sz w:val="20"/>
        </w:rPr>
      </w:r>
    </w:p>
    <w:p>
      <w:pPr>
        <w:pStyle w:val="BodyText"/>
        <w:spacing w:line="249" w:lineRule="auto"/>
        <w:ind w:left="305" w:right="160"/>
      </w:pPr>
      <w:r>
        <w:rPr/>
        <w:t>and mentoring – and support for portfolio and program management</w:t>
      </w:r>
    </w:p>
    <w:p>
      <w:pPr>
        <w:pStyle w:val="BodyText"/>
        <w:spacing w:line="244" w:lineRule="auto" w:before="55"/>
        <w:ind w:left="305" w:right="460" w:hanging="199"/>
      </w:pPr>
      <w:r>
        <w:rPr>
          <w:rFonts w:ascii="Century Gothic" w:hAnsi="Century Gothic"/>
          <w:b/>
          <w:w w:val="115"/>
        </w:rPr>
        <w:t>≥ </w:t>
      </w:r>
      <w:r>
        <w:rPr/>
        <w:t>project management methodologies, capabilities, tools and templates</w:t>
      </w:r>
    </w:p>
    <w:p>
      <w:pPr>
        <w:pStyle w:val="BodyText"/>
        <w:spacing w:line="244" w:lineRule="auto" w:before="58"/>
        <w:ind w:left="305" w:right="448" w:hanging="199"/>
      </w:pPr>
      <w:r>
        <w:rPr>
          <w:rFonts w:ascii="Century Gothic" w:hAnsi="Century Gothic"/>
          <w:b/>
          <w:w w:val="115"/>
        </w:rPr>
        <w:t>≥</w:t>
      </w:r>
      <w:r>
        <w:rPr>
          <w:rFonts w:ascii="Century Gothic" w:hAnsi="Century Gothic"/>
          <w:b/>
          <w:spacing w:val="-15"/>
          <w:w w:val="115"/>
        </w:rPr>
        <w:t> </w:t>
      </w:r>
      <w:r>
        <w:rPr>
          <w:w w:val="105"/>
        </w:rPr>
        <w:t>governance</w:t>
      </w:r>
      <w:r>
        <w:rPr>
          <w:spacing w:val="-33"/>
          <w:w w:val="105"/>
        </w:rPr>
        <w:t> </w:t>
      </w:r>
      <w:r>
        <w:rPr>
          <w:w w:val="105"/>
        </w:rPr>
        <w:t>and</w:t>
      </w:r>
      <w:r>
        <w:rPr>
          <w:spacing w:val="-33"/>
          <w:w w:val="105"/>
        </w:rPr>
        <w:t> </w:t>
      </w:r>
      <w:r>
        <w:rPr>
          <w:w w:val="105"/>
        </w:rPr>
        <w:t>assurance</w:t>
      </w:r>
      <w:r>
        <w:rPr>
          <w:spacing w:val="-33"/>
          <w:w w:val="105"/>
        </w:rPr>
        <w:t> </w:t>
      </w:r>
      <w:r>
        <w:rPr>
          <w:w w:val="105"/>
        </w:rPr>
        <w:t>support</w:t>
      </w:r>
      <w:r>
        <w:rPr>
          <w:spacing w:val="-33"/>
          <w:w w:val="105"/>
        </w:rPr>
        <w:t> </w:t>
      </w:r>
      <w:r>
        <w:rPr>
          <w:w w:val="105"/>
        </w:rPr>
        <w:t>for </w:t>
      </w:r>
      <w:r>
        <w:rPr/>
        <w:t>portfolios,</w:t>
      </w:r>
      <w:r>
        <w:rPr>
          <w:spacing w:val="-17"/>
        </w:rPr>
        <w:t> </w:t>
      </w:r>
      <w:r>
        <w:rPr/>
        <w:t>programs</w:t>
      </w:r>
      <w:r>
        <w:rPr>
          <w:spacing w:val="-17"/>
        </w:rPr>
        <w:t> </w:t>
      </w:r>
      <w:r>
        <w:rPr/>
        <w:t>and</w:t>
      </w:r>
      <w:r>
        <w:rPr>
          <w:spacing w:val="-17"/>
        </w:rPr>
        <w:t> </w:t>
      </w:r>
      <w:r>
        <w:rPr/>
        <w:t>projects.</w:t>
      </w:r>
    </w:p>
    <w:p>
      <w:pPr>
        <w:pStyle w:val="BodyText"/>
        <w:spacing w:before="6"/>
        <w:rPr>
          <w:sz w:val="19"/>
        </w:rPr>
      </w:pPr>
    </w:p>
    <w:p>
      <w:pPr>
        <w:pStyle w:val="Heading7"/>
        <w:spacing w:before="1"/>
        <w:ind w:right="460"/>
      </w:pPr>
      <w:r>
        <w:rPr>
          <w:w w:val="95"/>
        </w:rPr>
        <w:t>2016 ACHIEVEMENTS</w:t>
      </w:r>
    </w:p>
    <w:p>
      <w:pPr>
        <w:pStyle w:val="BodyText"/>
        <w:spacing w:line="249" w:lineRule="auto" w:before="58"/>
        <w:ind w:left="107" w:right="135"/>
      </w:pPr>
      <w:r>
        <w:rPr/>
        <w:t>The PMO recorded several key achievements </w:t>
      </w:r>
      <w:r>
        <w:rPr>
          <w:w w:val="95"/>
        </w:rPr>
        <w:t>in </w:t>
      </w:r>
      <w:r>
        <w:rPr>
          <w:w w:val="85"/>
        </w:rPr>
        <w:t>2016.</w:t>
      </w:r>
    </w:p>
    <w:p>
      <w:pPr>
        <w:pStyle w:val="BodyText"/>
        <w:spacing w:line="247" w:lineRule="auto" w:before="55"/>
        <w:ind w:left="305" w:right="26" w:hanging="199"/>
      </w:pPr>
      <w:r>
        <w:rPr>
          <w:rFonts w:ascii="Century Gothic" w:hAnsi="Century Gothic"/>
          <w:b/>
          <w:w w:val="115"/>
        </w:rPr>
        <w:t>≥ </w:t>
      </w:r>
      <w:r>
        <w:rPr>
          <w:rFonts w:ascii="Gotham Narrow Bold" w:hAnsi="Gotham Narrow Bold"/>
          <w:b/>
        </w:rPr>
        <w:t>Project Essex: </w:t>
      </w:r>
      <w:r>
        <w:rPr/>
        <w:t>This project involved a strategic business review of the University’s professional services model as it operates across Schools, Institutes and Divisions.</w:t>
      </w:r>
    </w:p>
    <w:p>
      <w:pPr>
        <w:pStyle w:val="BodyText"/>
        <w:spacing w:line="249" w:lineRule="auto" w:before="1"/>
        <w:ind w:left="305" w:right="126"/>
      </w:pPr>
      <w:r>
        <w:rPr/>
        <w:t>The</w:t>
      </w:r>
      <w:r>
        <w:rPr>
          <w:spacing w:val="-20"/>
        </w:rPr>
        <w:t> </w:t>
      </w:r>
      <w:r>
        <w:rPr/>
        <w:t>review,</w:t>
      </w:r>
      <w:r>
        <w:rPr>
          <w:spacing w:val="-20"/>
        </w:rPr>
        <w:t> </w:t>
      </w:r>
      <w:r>
        <w:rPr/>
        <w:t>performed</w:t>
      </w:r>
      <w:r>
        <w:rPr>
          <w:spacing w:val="-20"/>
        </w:rPr>
        <w:t> </w:t>
      </w:r>
      <w:r>
        <w:rPr/>
        <w:t>by</w:t>
      </w:r>
      <w:r>
        <w:rPr>
          <w:spacing w:val="-20"/>
        </w:rPr>
        <w:t> </w:t>
      </w:r>
      <w:r>
        <w:rPr/>
        <w:t>Deloitte,</w:t>
      </w:r>
      <w:r>
        <w:rPr>
          <w:spacing w:val="-20"/>
        </w:rPr>
        <w:t> </w:t>
      </w:r>
      <w:r>
        <w:rPr/>
        <w:t>drew</w:t>
      </w:r>
      <w:r>
        <w:rPr>
          <w:spacing w:val="-20"/>
        </w:rPr>
        <w:t> </w:t>
      </w:r>
      <w:r>
        <w:rPr/>
        <w:t>on </w:t>
      </w:r>
      <w:r>
        <w:rPr>
          <w:w w:val="97"/>
        </w:rPr>
        <w:t>more </w:t>
      </w:r>
      <w:r>
        <w:rPr>
          <w:spacing w:val="1"/>
          <w:w w:val="97"/>
        </w:rPr>
        <w:t>than</w:t>
      </w:r>
      <w:r>
        <w:rPr>
          <w:w w:val="97"/>
        </w:rPr>
        <w:t> </w:t>
      </w:r>
      <w:r>
        <w:rPr>
          <w:spacing w:val="2"/>
          <w:w w:val="92"/>
        </w:rPr>
        <w:t>100</w:t>
      </w:r>
      <w:r>
        <w:rPr>
          <w:w w:val="92"/>
        </w:rPr>
        <w:t> </w:t>
      </w:r>
      <w:r>
        <w:rPr>
          <w:spacing w:val="1"/>
          <w:w w:val="97"/>
        </w:rPr>
        <w:t>engagement</w:t>
      </w:r>
      <w:r>
        <w:rPr>
          <w:w w:val="97"/>
        </w:rPr>
        <w:t> </w:t>
      </w:r>
      <w:r>
        <w:rPr>
          <w:spacing w:val="1"/>
          <w:w w:val="97"/>
        </w:rPr>
        <w:t>meetings</w:t>
      </w:r>
      <w:r>
        <w:rPr>
          <w:w w:val="97"/>
        </w:rPr>
        <w:t> </w:t>
      </w:r>
      <w:r>
        <w:rPr>
          <w:spacing w:val="1"/>
          <w:w w:val="97"/>
        </w:rPr>
        <w:t>and</w:t>
      </w:r>
      <w:r>
        <w:rPr>
          <w:w w:val="97"/>
        </w:rPr>
        <w:t> </w:t>
      </w:r>
      <w:r>
        <w:rPr/>
        <w:t>workshops</w:t>
      </w:r>
      <w:r>
        <w:rPr>
          <w:spacing w:val="-19"/>
        </w:rPr>
        <w:t> </w:t>
      </w:r>
      <w:r>
        <w:rPr/>
        <w:t>of</w:t>
      </w:r>
      <w:r>
        <w:rPr>
          <w:spacing w:val="-19"/>
        </w:rPr>
        <w:t> </w:t>
      </w:r>
      <w:r>
        <w:rPr/>
        <w:t>various</w:t>
      </w:r>
      <w:r>
        <w:rPr>
          <w:spacing w:val="-19"/>
        </w:rPr>
        <w:t> </w:t>
      </w:r>
      <w:r>
        <w:rPr/>
        <w:t>shapes</w:t>
      </w:r>
      <w:r>
        <w:rPr>
          <w:spacing w:val="-19"/>
        </w:rPr>
        <w:t> </w:t>
      </w:r>
      <w:r>
        <w:rPr/>
        <w:t>and</w:t>
      </w:r>
      <w:r>
        <w:rPr>
          <w:spacing w:val="-19"/>
        </w:rPr>
        <w:t> </w:t>
      </w:r>
      <w:r>
        <w:rPr/>
        <w:t>sizes.</w:t>
      </w:r>
      <w:r>
        <w:rPr>
          <w:spacing w:val="-19"/>
        </w:rPr>
        <w:t> </w:t>
      </w:r>
      <w:r>
        <w:rPr/>
        <w:t>The outcome</w:t>
      </w:r>
      <w:r>
        <w:rPr>
          <w:spacing w:val="-16"/>
        </w:rPr>
        <w:t> </w:t>
      </w:r>
      <w:r>
        <w:rPr/>
        <w:t>was</w:t>
      </w:r>
      <w:r>
        <w:rPr>
          <w:spacing w:val="-16"/>
        </w:rPr>
        <w:t> </w:t>
      </w:r>
      <w:r>
        <w:rPr/>
        <w:t>a</w:t>
      </w:r>
      <w:r>
        <w:rPr>
          <w:spacing w:val="-16"/>
        </w:rPr>
        <w:t> </w:t>
      </w:r>
      <w:r>
        <w:rPr/>
        <w:t>series</w:t>
      </w:r>
      <w:r>
        <w:rPr>
          <w:spacing w:val="-16"/>
        </w:rPr>
        <w:t> </w:t>
      </w:r>
      <w:r>
        <w:rPr/>
        <w:t>of</w:t>
      </w:r>
      <w:r>
        <w:rPr>
          <w:spacing w:val="-16"/>
        </w:rPr>
        <w:t> </w:t>
      </w:r>
      <w:r>
        <w:rPr/>
        <w:t>recommendations for the University to develop a ‘better business’ professional services model, including shared service models across Schools,</w:t>
      </w:r>
      <w:r>
        <w:rPr>
          <w:spacing w:val="-31"/>
        </w:rPr>
        <w:t> </w:t>
      </w:r>
      <w:r>
        <w:rPr/>
        <w:t>Institutes</w:t>
      </w:r>
      <w:r>
        <w:rPr>
          <w:spacing w:val="-31"/>
        </w:rPr>
        <w:t> </w:t>
      </w:r>
      <w:r>
        <w:rPr/>
        <w:t>and</w:t>
      </w:r>
      <w:r>
        <w:rPr>
          <w:spacing w:val="-31"/>
        </w:rPr>
        <w:t> </w:t>
      </w:r>
      <w:r>
        <w:rPr/>
        <w:t>Divisions.</w:t>
      </w:r>
    </w:p>
    <w:p>
      <w:pPr>
        <w:pStyle w:val="BodyText"/>
        <w:spacing w:line="247" w:lineRule="auto" w:before="55"/>
        <w:ind w:left="305" w:right="104" w:hanging="199"/>
      </w:pPr>
      <w:r>
        <w:rPr>
          <w:rFonts w:ascii="Century Gothic" w:hAnsi="Century Gothic"/>
          <w:b/>
          <w:w w:val="115"/>
        </w:rPr>
        <w:t>≥ </w:t>
      </w:r>
      <w:r>
        <w:rPr>
          <w:rFonts w:ascii="Gotham Narrow Bold" w:hAnsi="Gotham Narrow Bold"/>
          <w:b/>
        </w:rPr>
        <w:t>Service Unlimited: </w:t>
      </w:r>
      <w:r>
        <w:rPr/>
        <w:t>Despite key resourcing challenges, this program developed a services improvement road map and presented options for a University-wide tiered service model in conjunction with One Parramatta Square, with the potential for further consolidation and rollout across </w:t>
      </w:r>
      <w:r>
        <w:rPr>
          <w:w w:val="95"/>
        </w:rPr>
        <w:t>the University.</w:t>
      </w:r>
    </w:p>
    <w:p>
      <w:pPr>
        <w:pStyle w:val="BodyText"/>
        <w:spacing w:line="247" w:lineRule="auto" w:before="57"/>
        <w:ind w:left="305" w:right="347" w:hanging="199"/>
      </w:pPr>
      <w:r>
        <w:rPr>
          <w:rFonts w:ascii="Century Gothic" w:hAnsi="Century Gothic"/>
          <w:b/>
          <w:w w:val="115"/>
        </w:rPr>
        <w:t>≥ </w:t>
      </w:r>
      <w:r>
        <w:rPr>
          <w:rFonts w:ascii="Gotham Narrow Bold" w:hAnsi="Gotham Narrow Bold"/>
          <w:b/>
        </w:rPr>
        <w:t>Red Tape Task Force: </w:t>
      </w:r>
      <w:r>
        <w:rPr/>
        <w:t>The Task Force delivered</w:t>
      </w:r>
      <w:r>
        <w:rPr>
          <w:spacing w:val="-16"/>
        </w:rPr>
        <w:t> </w:t>
      </w:r>
      <w:r>
        <w:rPr/>
        <w:t>a</w:t>
      </w:r>
      <w:r>
        <w:rPr>
          <w:spacing w:val="-16"/>
        </w:rPr>
        <w:t> </w:t>
      </w:r>
      <w:r>
        <w:rPr/>
        <w:t>number</w:t>
      </w:r>
      <w:r>
        <w:rPr>
          <w:spacing w:val="-16"/>
        </w:rPr>
        <w:t> </w:t>
      </w:r>
      <w:r>
        <w:rPr/>
        <w:t>of</w:t>
      </w:r>
      <w:r>
        <w:rPr>
          <w:spacing w:val="-16"/>
        </w:rPr>
        <w:t> </w:t>
      </w:r>
      <w:r>
        <w:rPr/>
        <w:t>initiatives</w:t>
      </w:r>
      <w:r>
        <w:rPr>
          <w:spacing w:val="-16"/>
        </w:rPr>
        <w:t> </w:t>
      </w:r>
      <w:r>
        <w:rPr/>
        <w:t>aimed at</w:t>
      </w:r>
      <w:r>
        <w:rPr>
          <w:spacing w:val="-16"/>
        </w:rPr>
        <w:t> </w:t>
      </w:r>
      <w:r>
        <w:rPr/>
        <w:t>reducing</w:t>
      </w:r>
      <w:r>
        <w:rPr>
          <w:spacing w:val="-16"/>
        </w:rPr>
        <w:t> </w:t>
      </w:r>
      <w:r>
        <w:rPr/>
        <w:t>red</w:t>
      </w:r>
      <w:r>
        <w:rPr>
          <w:spacing w:val="-16"/>
        </w:rPr>
        <w:t> </w:t>
      </w:r>
      <w:r>
        <w:rPr/>
        <w:t>tape,</w:t>
      </w:r>
      <w:r>
        <w:rPr>
          <w:spacing w:val="-16"/>
        </w:rPr>
        <w:t> </w:t>
      </w:r>
      <w:r>
        <w:rPr/>
        <w:t>including</w:t>
      </w:r>
      <w:r>
        <w:rPr>
          <w:spacing w:val="-16"/>
        </w:rPr>
        <w:t> </w:t>
      </w:r>
      <w:r>
        <w:rPr/>
        <w:t>securing Process Efficiency Grants for student appeals and human resources (HR) processes. The PMO collaborated with Information Technology and Digital Services</w:t>
      </w:r>
      <w:r>
        <w:rPr>
          <w:spacing w:val="-17"/>
        </w:rPr>
        <w:t> </w:t>
      </w:r>
      <w:r>
        <w:rPr/>
        <w:t>to</w:t>
      </w:r>
      <w:r>
        <w:rPr>
          <w:spacing w:val="-17"/>
        </w:rPr>
        <w:t> </w:t>
      </w:r>
      <w:r>
        <w:rPr/>
        <w:t>ensure</w:t>
      </w:r>
      <w:r>
        <w:rPr>
          <w:spacing w:val="-17"/>
        </w:rPr>
        <w:t> </w:t>
      </w:r>
      <w:r>
        <w:rPr/>
        <w:t>University-wide</w:t>
      </w:r>
    </w:p>
    <w:p>
      <w:pPr>
        <w:pStyle w:val="BodyText"/>
        <w:spacing w:line="249" w:lineRule="auto" w:before="1"/>
        <w:ind w:left="305" w:right="-1"/>
      </w:pPr>
      <w:r>
        <w:rPr/>
        <w:t>adoption</w:t>
      </w:r>
      <w:r>
        <w:rPr>
          <w:spacing w:val="-15"/>
        </w:rPr>
        <w:t> </w:t>
      </w:r>
      <w:r>
        <w:rPr/>
        <w:t>of</w:t>
      </w:r>
      <w:r>
        <w:rPr>
          <w:spacing w:val="-15"/>
        </w:rPr>
        <w:t> </w:t>
      </w:r>
      <w:r>
        <w:rPr/>
        <w:t>an</w:t>
      </w:r>
      <w:r>
        <w:rPr>
          <w:spacing w:val="-15"/>
        </w:rPr>
        <w:t> </w:t>
      </w:r>
      <w:r>
        <w:rPr/>
        <w:t>e-form</w:t>
      </w:r>
      <w:r>
        <w:rPr>
          <w:spacing w:val="-15"/>
        </w:rPr>
        <w:t> </w:t>
      </w:r>
      <w:r>
        <w:rPr/>
        <w:t>solution</w:t>
      </w:r>
      <w:r>
        <w:rPr>
          <w:spacing w:val="-15"/>
        </w:rPr>
        <w:t> </w:t>
      </w:r>
      <w:r>
        <w:rPr/>
        <w:t>that</w:t>
      </w:r>
      <w:r>
        <w:rPr>
          <w:spacing w:val="-15"/>
        </w:rPr>
        <w:t> </w:t>
      </w:r>
      <w:r>
        <w:rPr/>
        <w:t>has</w:t>
      </w:r>
      <w:r>
        <w:rPr>
          <w:spacing w:val="-15"/>
        </w:rPr>
        <w:t> </w:t>
      </w:r>
      <w:r>
        <w:rPr/>
        <w:t>the potential to make processes significantly more</w:t>
      </w:r>
      <w:r>
        <w:rPr>
          <w:spacing w:val="-37"/>
        </w:rPr>
        <w:t> </w:t>
      </w:r>
      <w:r>
        <w:rPr/>
        <w:t>efficient.</w:t>
      </w:r>
    </w:p>
    <w:p>
      <w:pPr>
        <w:spacing w:line="244" w:lineRule="auto" w:before="55"/>
        <w:ind w:left="305" w:right="57" w:hanging="199"/>
        <w:jc w:val="left"/>
        <w:rPr>
          <w:sz w:val="16"/>
        </w:rPr>
      </w:pPr>
      <w:r>
        <w:rPr>
          <w:rFonts w:ascii="Century Gothic" w:hAnsi="Century Gothic"/>
          <w:b/>
          <w:w w:val="115"/>
          <w:sz w:val="16"/>
        </w:rPr>
        <w:t>≥ </w:t>
      </w:r>
      <w:r>
        <w:rPr>
          <w:rFonts w:ascii="Gotham Narrow Bold" w:hAnsi="Gotham Narrow Bold"/>
          <w:b/>
          <w:sz w:val="16"/>
        </w:rPr>
        <w:t>Divisional Services and Process Assessment: </w:t>
      </w:r>
      <w:r>
        <w:rPr>
          <w:sz w:val="16"/>
        </w:rPr>
        <w:t>The PMO provided project management support for the ongoing centralisation of College support resources, based on the ‘hub and spoke’ model.</w:t>
      </w:r>
    </w:p>
    <w:p>
      <w:pPr>
        <w:pStyle w:val="BodyText"/>
        <w:spacing w:line="247" w:lineRule="auto" w:before="58"/>
        <w:ind w:left="305" w:right="122" w:hanging="199"/>
      </w:pPr>
      <w:r>
        <w:rPr>
          <w:rFonts w:ascii="Century Gothic" w:hAnsi="Century Gothic"/>
          <w:b/>
          <w:w w:val="115"/>
        </w:rPr>
        <w:t>≥ </w:t>
      </w:r>
      <w:r>
        <w:rPr>
          <w:rFonts w:ascii="Gotham Narrow Bold" w:hAnsi="Gotham Narrow Bold"/>
          <w:b/>
        </w:rPr>
        <w:t>Project </w:t>
      </w:r>
      <w:r>
        <w:rPr>
          <w:rFonts w:ascii="Gotham Narrow Bold" w:hAnsi="Gotham Narrow Bold"/>
          <w:b/>
          <w:spacing w:val="2"/>
        </w:rPr>
        <w:t>Management </w:t>
      </w:r>
      <w:r>
        <w:rPr>
          <w:rFonts w:ascii="Gotham Narrow Bold" w:hAnsi="Gotham Narrow Bold"/>
          <w:b/>
        </w:rPr>
        <w:t>Toolkit: </w:t>
      </w:r>
      <w:r>
        <w:rPr/>
        <w:t>The PMO began</w:t>
      </w:r>
      <w:r>
        <w:rPr>
          <w:spacing w:val="-14"/>
        </w:rPr>
        <w:t> </w:t>
      </w:r>
      <w:r>
        <w:rPr/>
        <w:t>developing</w:t>
      </w:r>
      <w:r>
        <w:rPr>
          <w:spacing w:val="-14"/>
        </w:rPr>
        <w:t> </w:t>
      </w:r>
      <w:r>
        <w:rPr/>
        <w:t>a</w:t>
      </w:r>
      <w:r>
        <w:rPr>
          <w:spacing w:val="-14"/>
        </w:rPr>
        <w:t> </w:t>
      </w:r>
      <w:r>
        <w:rPr/>
        <w:t>fit-for-purpose</w:t>
      </w:r>
      <w:r>
        <w:rPr>
          <w:spacing w:val="-14"/>
        </w:rPr>
        <w:t> </w:t>
      </w:r>
      <w:r>
        <w:rPr/>
        <w:t>project management</w:t>
      </w:r>
      <w:r>
        <w:rPr>
          <w:spacing w:val="-14"/>
        </w:rPr>
        <w:t> </w:t>
      </w:r>
      <w:r>
        <w:rPr/>
        <w:t>framework</w:t>
      </w:r>
      <w:r>
        <w:rPr>
          <w:spacing w:val="-14"/>
        </w:rPr>
        <w:t> </w:t>
      </w:r>
      <w:r>
        <w:rPr/>
        <w:t>and</w:t>
      </w:r>
      <w:r>
        <w:rPr>
          <w:spacing w:val="-14"/>
        </w:rPr>
        <w:t> </w:t>
      </w:r>
      <w:r>
        <w:rPr/>
        <w:t>methodology for</w:t>
      </w:r>
      <w:r>
        <w:rPr>
          <w:spacing w:val="-18"/>
        </w:rPr>
        <w:t> </w:t>
      </w:r>
      <w:r>
        <w:rPr/>
        <w:t>the</w:t>
      </w:r>
      <w:r>
        <w:rPr>
          <w:spacing w:val="-18"/>
        </w:rPr>
        <w:t> </w:t>
      </w:r>
      <w:r>
        <w:rPr/>
        <w:t>University.</w:t>
      </w:r>
      <w:r>
        <w:rPr>
          <w:spacing w:val="-18"/>
        </w:rPr>
        <w:t> </w:t>
      </w:r>
      <w:r>
        <w:rPr/>
        <w:t>This</w:t>
      </w:r>
      <w:r>
        <w:rPr>
          <w:spacing w:val="-18"/>
        </w:rPr>
        <w:t> </w:t>
      </w:r>
      <w:r>
        <w:rPr/>
        <w:t>included</w:t>
      </w:r>
      <w:r>
        <w:rPr>
          <w:spacing w:val="-18"/>
        </w:rPr>
        <w:t> </w:t>
      </w:r>
      <w:r>
        <w:rPr/>
        <w:t>developing a prototype Project Management Toolkit, which</w:t>
      </w:r>
      <w:r>
        <w:rPr>
          <w:spacing w:val="-19"/>
        </w:rPr>
        <w:t> </w:t>
      </w:r>
      <w:r>
        <w:rPr/>
        <w:t>is</w:t>
      </w:r>
      <w:r>
        <w:rPr>
          <w:spacing w:val="-19"/>
        </w:rPr>
        <w:t> </w:t>
      </w:r>
      <w:r>
        <w:rPr/>
        <w:t>currently</w:t>
      </w:r>
      <w:r>
        <w:rPr>
          <w:spacing w:val="-19"/>
        </w:rPr>
        <w:t> </w:t>
      </w:r>
      <w:r>
        <w:rPr/>
        <w:t>in</w:t>
      </w:r>
      <w:r>
        <w:rPr>
          <w:spacing w:val="-19"/>
        </w:rPr>
        <w:t> </w:t>
      </w:r>
      <w:r>
        <w:rPr/>
        <w:t>the</w:t>
      </w:r>
      <w:r>
        <w:rPr>
          <w:spacing w:val="-19"/>
        </w:rPr>
        <w:t> </w:t>
      </w:r>
      <w:r>
        <w:rPr/>
        <w:t>testing</w:t>
      </w:r>
      <w:r>
        <w:rPr>
          <w:spacing w:val="-19"/>
        </w:rPr>
        <w:t> </w:t>
      </w:r>
      <w:r>
        <w:rPr/>
        <w:t>phase.</w:t>
      </w:r>
    </w:p>
    <w:p>
      <w:pPr>
        <w:spacing w:after="0" w:line="247" w:lineRule="auto"/>
        <w:sectPr>
          <w:type w:val="continuous"/>
          <w:pgSz w:w="11910" w:h="16840"/>
          <w:pgMar w:top="1580" w:bottom="280" w:left="800" w:right="800"/>
          <w:cols w:num="3" w:equalWidth="0">
            <w:col w:w="3319" w:space="120"/>
            <w:col w:w="3315" w:space="125"/>
            <w:col w:w="3431"/>
          </w:cols>
        </w:sectPr>
      </w:pPr>
    </w:p>
    <w:p>
      <w:pPr>
        <w:pStyle w:val="BodyText"/>
        <w:spacing w:before="9"/>
        <w:rPr>
          <w:sz w:val="28"/>
        </w:rPr>
      </w:pPr>
    </w:p>
    <w:p>
      <w:pPr>
        <w:pStyle w:val="Heading2"/>
        <w:ind w:right="8063"/>
        <w:rPr>
          <w:b w:val="0"/>
        </w:rPr>
      </w:pPr>
      <w:r>
        <w:rPr>
          <w:b w:val="0"/>
        </w:rPr>
        <w:t>Finance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66"/>
          <w:footerReference w:type="default" r:id="rId67"/>
          <w:pgSz w:w="11910" w:h="16840"/>
          <w:pgMar w:footer="472" w:header="496" w:top="680" w:bottom="660" w:left="800" w:right="800"/>
        </w:sectPr>
      </w:pPr>
    </w:p>
    <w:p>
      <w:pPr>
        <w:pStyle w:val="BodyText"/>
        <w:spacing w:before="11"/>
        <w:rPr>
          <w:rFonts w:ascii="Chronicle Text G1"/>
          <w:b w:val="0"/>
        </w:rPr>
      </w:pPr>
    </w:p>
    <w:p>
      <w:pPr>
        <w:pStyle w:val="BodyText"/>
        <w:spacing w:line="249" w:lineRule="auto"/>
        <w:ind w:left="107" w:right="13"/>
      </w:pPr>
      <w:r>
        <w:rPr>
          <w:w w:val="100"/>
        </w:rPr>
        <w:t>Key </w:t>
      </w:r>
      <w:r>
        <w:rPr>
          <w:w w:val="98"/>
        </w:rPr>
        <w:t>outcomes </w:t>
      </w:r>
      <w:r>
        <w:rPr>
          <w:w w:val="99"/>
        </w:rPr>
        <w:t>of </w:t>
      </w:r>
      <w:r>
        <w:rPr>
          <w:w w:val="97"/>
        </w:rPr>
        <w:t>the </w:t>
      </w:r>
      <w:r>
        <w:rPr>
          <w:w w:val="90"/>
        </w:rPr>
        <w:t>2016 </w:t>
      </w:r>
      <w:r>
        <w:rPr>
          <w:w w:val="95"/>
        </w:rPr>
        <w:t>risk </w:t>
      </w:r>
      <w:r>
        <w:rPr>
          <w:w w:val="97"/>
        </w:rPr>
        <w:t>management </w:t>
      </w:r>
      <w:r>
        <w:rPr/>
        <w:t>program included:</w:t>
      </w:r>
    </w:p>
    <w:p>
      <w:pPr>
        <w:pStyle w:val="BodyText"/>
        <w:spacing w:line="247" w:lineRule="auto" w:before="55"/>
        <w:ind w:left="305" w:right="214" w:hanging="199"/>
        <w:jc w:val="both"/>
      </w:pPr>
      <w:r>
        <w:rPr>
          <w:rFonts w:ascii="Century Gothic" w:hAnsi="Century Gothic"/>
          <w:b/>
          <w:w w:val="115"/>
        </w:rPr>
        <w:t>≥</w:t>
      </w:r>
      <w:r>
        <w:rPr>
          <w:rFonts w:ascii="Century Gothic" w:hAnsi="Century Gothic"/>
          <w:b/>
          <w:spacing w:val="-3"/>
          <w:w w:val="115"/>
        </w:rPr>
        <w:t> </w:t>
      </w:r>
      <w:r>
        <w:rPr>
          <w:w w:val="105"/>
        </w:rPr>
        <w:t>roll</w:t>
      </w:r>
      <w:r>
        <w:rPr>
          <w:spacing w:val="-27"/>
          <w:w w:val="105"/>
        </w:rPr>
        <w:t> </w:t>
      </w:r>
      <w:r>
        <w:rPr>
          <w:w w:val="105"/>
        </w:rPr>
        <w:t>out</w:t>
      </w:r>
      <w:r>
        <w:rPr>
          <w:spacing w:val="-27"/>
          <w:w w:val="105"/>
        </w:rPr>
        <w:t> </w:t>
      </w:r>
      <w:r>
        <w:rPr>
          <w:w w:val="105"/>
        </w:rPr>
        <w:t>of</w:t>
      </w:r>
      <w:r>
        <w:rPr>
          <w:spacing w:val="-27"/>
          <w:w w:val="105"/>
        </w:rPr>
        <w:t> </w:t>
      </w:r>
      <w:r>
        <w:rPr>
          <w:w w:val="105"/>
        </w:rPr>
        <w:t>staged</w:t>
      </w:r>
      <w:r>
        <w:rPr>
          <w:spacing w:val="-27"/>
          <w:w w:val="105"/>
        </w:rPr>
        <w:t> </w:t>
      </w:r>
      <w:r>
        <w:rPr>
          <w:w w:val="105"/>
        </w:rPr>
        <w:t>implementation</w:t>
      </w:r>
      <w:r>
        <w:rPr>
          <w:spacing w:val="-27"/>
          <w:w w:val="105"/>
        </w:rPr>
        <w:t> </w:t>
      </w:r>
      <w:r>
        <w:rPr>
          <w:w w:val="105"/>
        </w:rPr>
        <w:t>of</w:t>
      </w:r>
      <w:r>
        <w:rPr>
          <w:spacing w:val="-27"/>
          <w:w w:val="105"/>
        </w:rPr>
        <w:t> </w:t>
      </w:r>
      <w:r>
        <w:rPr>
          <w:w w:val="105"/>
        </w:rPr>
        <w:t>the </w:t>
      </w:r>
      <w:r>
        <w:rPr/>
        <w:t>University’s</w:t>
      </w:r>
      <w:r>
        <w:rPr>
          <w:spacing w:val="-22"/>
        </w:rPr>
        <w:t> </w:t>
      </w:r>
      <w:r>
        <w:rPr/>
        <w:t>enterprise</w:t>
      </w:r>
      <w:r>
        <w:rPr>
          <w:spacing w:val="-22"/>
        </w:rPr>
        <w:t> </w:t>
      </w:r>
      <w:r>
        <w:rPr/>
        <w:t>risk</w:t>
      </w:r>
      <w:r>
        <w:rPr>
          <w:spacing w:val="-22"/>
        </w:rPr>
        <w:t> </w:t>
      </w:r>
      <w:r>
        <w:rPr/>
        <w:t>management system</w:t>
      </w:r>
      <w:r>
        <w:rPr>
          <w:spacing w:val="-21"/>
        </w:rPr>
        <w:t> </w:t>
      </w:r>
      <w:r>
        <w:rPr/>
        <w:t>(Protecht)</w:t>
      </w:r>
    </w:p>
    <w:p>
      <w:pPr>
        <w:pStyle w:val="BodyText"/>
        <w:spacing w:line="247" w:lineRule="auto" w:before="57"/>
        <w:ind w:left="305" w:right="13" w:hanging="199"/>
      </w:pPr>
      <w:r>
        <w:rPr>
          <w:rFonts w:ascii="Century Gothic" w:hAnsi="Century Gothic"/>
          <w:b/>
          <w:w w:val="115"/>
        </w:rPr>
        <w:t>≥ </w:t>
      </w:r>
      <w:r>
        <w:rPr/>
        <w:t>maintenance of a cyclical risk assessment program and operational risk databases across both administrative and academic operations</w:t>
      </w:r>
    </w:p>
    <w:p>
      <w:pPr>
        <w:pStyle w:val="BodyText"/>
        <w:spacing w:line="247" w:lineRule="auto" w:before="57"/>
        <w:ind w:left="305" w:right="16" w:hanging="199"/>
      </w:pPr>
      <w:r>
        <w:rPr>
          <w:rFonts w:ascii="Century Gothic" w:hAnsi="Century Gothic"/>
          <w:b/>
          <w:w w:val="115"/>
        </w:rPr>
        <w:t>≥ </w:t>
      </w:r>
      <w:r>
        <w:rPr/>
        <w:t>attendance of senior staff at Audit &amp; Risk Management</w:t>
      </w:r>
      <w:r>
        <w:rPr>
          <w:spacing w:val="-16"/>
        </w:rPr>
        <w:t> </w:t>
      </w:r>
      <w:r>
        <w:rPr/>
        <w:t>Committee</w:t>
      </w:r>
      <w:r>
        <w:rPr>
          <w:spacing w:val="-16"/>
        </w:rPr>
        <w:t> </w:t>
      </w:r>
      <w:r>
        <w:rPr/>
        <w:t>meetings</w:t>
      </w:r>
      <w:r>
        <w:rPr>
          <w:spacing w:val="-16"/>
        </w:rPr>
        <w:t> </w:t>
      </w:r>
      <w:r>
        <w:rPr/>
        <w:t>in</w:t>
      </w:r>
      <w:r>
        <w:rPr>
          <w:spacing w:val="-16"/>
        </w:rPr>
        <w:t> </w:t>
      </w:r>
      <w:r>
        <w:rPr/>
        <w:t>order to report on the management of strategic risk</w:t>
      </w:r>
      <w:r>
        <w:rPr>
          <w:spacing w:val="-18"/>
        </w:rPr>
        <w:t> </w:t>
      </w:r>
      <w:r>
        <w:rPr/>
        <w:t>in</w:t>
      </w:r>
      <w:r>
        <w:rPr>
          <w:spacing w:val="-18"/>
        </w:rPr>
        <w:t> </w:t>
      </w:r>
      <w:r>
        <w:rPr/>
        <w:t>key</w:t>
      </w:r>
      <w:r>
        <w:rPr>
          <w:spacing w:val="-18"/>
        </w:rPr>
        <w:t> </w:t>
      </w:r>
      <w:r>
        <w:rPr/>
        <w:t>areas</w:t>
      </w:r>
      <w:r>
        <w:rPr>
          <w:spacing w:val="-18"/>
        </w:rPr>
        <w:t> </w:t>
      </w:r>
      <w:r>
        <w:rPr/>
        <w:t>of</w:t>
      </w:r>
      <w:r>
        <w:rPr>
          <w:spacing w:val="-18"/>
        </w:rPr>
        <w:t> </w:t>
      </w:r>
      <w:r>
        <w:rPr/>
        <w:t>University</w:t>
      </w:r>
      <w:r>
        <w:rPr>
          <w:spacing w:val="-18"/>
        </w:rPr>
        <w:t> </w:t>
      </w:r>
      <w:r>
        <w:rPr/>
        <w:t>operations</w:t>
      </w:r>
    </w:p>
    <w:p>
      <w:pPr>
        <w:pStyle w:val="BodyText"/>
        <w:spacing w:line="247" w:lineRule="auto" w:before="57"/>
        <w:ind w:left="305" w:right="215" w:hanging="199"/>
        <w:jc w:val="both"/>
      </w:pPr>
      <w:r>
        <w:rPr>
          <w:rFonts w:ascii="Century Gothic" w:hAnsi="Century Gothic"/>
          <w:b/>
          <w:w w:val="115"/>
        </w:rPr>
        <w:t>≥ </w:t>
      </w:r>
      <w:r>
        <w:rPr/>
        <w:t>maintenance of a corruption prevention training</w:t>
      </w:r>
      <w:r>
        <w:rPr>
          <w:spacing w:val="-15"/>
        </w:rPr>
        <w:t> </w:t>
      </w:r>
      <w:r>
        <w:rPr/>
        <w:t>program</w:t>
      </w:r>
      <w:r>
        <w:rPr>
          <w:spacing w:val="-15"/>
        </w:rPr>
        <w:t> </w:t>
      </w:r>
      <w:r>
        <w:rPr/>
        <w:t>in</w:t>
      </w:r>
      <w:r>
        <w:rPr>
          <w:spacing w:val="-15"/>
        </w:rPr>
        <w:t> </w:t>
      </w:r>
      <w:r>
        <w:rPr/>
        <w:t>accordance</w:t>
      </w:r>
      <w:r>
        <w:rPr>
          <w:spacing w:val="-15"/>
        </w:rPr>
        <w:t> </w:t>
      </w:r>
      <w:r>
        <w:rPr/>
        <w:t>with</w:t>
      </w:r>
      <w:r>
        <w:rPr>
          <w:spacing w:val="-15"/>
        </w:rPr>
        <w:t> </w:t>
      </w:r>
      <w:r>
        <w:rPr/>
        <w:t>our strategy</w:t>
      </w:r>
      <w:r>
        <w:rPr>
          <w:spacing w:val="-15"/>
        </w:rPr>
        <w:t> </w:t>
      </w:r>
      <w:r>
        <w:rPr/>
        <w:t>to</w:t>
      </w:r>
      <w:r>
        <w:rPr>
          <w:spacing w:val="-15"/>
        </w:rPr>
        <w:t> </w:t>
      </w:r>
      <w:r>
        <w:rPr/>
        <w:t>reduce</w:t>
      </w:r>
      <w:r>
        <w:rPr>
          <w:spacing w:val="-15"/>
        </w:rPr>
        <w:t> </w:t>
      </w:r>
      <w:r>
        <w:rPr/>
        <w:t>corruption</w:t>
      </w:r>
      <w:r>
        <w:rPr>
          <w:spacing w:val="-15"/>
        </w:rPr>
        <w:t> </w:t>
      </w:r>
      <w:r>
        <w:rPr/>
        <w:t>risks</w:t>
      </w:r>
    </w:p>
    <w:p>
      <w:pPr>
        <w:pStyle w:val="BodyText"/>
        <w:spacing w:line="247" w:lineRule="auto" w:before="57"/>
        <w:ind w:left="305" w:right="259" w:hanging="199"/>
      </w:pPr>
      <w:r>
        <w:rPr>
          <w:rFonts w:ascii="Century Gothic" w:hAnsi="Century Gothic"/>
          <w:b/>
          <w:w w:val="115"/>
        </w:rPr>
        <w:t>≥ </w:t>
      </w:r>
      <w:r>
        <w:rPr/>
        <w:t>introduction of more rigorous reporting processes, together with procedures for ensuring risk mitigation strategies are closely monitored and completed.</w:t>
      </w:r>
    </w:p>
    <w:p>
      <w:pPr>
        <w:pStyle w:val="BodyText"/>
      </w:pPr>
    </w:p>
    <w:p>
      <w:pPr>
        <w:pStyle w:val="Heading5"/>
        <w:spacing w:before="138"/>
        <w:ind w:right="197"/>
      </w:pPr>
      <w:bookmarkStart w:name="_TOC_250022" w:id="32"/>
      <w:bookmarkEnd w:id="32"/>
      <w:r>
        <w:rPr/>
        <w:t>ENTITIES</w:t>
      </w:r>
    </w:p>
    <w:p>
      <w:pPr>
        <w:pStyle w:val="Heading7"/>
        <w:spacing w:before="159"/>
        <w:ind w:right="197"/>
      </w:pPr>
      <w:r>
        <w:rPr>
          <w:w w:val="95"/>
        </w:rPr>
        <w:t>UWSCONNECT LTD</w:t>
      </w:r>
    </w:p>
    <w:p>
      <w:pPr>
        <w:pStyle w:val="BodyText"/>
        <w:spacing w:line="249" w:lineRule="auto" w:before="58"/>
        <w:ind w:left="107" w:right="13"/>
      </w:pPr>
      <w:r>
        <w:rPr/>
        <w:t>uwsconnect Ltd oversees campus services such as food and beverage outlets, retail stores, gyms, sports facilities, clubs and societies. It also manages the activities of social event organisers from Campus Life, and Out &amp; About student tours.</w:t>
      </w:r>
    </w:p>
    <w:p>
      <w:pPr>
        <w:pStyle w:val="BodyText"/>
        <w:rPr>
          <w:sz w:val="14"/>
        </w:rPr>
      </w:pPr>
    </w:p>
    <w:p>
      <w:pPr>
        <w:pStyle w:val="BodyText"/>
        <w:spacing w:line="249" w:lineRule="auto"/>
        <w:ind w:left="107" w:right="184"/>
      </w:pPr>
      <w:r>
        <w:rPr/>
        <w:t>It is both student-centric and community- focused, catering for current and potential students, university staff members and community members.</w:t>
      </w:r>
    </w:p>
    <w:p>
      <w:pPr>
        <w:pStyle w:val="BodyText"/>
        <w:rPr>
          <w:sz w:val="14"/>
        </w:rPr>
      </w:pPr>
    </w:p>
    <w:p>
      <w:pPr>
        <w:pStyle w:val="BodyText"/>
        <w:spacing w:line="249" w:lineRule="auto"/>
        <w:ind w:left="107" w:right="259"/>
      </w:pPr>
      <w:r>
        <w:rPr/>
        <w:t>The</w:t>
      </w:r>
      <w:r>
        <w:rPr>
          <w:spacing w:val="-16"/>
        </w:rPr>
        <w:t> </w:t>
      </w:r>
      <w:r>
        <w:rPr/>
        <w:t>University</w:t>
      </w:r>
      <w:r>
        <w:rPr>
          <w:spacing w:val="-16"/>
        </w:rPr>
        <w:t> </w:t>
      </w:r>
      <w:r>
        <w:rPr/>
        <w:t>established</w:t>
      </w:r>
      <w:r>
        <w:rPr>
          <w:spacing w:val="-16"/>
        </w:rPr>
        <w:t> </w:t>
      </w:r>
      <w:r>
        <w:rPr/>
        <w:t>uwsconnect</w:t>
      </w:r>
      <w:r>
        <w:rPr>
          <w:spacing w:val="-16"/>
        </w:rPr>
        <w:t> </w:t>
      </w:r>
      <w:r>
        <w:rPr/>
        <w:t>as a</w:t>
      </w:r>
      <w:r>
        <w:rPr>
          <w:spacing w:val="-17"/>
        </w:rPr>
        <w:t> </w:t>
      </w:r>
      <w:r>
        <w:rPr/>
        <w:t>not-for-profit,</w:t>
      </w:r>
      <w:r>
        <w:rPr>
          <w:spacing w:val="-17"/>
        </w:rPr>
        <w:t> </w:t>
      </w:r>
      <w:r>
        <w:rPr/>
        <w:t>wholly</w:t>
      </w:r>
      <w:r>
        <w:rPr>
          <w:spacing w:val="-17"/>
        </w:rPr>
        <w:t> </w:t>
      </w:r>
      <w:r>
        <w:rPr/>
        <w:t>controlled</w:t>
      </w:r>
      <w:r>
        <w:rPr>
          <w:spacing w:val="-17"/>
        </w:rPr>
        <w:t> </w:t>
      </w:r>
      <w:r>
        <w:rPr/>
        <w:t>entity</w:t>
      </w:r>
      <w:r>
        <w:rPr>
          <w:spacing w:val="-17"/>
        </w:rPr>
        <w:t> </w:t>
      </w:r>
      <w:r>
        <w:rPr/>
        <w:t>in</w:t>
      </w:r>
    </w:p>
    <w:p>
      <w:pPr>
        <w:pStyle w:val="BodyText"/>
        <w:spacing w:line="249" w:lineRule="auto"/>
        <w:ind w:left="107"/>
      </w:pPr>
      <w:r>
        <w:rPr>
          <w:spacing w:val="2"/>
        </w:rPr>
        <w:t>2004 </w:t>
      </w:r>
      <w:r>
        <w:rPr/>
        <w:t>to ensure campus services continue to meet</w:t>
      </w:r>
      <w:r>
        <w:rPr>
          <w:spacing w:val="-19"/>
        </w:rPr>
        <w:t> </w:t>
      </w:r>
      <w:r>
        <w:rPr/>
        <w:t>student,</w:t>
      </w:r>
      <w:r>
        <w:rPr>
          <w:spacing w:val="-19"/>
        </w:rPr>
        <w:t> </w:t>
      </w:r>
      <w:r>
        <w:rPr/>
        <w:t>staff</w:t>
      </w:r>
      <w:r>
        <w:rPr>
          <w:spacing w:val="-19"/>
        </w:rPr>
        <w:t> </w:t>
      </w:r>
      <w:r>
        <w:rPr/>
        <w:t>and</w:t>
      </w:r>
      <w:r>
        <w:rPr>
          <w:spacing w:val="-19"/>
        </w:rPr>
        <w:t> </w:t>
      </w:r>
      <w:r>
        <w:rPr/>
        <w:t>financial</w:t>
      </w:r>
      <w:r>
        <w:rPr>
          <w:spacing w:val="-19"/>
        </w:rPr>
        <w:t> </w:t>
      </w:r>
      <w:r>
        <w:rPr/>
        <w:t>expectations. It employs more than </w:t>
      </w:r>
      <w:r>
        <w:rPr>
          <w:spacing w:val="2"/>
        </w:rPr>
        <w:t>200 </w:t>
      </w:r>
      <w:r>
        <w:rPr/>
        <w:t>people across Western Sydney, and has undergone recent organisational changes to align service delivery strategies with the University’s student-centric</w:t>
      </w:r>
      <w:r>
        <w:rPr>
          <w:spacing w:val="-25"/>
        </w:rPr>
        <w:t> </w:t>
      </w:r>
      <w:r>
        <w:rPr/>
        <w:t>perspective.</w:t>
      </w:r>
    </w:p>
    <w:p>
      <w:pPr>
        <w:pStyle w:val="BodyText"/>
        <w:spacing w:before="4"/>
        <w:rPr>
          <w:sz w:val="17"/>
        </w:rPr>
      </w:pPr>
      <w:r>
        <w:rPr/>
        <w:br w:type="column"/>
      </w:r>
      <w:r>
        <w:rPr>
          <w:sz w:val="17"/>
        </w:rPr>
      </w:r>
    </w:p>
    <w:p>
      <w:pPr>
        <w:pStyle w:val="Heading7"/>
        <w:ind w:right="164"/>
      </w:pPr>
      <w:r>
        <w:rPr>
          <w:w w:val="95"/>
        </w:rPr>
        <w:t>UWS EARLY LEARNING LTD</w:t>
      </w:r>
    </w:p>
    <w:p>
      <w:pPr>
        <w:pStyle w:val="BodyText"/>
        <w:spacing w:line="249" w:lineRule="auto" w:before="58"/>
        <w:ind w:left="107" w:right="164"/>
      </w:pPr>
      <w:r>
        <w:rPr>
          <w:w w:val="96"/>
        </w:rPr>
        <w:t>Incorporated </w:t>
      </w:r>
      <w:r>
        <w:rPr>
          <w:w w:val="95"/>
        </w:rPr>
        <w:t>in </w:t>
      </w:r>
      <w:r>
        <w:rPr>
          <w:w w:val="84"/>
        </w:rPr>
        <w:t>2012, </w:t>
      </w:r>
      <w:r>
        <w:rPr>
          <w:w w:val="101"/>
        </w:rPr>
        <w:t>UWS </w:t>
      </w:r>
      <w:r>
        <w:rPr>
          <w:w w:val="97"/>
        </w:rPr>
        <w:t>Early </w:t>
      </w:r>
      <w:r>
        <w:rPr>
          <w:w w:val="97"/>
        </w:rPr>
        <w:t>Learning </w:t>
      </w:r>
      <w:r>
        <w:rPr/>
        <w:t>Ltd is a not-for-profit, controlled entity of the University, providing high-quality early</w:t>
      </w:r>
    </w:p>
    <w:p>
      <w:pPr>
        <w:pStyle w:val="BodyText"/>
        <w:spacing w:line="249" w:lineRule="auto"/>
        <w:ind w:left="107" w:right="-2"/>
      </w:pPr>
      <w:r>
        <w:rPr/>
        <w:t>learning</w:t>
      </w:r>
      <w:r>
        <w:rPr>
          <w:spacing w:val="-16"/>
        </w:rPr>
        <w:t> </w:t>
      </w:r>
      <w:r>
        <w:rPr/>
        <w:t>facilities</w:t>
      </w:r>
      <w:r>
        <w:rPr>
          <w:spacing w:val="-16"/>
        </w:rPr>
        <w:t> </w:t>
      </w:r>
      <w:r>
        <w:rPr/>
        <w:t>on</w:t>
      </w:r>
      <w:r>
        <w:rPr>
          <w:spacing w:val="-16"/>
        </w:rPr>
        <w:t> </w:t>
      </w:r>
      <w:r>
        <w:rPr/>
        <w:t>all</w:t>
      </w:r>
      <w:r>
        <w:rPr>
          <w:spacing w:val="-16"/>
        </w:rPr>
        <w:t> </w:t>
      </w:r>
      <w:r>
        <w:rPr/>
        <w:t>campuses</w:t>
      </w:r>
      <w:r>
        <w:rPr>
          <w:spacing w:val="-16"/>
        </w:rPr>
        <w:t> </w:t>
      </w:r>
      <w:r>
        <w:rPr/>
        <w:t>for</w:t>
      </w:r>
      <w:r>
        <w:rPr>
          <w:spacing w:val="-16"/>
        </w:rPr>
        <w:t> </w:t>
      </w:r>
      <w:r>
        <w:rPr/>
        <w:t>children aged </w:t>
      </w:r>
      <w:r>
        <w:rPr>
          <w:spacing w:val="4"/>
        </w:rPr>
        <w:t>0–6. </w:t>
      </w:r>
      <w:r>
        <w:rPr/>
        <w:t>The facilities are open to the children of students, staff members and the broader</w:t>
      </w:r>
      <w:r>
        <w:rPr>
          <w:spacing w:val="-21"/>
        </w:rPr>
        <w:t> </w:t>
      </w:r>
      <w:r>
        <w:rPr/>
        <w:t>community.</w:t>
      </w:r>
      <w:r>
        <w:rPr>
          <w:spacing w:val="-21"/>
        </w:rPr>
        <w:t> </w:t>
      </w:r>
      <w:r>
        <w:rPr/>
        <w:t>The</w:t>
      </w:r>
      <w:r>
        <w:rPr>
          <w:spacing w:val="-21"/>
        </w:rPr>
        <w:t> </w:t>
      </w:r>
      <w:r>
        <w:rPr/>
        <w:t>University</w:t>
      </w:r>
      <w:r>
        <w:rPr>
          <w:spacing w:val="-21"/>
        </w:rPr>
        <w:t> </w:t>
      </w:r>
      <w:r>
        <w:rPr/>
        <w:t>subsidises childcare places for students and staff members, in addition to providing Student Services</w:t>
      </w:r>
      <w:r>
        <w:rPr>
          <w:spacing w:val="-12"/>
        </w:rPr>
        <w:t> </w:t>
      </w:r>
      <w:r>
        <w:rPr/>
        <w:t>and</w:t>
      </w:r>
      <w:r>
        <w:rPr>
          <w:spacing w:val="-12"/>
        </w:rPr>
        <w:t> </w:t>
      </w:r>
      <w:r>
        <w:rPr/>
        <w:t>Amenities</w:t>
      </w:r>
      <w:r>
        <w:rPr>
          <w:spacing w:val="-12"/>
        </w:rPr>
        <w:t> </w:t>
      </w:r>
      <w:r>
        <w:rPr/>
        <w:t>support</w:t>
      </w:r>
      <w:r>
        <w:rPr>
          <w:spacing w:val="-12"/>
        </w:rPr>
        <w:t> </w:t>
      </w:r>
      <w:r>
        <w:rPr/>
        <w:t>for</w:t>
      </w:r>
      <w:r>
        <w:rPr>
          <w:spacing w:val="-12"/>
        </w:rPr>
        <w:t> </w:t>
      </w:r>
      <w:r>
        <w:rPr/>
        <w:t>students.</w:t>
      </w:r>
    </w:p>
    <w:p>
      <w:pPr>
        <w:pStyle w:val="BodyText"/>
        <w:spacing w:before="3"/>
        <w:rPr>
          <w:sz w:val="19"/>
        </w:rPr>
      </w:pPr>
    </w:p>
    <w:p>
      <w:pPr>
        <w:pStyle w:val="Heading7"/>
        <w:ind w:right="164"/>
      </w:pPr>
      <w:r>
        <w:rPr>
          <w:w w:val="95"/>
        </w:rPr>
        <w:t>THE WHITLAM INSTITUTE</w:t>
      </w:r>
    </w:p>
    <w:p>
      <w:pPr>
        <w:pStyle w:val="BodyText"/>
        <w:spacing w:line="249" w:lineRule="auto" w:before="58"/>
        <w:ind w:left="107" w:right="33"/>
      </w:pPr>
      <w:r>
        <w:rPr/>
        <w:t>The</w:t>
      </w:r>
      <w:r>
        <w:rPr>
          <w:spacing w:val="-21"/>
        </w:rPr>
        <w:t> </w:t>
      </w:r>
      <w:r>
        <w:rPr/>
        <w:t>Whitlam</w:t>
      </w:r>
      <w:r>
        <w:rPr>
          <w:spacing w:val="-21"/>
        </w:rPr>
        <w:t> </w:t>
      </w:r>
      <w:r>
        <w:rPr/>
        <w:t>Institute</w:t>
      </w:r>
      <w:r>
        <w:rPr>
          <w:spacing w:val="-21"/>
        </w:rPr>
        <w:t> </w:t>
      </w:r>
      <w:r>
        <w:rPr/>
        <w:t>within</w:t>
      </w:r>
      <w:r>
        <w:rPr>
          <w:spacing w:val="-21"/>
        </w:rPr>
        <w:t> </w:t>
      </w:r>
      <w:r>
        <w:rPr/>
        <w:t>Western</w:t>
      </w:r>
      <w:r>
        <w:rPr>
          <w:spacing w:val="-21"/>
        </w:rPr>
        <w:t> </w:t>
      </w:r>
      <w:r>
        <w:rPr/>
        <w:t>Sydney University</w:t>
      </w:r>
      <w:r>
        <w:rPr>
          <w:spacing w:val="-13"/>
        </w:rPr>
        <w:t> </w:t>
      </w:r>
      <w:r>
        <w:rPr/>
        <w:t>is</w:t>
      </w:r>
      <w:r>
        <w:rPr>
          <w:spacing w:val="-13"/>
        </w:rPr>
        <w:t> </w:t>
      </w:r>
      <w:r>
        <w:rPr/>
        <w:t>a</w:t>
      </w:r>
      <w:r>
        <w:rPr>
          <w:spacing w:val="-13"/>
        </w:rPr>
        <w:t> </w:t>
      </w:r>
      <w:r>
        <w:rPr/>
        <w:t>dynamic</w:t>
      </w:r>
      <w:r>
        <w:rPr>
          <w:spacing w:val="-13"/>
        </w:rPr>
        <w:t> </w:t>
      </w:r>
      <w:r>
        <w:rPr/>
        <w:t>public</w:t>
      </w:r>
      <w:r>
        <w:rPr>
          <w:spacing w:val="-13"/>
        </w:rPr>
        <w:t> </w:t>
      </w:r>
      <w:r>
        <w:rPr/>
        <w:t>policy</w:t>
      </w:r>
      <w:r>
        <w:rPr>
          <w:spacing w:val="-13"/>
        </w:rPr>
        <w:t> </w:t>
      </w:r>
      <w:r>
        <w:rPr/>
        <w:t>institute that commemorates, and is inspired </w:t>
      </w:r>
      <w:r>
        <w:rPr>
          <w:spacing w:val="-3"/>
        </w:rPr>
        <w:t>by, </w:t>
      </w:r>
      <w:r>
        <w:rPr/>
        <w:t>the life</w:t>
      </w:r>
      <w:r>
        <w:rPr>
          <w:spacing w:val="-15"/>
        </w:rPr>
        <w:t> </w:t>
      </w:r>
      <w:r>
        <w:rPr/>
        <w:t>and</w:t>
      </w:r>
      <w:r>
        <w:rPr>
          <w:spacing w:val="-15"/>
        </w:rPr>
        <w:t> </w:t>
      </w:r>
      <w:r>
        <w:rPr/>
        <w:t>work</w:t>
      </w:r>
      <w:r>
        <w:rPr>
          <w:spacing w:val="-15"/>
        </w:rPr>
        <w:t> </w:t>
      </w:r>
      <w:r>
        <w:rPr/>
        <w:t>of</w:t>
      </w:r>
      <w:r>
        <w:rPr>
          <w:spacing w:val="-15"/>
        </w:rPr>
        <w:t> </w:t>
      </w:r>
      <w:r>
        <w:rPr/>
        <w:t>the</w:t>
      </w:r>
      <w:r>
        <w:rPr>
          <w:spacing w:val="-15"/>
        </w:rPr>
        <w:t> </w:t>
      </w:r>
      <w:r>
        <w:rPr>
          <w:spacing w:val="2"/>
        </w:rPr>
        <w:t>Hon.</w:t>
      </w:r>
      <w:r>
        <w:rPr>
          <w:spacing w:val="-15"/>
        </w:rPr>
        <w:t> </w:t>
      </w:r>
      <w:r>
        <w:rPr/>
        <w:t>Gough</w:t>
      </w:r>
      <w:r>
        <w:rPr>
          <w:spacing w:val="-15"/>
        </w:rPr>
        <w:t> </w:t>
      </w:r>
      <w:r>
        <w:rPr/>
        <w:t>Whitlam</w:t>
      </w:r>
      <w:r>
        <w:rPr>
          <w:spacing w:val="-15"/>
        </w:rPr>
        <w:t> </w:t>
      </w:r>
      <w:r>
        <w:rPr/>
        <w:t>AC, </w:t>
      </w:r>
      <w:r>
        <w:rPr>
          <w:spacing w:val="3"/>
        </w:rPr>
        <w:t>QC.</w:t>
      </w:r>
      <w:r>
        <w:rPr>
          <w:spacing w:val="-22"/>
        </w:rPr>
        <w:t> </w:t>
      </w:r>
      <w:r>
        <w:rPr/>
        <w:t>The</w:t>
      </w:r>
      <w:r>
        <w:rPr>
          <w:spacing w:val="-22"/>
        </w:rPr>
        <w:t> </w:t>
      </w:r>
      <w:r>
        <w:rPr/>
        <w:t>Institute</w:t>
      </w:r>
      <w:r>
        <w:rPr>
          <w:spacing w:val="-22"/>
        </w:rPr>
        <w:t> </w:t>
      </w:r>
      <w:r>
        <w:rPr/>
        <w:t>pursues</w:t>
      </w:r>
      <w:r>
        <w:rPr>
          <w:spacing w:val="-22"/>
        </w:rPr>
        <w:t> </w:t>
      </w:r>
      <w:r>
        <w:rPr/>
        <w:t>the</w:t>
      </w:r>
      <w:r>
        <w:rPr>
          <w:spacing w:val="-22"/>
        </w:rPr>
        <w:t> </w:t>
      </w:r>
      <w:r>
        <w:rPr/>
        <w:t>causes</w:t>
      </w:r>
      <w:r>
        <w:rPr>
          <w:spacing w:val="-22"/>
        </w:rPr>
        <w:t> </w:t>
      </w:r>
      <w:r>
        <w:rPr/>
        <w:t>Whitlam championed and is guided by the founding principles</w:t>
      </w:r>
      <w:r>
        <w:rPr>
          <w:spacing w:val="-16"/>
        </w:rPr>
        <w:t> </w:t>
      </w:r>
      <w:r>
        <w:rPr/>
        <w:t>of</w:t>
      </w:r>
      <w:r>
        <w:rPr>
          <w:spacing w:val="-16"/>
        </w:rPr>
        <w:t> </w:t>
      </w:r>
      <w:r>
        <w:rPr/>
        <w:t>his</w:t>
      </w:r>
      <w:r>
        <w:rPr>
          <w:spacing w:val="-16"/>
        </w:rPr>
        <w:t> </w:t>
      </w:r>
      <w:r>
        <w:rPr/>
        <w:t>parliamentary</w:t>
      </w:r>
      <w:r>
        <w:rPr>
          <w:spacing w:val="-16"/>
        </w:rPr>
        <w:t> </w:t>
      </w:r>
      <w:r>
        <w:rPr/>
        <w:t>career</w:t>
      </w:r>
      <w:r>
        <w:rPr>
          <w:spacing w:val="-16"/>
        </w:rPr>
        <w:t> </w:t>
      </w:r>
      <w:r>
        <w:rPr/>
        <w:t>and</w:t>
      </w:r>
      <w:r>
        <w:rPr>
          <w:spacing w:val="-16"/>
        </w:rPr>
        <w:t> </w:t>
      </w:r>
      <w:r>
        <w:rPr/>
        <w:t>his years</w:t>
      </w:r>
      <w:r>
        <w:rPr>
          <w:spacing w:val="-15"/>
        </w:rPr>
        <w:t> </w:t>
      </w:r>
      <w:r>
        <w:rPr/>
        <w:t>of</w:t>
      </w:r>
      <w:r>
        <w:rPr>
          <w:spacing w:val="-15"/>
        </w:rPr>
        <w:t> </w:t>
      </w:r>
      <w:r>
        <w:rPr/>
        <w:t>service</w:t>
      </w:r>
      <w:r>
        <w:rPr>
          <w:spacing w:val="-15"/>
        </w:rPr>
        <w:t> </w:t>
      </w:r>
      <w:r>
        <w:rPr/>
        <w:t>to</w:t>
      </w:r>
      <w:r>
        <w:rPr>
          <w:spacing w:val="-15"/>
        </w:rPr>
        <w:t> </w:t>
      </w:r>
      <w:r>
        <w:rPr/>
        <w:t>the</w:t>
      </w:r>
      <w:r>
        <w:rPr>
          <w:spacing w:val="-15"/>
        </w:rPr>
        <w:t> </w:t>
      </w:r>
      <w:r>
        <w:rPr/>
        <w:t>people</w:t>
      </w:r>
      <w:r>
        <w:rPr>
          <w:spacing w:val="-15"/>
        </w:rPr>
        <w:t> </w:t>
      </w:r>
      <w:r>
        <w:rPr/>
        <w:t>of</w:t>
      </w:r>
      <w:r>
        <w:rPr>
          <w:spacing w:val="-15"/>
        </w:rPr>
        <w:t> </w:t>
      </w:r>
      <w:r>
        <w:rPr/>
        <w:t>Australia.</w:t>
      </w:r>
    </w:p>
    <w:p>
      <w:pPr>
        <w:pStyle w:val="BodyText"/>
        <w:rPr>
          <w:sz w:val="14"/>
        </w:rPr>
      </w:pPr>
    </w:p>
    <w:p>
      <w:pPr>
        <w:pStyle w:val="BodyText"/>
        <w:spacing w:line="249" w:lineRule="auto"/>
        <w:ind w:left="107" w:right="114"/>
        <w:jc w:val="both"/>
      </w:pPr>
      <w:r>
        <w:rPr/>
        <w:t>The</w:t>
      </w:r>
      <w:r>
        <w:rPr>
          <w:spacing w:val="-18"/>
        </w:rPr>
        <w:t> </w:t>
      </w:r>
      <w:r>
        <w:rPr/>
        <w:t>Whitlam</w:t>
      </w:r>
      <w:r>
        <w:rPr>
          <w:spacing w:val="-18"/>
        </w:rPr>
        <w:t> </w:t>
      </w:r>
      <w:r>
        <w:rPr/>
        <w:t>Institute</w:t>
      </w:r>
      <w:r>
        <w:rPr>
          <w:spacing w:val="-18"/>
        </w:rPr>
        <w:t> </w:t>
      </w:r>
      <w:r>
        <w:rPr/>
        <w:t>is</w:t>
      </w:r>
      <w:r>
        <w:rPr>
          <w:spacing w:val="-18"/>
        </w:rPr>
        <w:t> </w:t>
      </w:r>
      <w:r>
        <w:rPr/>
        <w:t>guided</w:t>
      </w:r>
      <w:r>
        <w:rPr>
          <w:spacing w:val="-18"/>
        </w:rPr>
        <w:t> </w:t>
      </w:r>
      <w:r>
        <w:rPr/>
        <w:t>by</w:t>
      </w:r>
      <w:r>
        <w:rPr>
          <w:spacing w:val="-18"/>
        </w:rPr>
        <w:t> </w:t>
      </w:r>
      <w:r>
        <w:rPr/>
        <w:t>the</w:t>
      </w:r>
      <w:r>
        <w:rPr>
          <w:spacing w:val="-18"/>
        </w:rPr>
        <w:t> </w:t>
      </w:r>
      <w:r>
        <w:rPr/>
        <w:t>‘three great</w:t>
      </w:r>
      <w:r>
        <w:rPr>
          <w:spacing w:val="-15"/>
        </w:rPr>
        <w:t> </w:t>
      </w:r>
      <w:r>
        <w:rPr/>
        <w:t>aims’</w:t>
      </w:r>
      <w:r>
        <w:rPr>
          <w:spacing w:val="-15"/>
        </w:rPr>
        <w:t> </w:t>
      </w:r>
      <w:r>
        <w:rPr/>
        <w:t>that</w:t>
      </w:r>
      <w:r>
        <w:rPr>
          <w:spacing w:val="-15"/>
        </w:rPr>
        <w:t> </w:t>
      </w:r>
      <w:r>
        <w:rPr/>
        <w:t>drove</w:t>
      </w:r>
      <w:r>
        <w:rPr>
          <w:spacing w:val="-15"/>
        </w:rPr>
        <w:t> </w:t>
      </w:r>
      <w:r>
        <w:rPr/>
        <w:t>the</w:t>
      </w:r>
      <w:r>
        <w:rPr>
          <w:spacing w:val="-15"/>
        </w:rPr>
        <w:t> </w:t>
      </w:r>
      <w:r>
        <w:rPr/>
        <w:t>Whitlam</w:t>
      </w:r>
      <w:r>
        <w:rPr>
          <w:spacing w:val="-15"/>
        </w:rPr>
        <w:t> </w:t>
      </w:r>
      <w:r>
        <w:rPr/>
        <w:t>Program </w:t>
      </w:r>
      <w:r>
        <w:rPr>
          <w:w w:val="90"/>
        </w:rPr>
        <w:t>of</w:t>
      </w:r>
      <w:r>
        <w:rPr>
          <w:spacing w:val="-22"/>
          <w:w w:val="90"/>
        </w:rPr>
        <w:t> </w:t>
      </w:r>
      <w:r>
        <w:rPr>
          <w:w w:val="90"/>
        </w:rPr>
        <w:t>1972:</w:t>
      </w:r>
    </w:p>
    <w:p>
      <w:pPr>
        <w:pStyle w:val="BodyText"/>
        <w:spacing w:before="55"/>
        <w:ind w:left="107" w:right="164"/>
      </w:pPr>
      <w:r>
        <w:rPr>
          <w:rFonts w:ascii="Century Gothic" w:hAnsi="Century Gothic"/>
          <w:b/>
          <w:w w:val="110"/>
        </w:rPr>
        <w:t>≥ </w:t>
      </w:r>
      <w:r>
        <w:rPr>
          <w:w w:val="110"/>
        </w:rPr>
        <w:t>to promote equality</w:t>
      </w:r>
    </w:p>
    <w:p>
      <w:pPr>
        <w:pStyle w:val="BodyText"/>
        <w:spacing w:line="244" w:lineRule="auto" w:before="60"/>
        <w:ind w:left="305" w:right="284" w:hanging="199"/>
      </w:pPr>
      <w:r>
        <w:rPr>
          <w:rFonts w:ascii="Century Gothic" w:hAnsi="Century Gothic"/>
          <w:b/>
          <w:w w:val="115"/>
        </w:rPr>
        <w:t>≥</w:t>
      </w:r>
      <w:r>
        <w:rPr>
          <w:rFonts w:ascii="Century Gothic" w:hAnsi="Century Gothic"/>
          <w:b/>
          <w:spacing w:val="-3"/>
          <w:w w:val="115"/>
        </w:rPr>
        <w:t> </w:t>
      </w:r>
      <w:r>
        <w:rPr>
          <w:w w:val="105"/>
        </w:rPr>
        <w:t>to</w:t>
      </w:r>
      <w:r>
        <w:rPr>
          <w:spacing w:val="-27"/>
          <w:w w:val="105"/>
        </w:rPr>
        <w:t> </w:t>
      </w:r>
      <w:r>
        <w:rPr>
          <w:w w:val="105"/>
        </w:rPr>
        <w:t>involve</w:t>
      </w:r>
      <w:r>
        <w:rPr>
          <w:spacing w:val="-27"/>
          <w:w w:val="105"/>
        </w:rPr>
        <w:t> </w:t>
      </w:r>
      <w:r>
        <w:rPr>
          <w:w w:val="105"/>
        </w:rPr>
        <w:t>the</w:t>
      </w:r>
      <w:r>
        <w:rPr>
          <w:spacing w:val="-27"/>
          <w:w w:val="105"/>
        </w:rPr>
        <w:t> </w:t>
      </w:r>
      <w:r>
        <w:rPr>
          <w:w w:val="105"/>
        </w:rPr>
        <w:t>people</w:t>
      </w:r>
      <w:r>
        <w:rPr>
          <w:spacing w:val="-27"/>
          <w:w w:val="105"/>
        </w:rPr>
        <w:t> </w:t>
      </w:r>
      <w:r>
        <w:rPr>
          <w:w w:val="105"/>
        </w:rPr>
        <w:t>of</w:t>
      </w:r>
      <w:r>
        <w:rPr>
          <w:spacing w:val="-27"/>
          <w:w w:val="105"/>
        </w:rPr>
        <w:t> </w:t>
      </w:r>
      <w:r>
        <w:rPr>
          <w:w w:val="105"/>
        </w:rPr>
        <w:t>Australia</w:t>
      </w:r>
      <w:r>
        <w:rPr>
          <w:spacing w:val="-27"/>
          <w:w w:val="105"/>
        </w:rPr>
        <w:t> </w:t>
      </w:r>
      <w:r>
        <w:rPr>
          <w:w w:val="105"/>
        </w:rPr>
        <w:t>in</w:t>
      </w:r>
      <w:r>
        <w:rPr>
          <w:spacing w:val="-27"/>
          <w:w w:val="105"/>
        </w:rPr>
        <w:t> </w:t>
      </w:r>
      <w:r>
        <w:rPr>
          <w:w w:val="105"/>
        </w:rPr>
        <w:t>the </w:t>
      </w:r>
      <w:r>
        <w:rPr/>
        <w:t>decision-making</w:t>
      </w:r>
      <w:r>
        <w:rPr>
          <w:spacing w:val="-14"/>
        </w:rPr>
        <w:t> </w:t>
      </w:r>
      <w:r>
        <w:rPr/>
        <w:t>processes</w:t>
      </w:r>
      <w:r>
        <w:rPr>
          <w:spacing w:val="-14"/>
        </w:rPr>
        <w:t> </w:t>
      </w:r>
      <w:r>
        <w:rPr/>
        <w:t>of</w:t>
      </w:r>
      <w:r>
        <w:rPr>
          <w:spacing w:val="-14"/>
        </w:rPr>
        <w:t> </w:t>
      </w:r>
      <w:r>
        <w:rPr/>
        <w:t>our</w:t>
      </w:r>
      <w:r>
        <w:rPr>
          <w:spacing w:val="-14"/>
        </w:rPr>
        <w:t> </w:t>
      </w:r>
      <w:r>
        <w:rPr/>
        <w:t>land</w:t>
      </w:r>
    </w:p>
    <w:p>
      <w:pPr>
        <w:pStyle w:val="BodyText"/>
        <w:spacing w:line="244" w:lineRule="auto" w:before="58"/>
        <w:ind w:left="305" w:right="164" w:hanging="199"/>
      </w:pPr>
      <w:r>
        <w:rPr>
          <w:rFonts w:ascii="Century Gothic" w:hAnsi="Century Gothic"/>
          <w:b/>
          <w:w w:val="115"/>
        </w:rPr>
        <w:t>≥ </w:t>
      </w:r>
      <w:r>
        <w:rPr/>
        <w:t>to liberate the talents and uplift the horizons of the Australian people.</w:t>
      </w:r>
    </w:p>
    <w:p>
      <w:pPr>
        <w:pStyle w:val="BodyText"/>
        <w:spacing w:before="3"/>
        <w:rPr>
          <w:sz w:val="14"/>
        </w:rPr>
      </w:pPr>
    </w:p>
    <w:p>
      <w:pPr>
        <w:pStyle w:val="Heading7"/>
        <w:ind w:right="0"/>
        <w:rPr>
          <w:rFonts w:ascii="Century Gothic" w:hAnsi="Century Gothic"/>
        </w:rPr>
      </w:pPr>
      <w:r>
        <w:rPr>
          <w:rFonts w:ascii="Century Gothic" w:hAnsi="Century Gothic"/>
          <w:w w:val="145"/>
        </w:rPr>
        <w:t>≥</w:t>
      </w:r>
    </w:p>
    <w:p>
      <w:pPr>
        <w:pStyle w:val="Heading5"/>
        <w:spacing w:before="197"/>
        <w:ind w:right="460"/>
      </w:pPr>
      <w:bookmarkStart w:name="_TOC_250021" w:id="33"/>
      <w:r>
        <w:rPr>
          <w:b w:val="0"/>
        </w:rPr>
        <w:br w:type="column"/>
      </w:r>
      <w:bookmarkEnd w:id="33"/>
      <w:r>
        <w:rPr>
          <w:w w:val="95"/>
        </w:rPr>
        <w:t>RISK MANAGEMENT</w:t>
      </w:r>
    </w:p>
    <w:p>
      <w:pPr>
        <w:pStyle w:val="BodyText"/>
        <w:spacing w:line="249" w:lineRule="auto" w:before="95"/>
        <w:ind w:left="107" w:right="41"/>
      </w:pPr>
      <w:r>
        <w:rPr/>
        <w:t>The University maintains an organisation-wide strategic risk management program based on the methodology set out in the standard AS/ </w:t>
      </w:r>
      <w:r>
        <w:rPr>
          <w:w w:val="101"/>
        </w:rPr>
        <w:t>NZS </w:t>
      </w:r>
      <w:r>
        <w:rPr>
          <w:w w:val="87"/>
        </w:rPr>
        <w:t>ISO </w:t>
      </w:r>
      <w:r>
        <w:rPr>
          <w:w w:val="96"/>
        </w:rPr>
        <w:t>31000:2009 </w:t>
      </w:r>
      <w:r>
        <w:rPr>
          <w:w w:val="89"/>
        </w:rPr>
        <w:t>– </w:t>
      </w:r>
      <w:r>
        <w:rPr>
          <w:w w:val="96"/>
        </w:rPr>
        <w:t>Risk </w:t>
      </w:r>
      <w:r>
        <w:rPr>
          <w:w w:val="94"/>
        </w:rPr>
        <w:t>Management.</w:t>
      </w:r>
    </w:p>
    <w:p>
      <w:pPr>
        <w:pStyle w:val="BodyText"/>
        <w:rPr>
          <w:sz w:val="14"/>
        </w:rPr>
      </w:pPr>
    </w:p>
    <w:p>
      <w:pPr>
        <w:pStyle w:val="BodyText"/>
        <w:spacing w:line="249" w:lineRule="auto"/>
        <w:ind w:left="107" w:right="122"/>
      </w:pPr>
      <w:r>
        <w:rPr/>
        <w:t>The Audit and Risk Management Committee updates the Strategic Risk Register every six months. The Committee identifies risks by conducting interviews and risk workshops with senior executives, managers and key operating</w:t>
      </w:r>
      <w:r>
        <w:rPr>
          <w:spacing w:val="-15"/>
        </w:rPr>
        <w:t> </w:t>
      </w:r>
      <w:r>
        <w:rPr/>
        <w:t>staff</w:t>
      </w:r>
      <w:r>
        <w:rPr>
          <w:spacing w:val="-15"/>
        </w:rPr>
        <w:t> </w:t>
      </w:r>
      <w:r>
        <w:rPr/>
        <w:t>members</w:t>
      </w:r>
      <w:r>
        <w:rPr>
          <w:spacing w:val="-15"/>
        </w:rPr>
        <w:t> </w:t>
      </w:r>
      <w:r>
        <w:rPr/>
        <w:t>across</w:t>
      </w:r>
      <w:r>
        <w:rPr>
          <w:spacing w:val="-15"/>
        </w:rPr>
        <w:t> </w:t>
      </w:r>
      <w:r>
        <w:rPr/>
        <w:t>the</w:t>
      </w:r>
      <w:r>
        <w:rPr>
          <w:spacing w:val="-15"/>
        </w:rPr>
        <w:t> </w:t>
      </w:r>
      <w:r>
        <w:rPr/>
        <w:t>University and</w:t>
      </w:r>
      <w:r>
        <w:rPr>
          <w:spacing w:val="-23"/>
        </w:rPr>
        <w:t> </w:t>
      </w:r>
      <w:r>
        <w:rPr/>
        <w:t>its</w:t>
      </w:r>
      <w:r>
        <w:rPr>
          <w:spacing w:val="-23"/>
        </w:rPr>
        <w:t> </w:t>
      </w:r>
      <w:r>
        <w:rPr/>
        <w:t>related</w:t>
      </w:r>
      <w:r>
        <w:rPr>
          <w:spacing w:val="-23"/>
        </w:rPr>
        <w:t> </w:t>
      </w:r>
      <w:r>
        <w:rPr/>
        <w:t>entities.</w:t>
      </w:r>
    </w:p>
    <w:p>
      <w:pPr>
        <w:pStyle w:val="BodyText"/>
        <w:rPr>
          <w:sz w:val="14"/>
        </w:rPr>
      </w:pPr>
    </w:p>
    <w:p>
      <w:pPr>
        <w:pStyle w:val="BodyText"/>
        <w:spacing w:line="249" w:lineRule="auto"/>
        <w:ind w:left="107" w:right="316"/>
      </w:pPr>
      <w:r>
        <w:rPr/>
        <w:t>The Register consolidates the identified risks</w:t>
      </w:r>
      <w:r>
        <w:rPr>
          <w:spacing w:val="-16"/>
        </w:rPr>
        <w:t> </w:t>
      </w:r>
      <w:r>
        <w:rPr/>
        <w:t>and</w:t>
      </w:r>
      <w:r>
        <w:rPr>
          <w:spacing w:val="-16"/>
        </w:rPr>
        <w:t> </w:t>
      </w:r>
      <w:r>
        <w:rPr/>
        <w:t>the</w:t>
      </w:r>
      <w:r>
        <w:rPr>
          <w:spacing w:val="-16"/>
        </w:rPr>
        <w:t> </w:t>
      </w:r>
      <w:r>
        <w:rPr/>
        <w:t>actions</w:t>
      </w:r>
      <w:r>
        <w:rPr>
          <w:spacing w:val="-16"/>
        </w:rPr>
        <w:t> </w:t>
      </w:r>
      <w:r>
        <w:rPr/>
        <w:t>taken</w:t>
      </w:r>
      <w:r>
        <w:rPr>
          <w:spacing w:val="-16"/>
        </w:rPr>
        <w:t> </w:t>
      </w:r>
      <w:r>
        <w:rPr/>
        <w:t>to</w:t>
      </w:r>
      <w:r>
        <w:rPr>
          <w:spacing w:val="-16"/>
        </w:rPr>
        <w:t> </w:t>
      </w:r>
      <w:r>
        <w:rPr/>
        <w:t>address</w:t>
      </w:r>
      <w:r>
        <w:rPr>
          <w:spacing w:val="-16"/>
        </w:rPr>
        <w:t> </w:t>
      </w:r>
      <w:r>
        <w:rPr/>
        <w:t>them according to their likelihood (probability of occurrence) and consequence (magnitude of</w:t>
      </w:r>
      <w:r>
        <w:rPr>
          <w:spacing w:val="-18"/>
        </w:rPr>
        <w:t> </w:t>
      </w:r>
      <w:r>
        <w:rPr/>
        <w:t>impact).</w:t>
      </w:r>
      <w:r>
        <w:rPr>
          <w:spacing w:val="-18"/>
        </w:rPr>
        <w:t> </w:t>
      </w:r>
      <w:r>
        <w:rPr/>
        <w:t>It</w:t>
      </w:r>
      <w:r>
        <w:rPr>
          <w:spacing w:val="-18"/>
        </w:rPr>
        <w:t> </w:t>
      </w:r>
      <w:r>
        <w:rPr/>
        <w:t>also</w:t>
      </w:r>
      <w:r>
        <w:rPr>
          <w:spacing w:val="-18"/>
        </w:rPr>
        <w:t> </w:t>
      </w:r>
      <w:r>
        <w:rPr/>
        <w:t>helps</w:t>
      </w:r>
      <w:r>
        <w:rPr>
          <w:spacing w:val="-18"/>
        </w:rPr>
        <w:t> </w:t>
      </w:r>
      <w:r>
        <w:rPr/>
        <w:t>to</w:t>
      </w:r>
      <w:r>
        <w:rPr>
          <w:spacing w:val="-18"/>
        </w:rPr>
        <w:t> </w:t>
      </w:r>
      <w:r>
        <w:rPr/>
        <w:t>avoid</w:t>
      </w:r>
      <w:r>
        <w:rPr>
          <w:spacing w:val="-18"/>
        </w:rPr>
        <w:t> </w:t>
      </w:r>
      <w:r>
        <w:rPr/>
        <w:t>duplicated</w:t>
      </w:r>
    </w:p>
    <w:p>
      <w:pPr>
        <w:pStyle w:val="BodyText"/>
        <w:spacing w:line="249" w:lineRule="auto"/>
        <w:ind w:left="107" w:right="205"/>
        <w:jc w:val="both"/>
      </w:pPr>
      <w:r>
        <w:rPr/>
        <w:t>efforts</w:t>
      </w:r>
      <w:r>
        <w:rPr>
          <w:spacing w:val="-18"/>
        </w:rPr>
        <w:t> </w:t>
      </w:r>
      <w:r>
        <w:rPr/>
        <w:t>to</w:t>
      </w:r>
      <w:r>
        <w:rPr>
          <w:spacing w:val="-18"/>
        </w:rPr>
        <w:t> </w:t>
      </w:r>
      <w:r>
        <w:rPr/>
        <w:t>address</w:t>
      </w:r>
      <w:r>
        <w:rPr>
          <w:spacing w:val="-18"/>
        </w:rPr>
        <w:t> </w:t>
      </w:r>
      <w:r>
        <w:rPr/>
        <w:t>risk,</w:t>
      </w:r>
      <w:r>
        <w:rPr>
          <w:spacing w:val="-18"/>
        </w:rPr>
        <w:t> </w:t>
      </w:r>
      <w:r>
        <w:rPr/>
        <w:t>and</w:t>
      </w:r>
      <w:r>
        <w:rPr>
          <w:spacing w:val="-18"/>
        </w:rPr>
        <w:t> </w:t>
      </w:r>
      <w:r>
        <w:rPr/>
        <w:t>to</w:t>
      </w:r>
      <w:r>
        <w:rPr>
          <w:spacing w:val="-18"/>
        </w:rPr>
        <w:t> </w:t>
      </w:r>
      <w:r>
        <w:rPr/>
        <w:t>ensure</w:t>
      </w:r>
      <w:r>
        <w:rPr>
          <w:spacing w:val="-18"/>
        </w:rPr>
        <w:t> </w:t>
      </w:r>
      <w:r>
        <w:rPr/>
        <w:t>that</w:t>
      </w:r>
      <w:r>
        <w:rPr>
          <w:spacing w:val="-18"/>
        </w:rPr>
        <w:t> </w:t>
      </w:r>
      <w:r>
        <w:rPr/>
        <w:t>risk responses</w:t>
      </w:r>
      <w:r>
        <w:rPr>
          <w:spacing w:val="-17"/>
        </w:rPr>
        <w:t> </w:t>
      </w:r>
      <w:r>
        <w:rPr/>
        <w:t>are</w:t>
      </w:r>
      <w:r>
        <w:rPr>
          <w:spacing w:val="-17"/>
        </w:rPr>
        <w:t> </w:t>
      </w:r>
      <w:r>
        <w:rPr/>
        <w:t>integrated</w:t>
      </w:r>
      <w:r>
        <w:rPr>
          <w:spacing w:val="-17"/>
        </w:rPr>
        <w:t> </w:t>
      </w:r>
      <w:r>
        <w:rPr/>
        <w:t>and</w:t>
      </w:r>
      <w:r>
        <w:rPr>
          <w:spacing w:val="-17"/>
        </w:rPr>
        <w:t> </w:t>
      </w:r>
      <w:r>
        <w:rPr/>
        <w:t>focused</w:t>
      </w:r>
      <w:r>
        <w:rPr>
          <w:spacing w:val="-17"/>
        </w:rPr>
        <w:t> </w:t>
      </w:r>
      <w:r>
        <w:rPr/>
        <w:t>where they</w:t>
      </w:r>
      <w:r>
        <w:rPr>
          <w:spacing w:val="-24"/>
        </w:rPr>
        <w:t> </w:t>
      </w:r>
      <w:r>
        <w:rPr/>
        <w:t>are</w:t>
      </w:r>
      <w:r>
        <w:rPr>
          <w:spacing w:val="-24"/>
        </w:rPr>
        <w:t> </w:t>
      </w:r>
      <w:r>
        <w:rPr/>
        <w:t>most</w:t>
      </w:r>
      <w:r>
        <w:rPr>
          <w:spacing w:val="-24"/>
        </w:rPr>
        <w:t> </w:t>
      </w:r>
      <w:r>
        <w:rPr>
          <w:spacing w:val="2"/>
        </w:rPr>
        <w:t>needed.</w:t>
      </w:r>
    </w:p>
    <w:p>
      <w:pPr>
        <w:pStyle w:val="BodyText"/>
        <w:rPr>
          <w:sz w:val="14"/>
        </w:rPr>
      </w:pPr>
    </w:p>
    <w:p>
      <w:pPr>
        <w:pStyle w:val="BodyText"/>
        <w:spacing w:line="249" w:lineRule="auto"/>
        <w:ind w:left="107" w:right="-1"/>
      </w:pPr>
      <w:r>
        <w:rPr/>
        <w:t>This</w:t>
      </w:r>
      <w:r>
        <w:rPr>
          <w:spacing w:val="-17"/>
        </w:rPr>
        <w:t> </w:t>
      </w:r>
      <w:r>
        <w:rPr/>
        <w:t>work</w:t>
      </w:r>
      <w:r>
        <w:rPr>
          <w:spacing w:val="-17"/>
        </w:rPr>
        <w:t> </w:t>
      </w:r>
      <w:r>
        <w:rPr/>
        <w:t>is</w:t>
      </w:r>
      <w:r>
        <w:rPr>
          <w:spacing w:val="-17"/>
        </w:rPr>
        <w:t> </w:t>
      </w:r>
      <w:r>
        <w:rPr/>
        <w:t>based</w:t>
      </w:r>
      <w:r>
        <w:rPr>
          <w:spacing w:val="-17"/>
        </w:rPr>
        <w:t> </w:t>
      </w:r>
      <w:r>
        <w:rPr/>
        <w:t>on</w:t>
      </w:r>
      <w:r>
        <w:rPr>
          <w:spacing w:val="-17"/>
        </w:rPr>
        <w:t> </w:t>
      </w:r>
      <w:r>
        <w:rPr/>
        <w:t>a</w:t>
      </w:r>
      <w:r>
        <w:rPr>
          <w:spacing w:val="-17"/>
        </w:rPr>
        <w:t> </w:t>
      </w:r>
      <w:r>
        <w:rPr/>
        <w:t>structured</w:t>
      </w:r>
      <w:r>
        <w:rPr>
          <w:spacing w:val="-17"/>
        </w:rPr>
        <w:t> </w:t>
      </w:r>
      <w:r>
        <w:rPr/>
        <w:t>framework, the</w:t>
      </w:r>
      <w:r>
        <w:rPr>
          <w:spacing w:val="-19"/>
        </w:rPr>
        <w:t> </w:t>
      </w:r>
      <w:r>
        <w:rPr/>
        <w:t>elements</w:t>
      </w:r>
      <w:r>
        <w:rPr>
          <w:spacing w:val="-19"/>
        </w:rPr>
        <w:t> </w:t>
      </w:r>
      <w:r>
        <w:rPr/>
        <w:t>of</w:t>
      </w:r>
      <w:r>
        <w:rPr>
          <w:spacing w:val="-19"/>
        </w:rPr>
        <w:t> </w:t>
      </w:r>
      <w:r>
        <w:rPr/>
        <w:t>which</w:t>
      </w:r>
      <w:r>
        <w:rPr>
          <w:spacing w:val="-19"/>
        </w:rPr>
        <w:t> </w:t>
      </w:r>
      <w:r>
        <w:rPr/>
        <w:t>are</w:t>
      </w:r>
      <w:r>
        <w:rPr>
          <w:spacing w:val="-19"/>
        </w:rPr>
        <w:t> </w:t>
      </w:r>
      <w:r>
        <w:rPr/>
        <w:t>summarised</w:t>
      </w:r>
      <w:r>
        <w:rPr>
          <w:spacing w:val="-19"/>
        </w:rPr>
        <w:t> </w:t>
      </w:r>
      <w:r>
        <w:rPr/>
        <w:t>in</w:t>
      </w:r>
    </w:p>
    <w:p>
      <w:pPr>
        <w:pStyle w:val="BodyText"/>
        <w:spacing w:line="249" w:lineRule="auto"/>
        <w:ind w:left="107" w:right="151"/>
      </w:pPr>
      <w:r>
        <w:rPr/>
        <w:t>the Risk Management Framework diagram below.</w:t>
      </w:r>
      <w:r>
        <w:rPr>
          <w:spacing w:val="-21"/>
        </w:rPr>
        <w:t> </w:t>
      </w:r>
      <w:r>
        <w:rPr/>
        <w:t>Implementation</w:t>
      </w:r>
      <w:r>
        <w:rPr>
          <w:spacing w:val="-21"/>
        </w:rPr>
        <w:t> </w:t>
      </w:r>
      <w:r>
        <w:rPr/>
        <w:t>of</w:t>
      </w:r>
      <w:r>
        <w:rPr>
          <w:spacing w:val="-21"/>
        </w:rPr>
        <w:t> </w:t>
      </w:r>
      <w:r>
        <w:rPr/>
        <w:t>the</w:t>
      </w:r>
      <w:r>
        <w:rPr>
          <w:spacing w:val="-21"/>
        </w:rPr>
        <w:t> </w:t>
      </w:r>
      <w:r>
        <w:rPr/>
        <w:t>framework</w:t>
      </w:r>
      <w:r>
        <w:rPr>
          <w:spacing w:val="-21"/>
        </w:rPr>
        <w:t> </w:t>
      </w:r>
      <w:r>
        <w:rPr/>
        <w:t>is</w:t>
      </w:r>
      <w:r>
        <w:rPr>
          <w:spacing w:val="-21"/>
        </w:rPr>
        <w:t> </w:t>
      </w:r>
      <w:r>
        <w:rPr/>
        <w:t>an ongoing</w:t>
      </w:r>
      <w:r>
        <w:rPr>
          <w:spacing w:val="-15"/>
        </w:rPr>
        <w:t> </w:t>
      </w:r>
      <w:r>
        <w:rPr/>
        <w:t>process</w:t>
      </w:r>
      <w:r>
        <w:rPr>
          <w:spacing w:val="-15"/>
        </w:rPr>
        <w:t> </w:t>
      </w:r>
      <w:r>
        <w:rPr/>
        <w:t>that</w:t>
      </w:r>
      <w:r>
        <w:rPr>
          <w:spacing w:val="-15"/>
        </w:rPr>
        <w:t> </w:t>
      </w:r>
      <w:r>
        <w:rPr/>
        <w:t>involves</w:t>
      </w:r>
      <w:r>
        <w:rPr>
          <w:spacing w:val="-15"/>
        </w:rPr>
        <w:t> </w:t>
      </w:r>
      <w:r>
        <w:rPr/>
        <w:t>cultural</w:t>
      </w:r>
      <w:r>
        <w:rPr>
          <w:spacing w:val="-15"/>
        </w:rPr>
        <w:t> </w:t>
      </w:r>
      <w:r>
        <w:rPr/>
        <w:t>change and the gradual evolution of the University’s risk</w:t>
      </w:r>
      <w:r>
        <w:rPr>
          <w:spacing w:val="-23"/>
        </w:rPr>
        <w:t> </w:t>
      </w:r>
      <w:r>
        <w:rPr/>
        <w:t>management</w:t>
      </w:r>
      <w:r>
        <w:rPr>
          <w:spacing w:val="-23"/>
        </w:rPr>
        <w:t> </w:t>
      </w:r>
      <w:r>
        <w:rPr/>
        <w:t>practices.</w:t>
      </w:r>
    </w:p>
    <w:p>
      <w:pPr>
        <w:pStyle w:val="BodyText"/>
        <w:rPr>
          <w:sz w:val="14"/>
        </w:rPr>
      </w:pPr>
    </w:p>
    <w:p>
      <w:pPr>
        <w:pStyle w:val="BodyText"/>
        <w:spacing w:line="249" w:lineRule="auto"/>
        <w:ind w:left="107" w:right="200"/>
      </w:pPr>
      <w:r>
        <w:rPr/>
        <w:t>The Audit and Risk Management Committee advises</w:t>
      </w:r>
      <w:r>
        <w:rPr>
          <w:spacing w:val="-17"/>
        </w:rPr>
        <w:t> </w:t>
      </w:r>
      <w:r>
        <w:rPr/>
        <w:t>and</w:t>
      </w:r>
      <w:r>
        <w:rPr>
          <w:spacing w:val="-17"/>
        </w:rPr>
        <w:t> </w:t>
      </w:r>
      <w:r>
        <w:rPr/>
        <w:t>informs</w:t>
      </w:r>
      <w:r>
        <w:rPr>
          <w:spacing w:val="-17"/>
        </w:rPr>
        <w:t> </w:t>
      </w:r>
      <w:r>
        <w:rPr/>
        <w:t>the</w:t>
      </w:r>
      <w:r>
        <w:rPr>
          <w:spacing w:val="-17"/>
        </w:rPr>
        <w:t> </w:t>
      </w:r>
      <w:r>
        <w:rPr/>
        <w:t>Board</w:t>
      </w:r>
      <w:r>
        <w:rPr>
          <w:spacing w:val="-17"/>
        </w:rPr>
        <w:t> </w:t>
      </w:r>
      <w:r>
        <w:rPr/>
        <w:t>of</w:t>
      </w:r>
      <w:r>
        <w:rPr>
          <w:spacing w:val="-17"/>
        </w:rPr>
        <w:t> </w:t>
      </w:r>
      <w:r>
        <w:rPr/>
        <w:t>Trustees</w:t>
      </w:r>
      <w:r>
        <w:rPr>
          <w:spacing w:val="-17"/>
        </w:rPr>
        <w:t> </w:t>
      </w:r>
      <w:r>
        <w:rPr/>
        <w:t>on high-risk</w:t>
      </w:r>
      <w:r>
        <w:rPr>
          <w:spacing w:val="-17"/>
        </w:rPr>
        <w:t> </w:t>
      </w:r>
      <w:r>
        <w:rPr/>
        <w:t>activities</w:t>
      </w:r>
      <w:r>
        <w:rPr>
          <w:spacing w:val="-17"/>
        </w:rPr>
        <w:t> </w:t>
      </w:r>
      <w:r>
        <w:rPr/>
        <w:t>and</w:t>
      </w:r>
      <w:r>
        <w:rPr>
          <w:spacing w:val="-17"/>
        </w:rPr>
        <w:t> </w:t>
      </w:r>
      <w:r>
        <w:rPr/>
        <w:t>events,</w:t>
      </w:r>
      <w:r>
        <w:rPr>
          <w:spacing w:val="-17"/>
        </w:rPr>
        <w:t> </w:t>
      </w:r>
      <w:r>
        <w:rPr/>
        <w:t>including</w:t>
      </w:r>
      <w:r>
        <w:rPr>
          <w:spacing w:val="-17"/>
        </w:rPr>
        <w:t> </w:t>
      </w:r>
      <w:r>
        <w:rPr/>
        <w:t>new and emerging risks. The risk management program is subject to an independent peer review</w:t>
      </w:r>
      <w:r>
        <w:rPr>
          <w:spacing w:val="-16"/>
        </w:rPr>
        <w:t> </w:t>
      </w:r>
      <w:r>
        <w:rPr/>
        <w:t>at</w:t>
      </w:r>
      <w:r>
        <w:rPr>
          <w:spacing w:val="-16"/>
        </w:rPr>
        <w:t> </w:t>
      </w:r>
      <w:r>
        <w:rPr/>
        <w:t>least</w:t>
      </w:r>
      <w:r>
        <w:rPr>
          <w:spacing w:val="-16"/>
        </w:rPr>
        <w:t> </w:t>
      </w:r>
      <w:r>
        <w:rPr/>
        <w:t>every</w:t>
      </w:r>
      <w:r>
        <w:rPr>
          <w:spacing w:val="-16"/>
        </w:rPr>
        <w:t> </w:t>
      </w:r>
      <w:r>
        <w:rPr/>
        <w:t>five</w:t>
      </w:r>
      <w:r>
        <w:rPr>
          <w:spacing w:val="-16"/>
        </w:rPr>
        <w:t> </w:t>
      </w:r>
      <w:r>
        <w:rPr/>
        <w:t>years</w:t>
      </w:r>
      <w:r>
        <w:rPr>
          <w:spacing w:val="-16"/>
        </w:rPr>
        <w:t> </w:t>
      </w:r>
      <w:r>
        <w:rPr/>
        <w:t>as</w:t>
      </w:r>
      <w:r>
        <w:rPr>
          <w:spacing w:val="-16"/>
        </w:rPr>
        <w:t> </w:t>
      </w:r>
      <w:r>
        <w:rPr>
          <w:spacing w:val="2"/>
        </w:rPr>
        <w:t>part</w:t>
      </w:r>
      <w:r>
        <w:rPr>
          <w:spacing w:val="-16"/>
        </w:rPr>
        <w:t> </w:t>
      </w:r>
      <w:r>
        <w:rPr/>
        <w:t>of</w:t>
      </w:r>
      <w:r>
        <w:rPr>
          <w:spacing w:val="-16"/>
        </w:rPr>
        <w:t> </w:t>
      </w:r>
      <w:r>
        <w:rPr/>
        <w:t>the Office</w:t>
      </w:r>
      <w:r>
        <w:rPr>
          <w:spacing w:val="-10"/>
        </w:rPr>
        <w:t> </w:t>
      </w:r>
      <w:r>
        <w:rPr/>
        <w:t>of</w:t>
      </w:r>
      <w:r>
        <w:rPr>
          <w:spacing w:val="-10"/>
        </w:rPr>
        <w:t> </w:t>
      </w:r>
      <w:r>
        <w:rPr/>
        <w:t>Audit</w:t>
      </w:r>
      <w:r>
        <w:rPr>
          <w:spacing w:val="-10"/>
        </w:rPr>
        <w:t> </w:t>
      </w:r>
      <w:r>
        <w:rPr/>
        <w:t>and</w:t>
      </w:r>
      <w:r>
        <w:rPr>
          <w:spacing w:val="-10"/>
        </w:rPr>
        <w:t> </w:t>
      </w:r>
      <w:r>
        <w:rPr/>
        <w:t>Risk</w:t>
      </w:r>
      <w:r>
        <w:rPr>
          <w:spacing w:val="-10"/>
        </w:rPr>
        <w:t> </w:t>
      </w:r>
      <w:r>
        <w:rPr/>
        <w:t>Assessment’s</w:t>
      </w:r>
      <w:r>
        <w:rPr>
          <w:spacing w:val="-10"/>
        </w:rPr>
        <w:t> </w:t>
      </w:r>
      <w:r>
        <w:rPr/>
        <w:t>quality improvement</w:t>
      </w:r>
      <w:r>
        <w:rPr>
          <w:spacing w:val="-28"/>
        </w:rPr>
        <w:t> </w:t>
      </w:r>
      <w:r>
        <w:rPr/>
        <w:t>program.</w:t>
      </w:r>
    </w:p>
    <w:p>
      <w:pPr>
        <w:spacing w:after="0" w:line="249" w:lineRule="auto"/>
        <w:sectPr>
          <w:type w:val="continuous"/>
          <w:pgSz w:w="11910" w:h="16840"/>
          <w:pgMar w:top="1580" w:bottom="280" w:left="800" w:right="800"/>
          <w:cols w:num="3" w:equalWidth="0">
            <w:col w:w="3298" w:space="142"/>
            <w:col w:w="3284" w:space="155"/>
            <w:col w:w="3431"/>
          </w:cols>
        </w:sectPr>
      </w:pPr>
    </w:p>
    <w:p>
      <w:pPr>
        <w:pStyle w:val="BodyText"/>
        <w:spacing w:before="6"/>
        <w:rPr>
          <w:sz w:val="28"/>
        </w:rPr>
      </w:pPr>
    </w:p>
    <w:p>
      <w:pPr>
        <w:spacing w:line="420" w:lineRule="exact" w:before="78"/>
        <w:ind w:left="907" w:right="4353" w:firstLine="0"/>
        <w:jc w:val="left"/>
        <w:rPr>
          <w:rFonts w:ascii="Gotham Narrow Bold"/>
          <w:b/>
          <w:sz w:val="40"/>
        </w:rPr>
      </w:pPr>
      <w:r>
        <w:rPr/>
        <w:pict>
          <v:shape style="position:absolute;margin-left:260.450989pt;margin-top:48.544083pt;width:82.2pt;height:32.75pt;mso-position-horizontal-relative:page;mso-position-vertical-relative:paragraph;z-index:2008;mso-wrap-distance-left:0;mso-wrap-distance-right:0" type="#_x0000_t202" filled="true" fillcolor="#e9e9e9" stroked="true" strokeweight=".5pt" strokecolor="#a9a8a6">
            <v:textbox inset="0,0,0,0">
              <w:txbxContent>
                <w:p>
                  <w:pPr>
                    <w:spacing w:line="249" w:lineRule="auto" w:before="132"/>
                    <w:ind w:left="223" w:right="16" w:hanging="63"/>
                    <w:jc w:val="left"/>
                    <w:rPr>
                      <w:rFonts w:ascii="Gotham Narrow Bold"/>
                      <w:b/>
                      <w:sz w:val="16"/>
                    </w:rPr>
                  </w:pPr>
                  <w:r>
                    <w:rPr>
                      <w:rFonts w:ascii="Gotham Narrow Bold"/>
                      <w:b/>
                      <w:w w:val="95"/>
                      <w:sz w:val="16"/>
                    </w:rPr>
                    <w:t>MANAGING RISKS AND CONTROLS</w:t>
                  </w:r>
                </w:p>
              </w:txbxContent>
            </v:textbox>
            <v:fill type="solid"/>
            <w10:wrap type="topAndBottom"/>
          </v:shape>
        </w:pict>
      </w:r>
      <w:r>
        <w:rPr/>
        <w:pict>
          <v:shape style="position:absolute;margin-left:284.693298pt;margin-top:96.278099pt;width:14.85pt;height:20.75pt;mso-position-horizontal-relative:page;mso-position-vertical-relative:paragraph;z-index:2032;mso-wrap-distance-left:0;mso-wrap-distance-right:0" type="#_x0000_t202" filled="false" stroked="false">
            <v:textbox inset="0,0,0,0">
              <w:txbxContent>
                <w:p>
                  <w:pPr>
                    <w:spacing w:line="404" w:lineRule="exact" w:before="0"/>
                    <w:ind w:left="20" w:right="0" w:firstLine="0"/>
                    <w:jc w:val="left"/>
                    <w:rPr>
                      <w:sz w:val="37"/>
                    </w:rPr>
                  </w:pPr>
                  <w:r>
                    <w:rPr>
                      <w:w w:val="101"/>
                      <w:sz w:val="37"/>
                    </w:rPr>
                    <w:t>N</w:t>
                  </w:r>
                </w:p>
              </w:txbxContent>
            </v:textbox>
            <w10:wrap type="topAndBottom"/>
          </v:shape>
        </w:pict>
      </w:r>
      <w:r>
        <w:rPr>
          <w:rFonts w:ascii="Gotham Narrow Bold"/>
          <w:b/>
          <w:w w:val="95"/>
          <w:sz w:val="40"/>
        </w:rPr>
        <w:t>RISK MANAGEMENT </w:t>
      </w:r>
      <w:r>
        <w:rPr>
          <w:rFonts w:ascii="Gotham Narrow Bold"/>
          <w:b/>
          <w:sz w:val="40"/>
        </w:rPr>
        <w:t>FRAMEWORK</w:t>
      </w:r>
    </w:p>
    <w:p>
      <w:pPr>
        <w:pStyle w:val="BodyText"/>
        <w:spacing w:before="2"/>
        <w:rPr>
          <w:rFonts w:ascii="Gotham Narrow Bold"/>
          <w:b/>
          <w:sz w:val="20"/>
        </w:rPr>
      </w:pPr>
    </w:p>
    <w:p>
      <w:pPr>
        <w:pStyle w:val="BodyText"/>
        <w:rPr>
          <w:rFonts w:ascii="Gotham Narrow Bold"/>
          <w:b/>
          <w:sz w:val="18"/>
        </w:rPr>
      </w:pPr>
    </w:p>
    <w:p>
      <w:pPr>
        <w:pStyle w:val="ListParagraph"/>
        <w:numPr>
          <w:ilvl w:val="0"/>
          <w:numId w:val="3"/>
        </w:numPr>
        <w:tabs>
          <w:tab w:pos="5521" w:val="left" w:leader="none"/>
        </w:tabs>
        <w:spacing w:line="240" w:lineRule="auto" w:before="59" w:after="0"/>
        <w:ind w:left="5520" w:right="0" w:hanging="189"/>
        <w:jc w:val="left"/>
        <w:rPr>
          <w:rFonts w:ascii="Gotham Narrow Bold"/>
          <w:b/>
          <w:sz w:val="24"/>
        </w:rPr>
      </w:pPr>
      <w:r>
        <w:rPr/>
        <w:pict>
          <v:shape style="position:absolute;margin-left:85.773003pt;margin-top:6.992305pt;width:82.2pt;height:32.75pt;mso-position-horizontal-relative:page;mso-position-vertical-relative:paragraph;z-index:2080" type="#_x0000_t202" filled="true" fillcolor="#e9e9e9" stroked="true" strokeweight=".5pt" strokecolor="#a9a8a6">
            <v:textbox inset="0,0,0,0">
              <w:txbxContent>
                <w:p>
                  <w:pPr>
                    <w:pStyle w:val="BodyText"/>
                    <w:spacing w:before="3"/>
                    <w:rPr>
                      <w:sz w:val="19"/>
                    </w:rPr>
                  </w:pPr>
                </w:p>
                <w:p>
                  <w:pPr>
                    <w:spacing w:before="0"/>
                    <w:ind w:left="95" w:right="16" w:firstLine="0"/>
                    <w:jc w:val="left"/>
                    <w:rPr>
                      <w:rFonts w:ascii="Gotham Narrow Bold"/>
                      <w:b/>
                      <w:sz w:val="16"/>
                    </w:rPr>
                  </w:pPr>
                  <w:r>
                    <w:rPr>
                      <w:rFonts w:ascii="Gotham Narrow Bold"/>
                      <w:b/>
                      <w:w w:val="95"/>
                      <w:sz w:val="16"/>
                    </w:rPr>
                    <w:t>RISK GOVERNANCE</w:t>
                  </w:r>
                </w:p>
              </w:txbxContent>
            </v:textbox>
            <v:fill type="solid"/>
            <w10:wrap type="none"/>
          </v:shape>
        </w:pict>
      </w:r>
      <w:r>
        <w:rPr/>
        <w:pict>
          <v:shape style="position:absolute;margin-left:431.274994pt;margin-top:6.992305pt;width:82.2pt;height:32.75pt;mso-position-horizontal-relative:page;mso-position-vertical-relative:paragraph;z-index:2104" type="#_x0000_t202" filled="true" fillcolor="#e9e9e9" stroked="true" strokeweight=".5pt" strokecolor="#a9a8a6">
            <v:textbox inset="0,0,0,0">
              <w:txbxContent>
                <w:p>
                  <w:pPr>
                    <w:spacing w:line="249" w:lineRule="auto" w:before="132"/>
                    <w:ind w:left="151" w:right="16" w:firstLine="171"/>
                    <w:jc w:val="left"/>
                    <w:rPr>
                      <w:rFonts w:ascii="Gotham Narrow Bold"/>
                      <w:b/>
                      <w:sz w:val="16"/>
                    </w:rPr>
                  </w:pPr>
                  <w:r>
                    <w:rPr>
                      <w:rFonts w:ascii="Gotham Narrow Bold"/>
                      <w:b/>
                      <w:sz w:val="16"/>
                    </w:rPr>
                    <w:t>MONITORING </w:t>
                  </w:r>
                  <w:r>
                    <w:rPr>
                      <w:rFonts w:ascii="Gotham Narrow Bold"/>
                      <w:b/>
                      <w:w w:val="95"/>
                      <w:sz w:val="16"/>
                    </w:rPr>
                    <w:t>AND EVALUATION</w:t>
                  </w:r>
                </w:p>
              </w:txbxContent>
            </v:textbox>
            <v:fill type="solid"/>
            <w10:wrap type="none"/>
          </v:shape>
        </w:pict>
      </w:r>
      <w:r>
        <w:rPr/>
        <w:pict>
          <v:shape style="position:absolute;margin-left:301.775848pt;margin-top:-31.0728pt;width:4.8pt;height:18.6pt;mso-position-horizontal-relative:page;mso-position-vertical-relative:paragraph;z-index:2224;rotation:2" type="#_x0000_t136" fillcolor="#000000" stroked="f">
            <o:extrusion v:ext="view" autorotationcenter="t"/>
            <v:textpath style="font-family:&amp;quot;Tahoma&amp;quot;;font-size:18pt;v-text-kern:t;mso-text-shadow:auto" string="I"/>
            <w10:wrap type="none"/>
          </v:shape>
        </w:pict>
      </w:r>
      <w:r>
        <w:rPr/>
        <w:pict>
          <v:shape style="position:absolute;margin-left:309.919495pt;margin-top:-30.099529pt;width:11.6pt;height:18.6pt;mso-position-horizontal-relative:page;mso-position-vertical-relative:paragraph;z-index:2272;rotation:7" type="#_x0000_t136" fillcolor="#000000" stroked="f">
            <o:extrusion v:ext="view" autorotationcenter="t"/>
            <v:textpath style="font-family:&amp;quot;Tahoma&amp;quot;;font-size:18pt;v-text-kern:t;mso-text-shadow:auto" string="C"/>
            <w10:wrap type="none"/>
          </v:shape>
        </w:pict>
      </w:r>
      <w:r>
        <w:rPr/>
        <w:pict>
          <v:shape style="position:absolute;margin-left:324.684845pt;margin-top:-27.455597pt;width:12.7pt;height:18.6pt;mso-position-horizontal-relative:page;mso-position-vertical-relative:paragraph;z-index:2320;rotation:12" type="#_x0000_t136" fillcolor="#000000" stroked="f">
            <o:extrusion v:ext="view" autorotationcenter="t"/>
            <v:textpath style="font-family:&amp;quot;Tahoma&amp;quot;;font-size:18pt;v-text-kern:t;mso-text-shadow:auto" string="A"/>
            <w10:wrap type="none"/>
          </v:shape>
        </w:pict>
      </w:r>
      <w:r>
        <w:rPr/>
        <w:pict>
          <v:shape style="position:absolute;margin-left:339.073486pt;margin-top:-23.970808pt;width:10.15pt;height:18.6pt;mso-position-horizontal-relative:page;mso-position-vertical-relative:paragraph;z-index:2368;rotation:17" type="#_x0000_t136" fillcolor="#000000" stroked="f">
            <o:extrusion v:ext="view" autorotationcenter="t"/>
            <v:textpath style="font-family:&amp;quot;Tahoma&amp;quot;;font-size:18pt;v-text-kern:t;mso-text-shadow:auto" string="T"/>
            <w10:wrap type="none"/>
          </v:shape>
        </w:pict>
      </w:r>
      <w:r>
        <w:rPr/>
        <w:pict>
          <v:shape style="position:absolute;margin-left:352.095886pt;margin-top:-20.4575pt;width:4.55pt;height:18.6pt;mso-position-horizontal-relative:page;mso-position-vertical-relative:paragraph;z-index:2416;rotation:21" type="#_x0000_t136" fillcolor="#000000" stroked="f">
            <o:extrusion v:ext="view" autorotationcenter="t"/>
            <v:textpath style="font-family:&amp;quot;Tahoma&amp;quot;;font-size:18pt;v-text-kern:t;mso-text-shadow:auto" string="I"/>
            <w10:wrap type="none"/>
          </v:shape>
        </w:pict>
      </w:r>
      <w:r>
        <w:rPr/>
        <w:pict>
          <v:shape style="position:absolute;margin-left:359.049561pt;margin-top:-15.665402pt;width:13.6pt;height:18.6pt;mso-position-horizontal-relative:page;mso-position-vertical-relative:paragraph;z-index:2464;rotation:24" type="#_x0000_t136" fillcolor="#000000" stroked="f">
            <o:extrusion v:ext="view" autorotationcenter="t"/>
            <v:textpath style="font-family:&amp;quot;Tahoma&amp;quot;;font-size:18pt;v-text-kern:t;mso-text-shadow:auto" string="O"/>
            <w10:wrap type="none"/>
          </v:shape>
        </w:pict>
      </w:r>
      <w:r>
        <w:rPr/>
        <w:pict>
          <v:shape style="position:absolute;margin-left:374.200104pt;margin-top:-8.152142pt;width:12.75pt;height:18.6pt;mso-position-horizontal-relative:page;mso-position-vertical-relative:paragraph;z-index:2488;rotation:29" type="#_x0000_t136" fillcolor="#000000" stroked="f">
            <o:extrusion v:ext="view" autorotationcenter="t"/>
            <v:textpath style="font-family:&amp;quot;Tahoma&amp;quot;;font-size:18pt;v-text-kern:t;mso-text-shadow:auto" string="N"/>
            <w10:wrap type="none"/>
          </v:shape>
        </w:pict>
      </w:r>
      <w:r>
        <w:rPr/>
        <w:pict>
          <v:shape style="position:absolute;margin-left:206.822083pt;margin-top:-8.244186pt;width:11.7pt;height:18.6pt;mso-position-horizontal-relative:page;mso-position-vertical-relative:paragraph;z-index:2512;rotation:332" type="#_x0000_t136" fillcolor="#000000" stroked="f">
            <o:extrusion v:ext="view" autorotationcenter="t"/>
            <v:textpath style="font-family:&amp;quot;Tahoma&amp;quot;;font-size:18pt;v-text-kern:t;mso-text-shadow:auto" string="C"/>
            <w10:wrap type="none"/>
          </v:shape>
        </w:pict>
      </w:r>
      <w:r>
        <w:rPr/>
        <w:pict>
          <v:shape style="position:absolute;margin-left:219.770172pt;margin-top:-15.323159pt;width:13.45pt;height:18.6pt;mso-position-horizontal-relative:page;mso-position-vertical-relative:paragraph;z-index:2536;rotation:336" type="#_x0000_t136" fillcolor="#000000" stroked="f">
            <o:extrusion v:ext="view" autorotationcenter="t"/>
            <v:textpath style="font-family:&amp;quot;Tahoma&amp;quot;;font-size:18pt;v-text-kern:t;mso-text-shadow:auto" string="O"/>
            <w10:wrap type="none"/>
          </v:shape>
        </w:pict>
      </w:r>
      <w:r>
        <w:rPr/>
        <w:pict>
          <v:shape style="position:absolute;margin-left:235.433502pt;margin-top:-21.836985pt;width:14.25pt;height:18.6pt;mso-position-horizontal-relative:page;mso-position-vertical-relative:paragraph;z-index:2608;rotation:342" type="#_x0000_t136" fillcolor="#000000" stroked="f">
            <o:extrusion v:ext="view" autorotationcenter="t"/>
            <v:textpath style="font-family:&amp;quot;Tahoma&amp;quot;;font-size:18pt;v-text-kern:t;mso-text-shadow:auto" string="M"/>
            <w10:wrap type="none"/>
          </v:shape>
        </w:pict>
      </w:r>
      <w:r>
        <w:rPr/>
        <w:pict>
          <v:shape style="position:absolute;margin-left:252.481583pt;margin-top:-26.820507pt;width:14pt;height:18.6pt;mso-position-horizontal-relative:page;mso-position-vertical-relative:paragraph;z-index:2656;rotation:347" type="#_x0000_t136" fillcolor="#000000" stroked="f">
            <o:extrusion v:ext="view" autorotationcenter="t"/>
            <v:textpath style="font-family:&amp;quot;Tahoma&amp;quot;;font-size:18pt;v-text-kern:t;mso-text-shadow:auto" string="M"/>
            <w10:wrap type="none"/>
          </v:shape>
        </w:pict>
      </w:r>
      <w:r>
        <w:rPr/>
        <w:pict>
          <v:shape style="position:absolute;margin-left:269.820587pt;margin-top:-29.898411pt;width:12.4pt;height:18.6pt;mso-position-horizontal-relative:page;mso-position-vertical-relative:paragraph;z-index:2728;rotation:354" type="#_x0000_t136" fillcolor="#000000" stroked="f">
            <o:extrusion v:ext="view" autorotationcenter="t"/>
            <v:textpath style="font-family:&amp;quot;Tahoma&amp;quot;;font-size:18pt;v-text-kern:t;mso-text-shadow:auto" string="U"/>
            <w10:wrap type="none"/>
          </v:shape>
        </w:pict>
      </w:r>
      <w:r>
        <w:rPr>
          <w:rFonts w:ascii="Gotham Narrow Bold"/>
          <w:b/>
          <w:color w:val="6B6764"/>
          <w:sz w:val="24"/>
        </w:rPr>
        <w:t>CONTEXT</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4"/>
        <w:rPr>
          <w:rFonts w:ascii="Gotham Narrow Bold"/>
          <w:b/>
          <w:sz w:val="27"/>
        </w:rPr>
      </w:pPr>
    </w:p>
    <w:p>
      <w:pPr>
        <w:spacing w:after="0"/>
        <w:rPr>
          <w:rFonts w:ascii="Gotham Narrow Bold"/>
          <w:sz w:val="27"/>
        </w:rPr>
        <w:sectPr>
          <w:pgSz w:w="11910" w:h="16840"/>
          <w:pgMar w:header="496" w:footer="472" w:top="680" w:bottom="660" w:left="0" w:right="580"/>
        </w:sectPr>
      </w:pPr>
    </w:p>
    <w:p>
      <w:pPr>
        <w:spacing w:before="59"/>
        <w:ind w:left="2663" w:right="-16" w:firstLine="0"/>
        <w:jc w:val="left"/>
        <w:rPr>
          <w:rFonts w:ascii="Gotham Narrow Bold"/>
          <w:b/>
          <w:sz w:val="24"/>
        </w:rPr>
      </w:pPr>
      <w:r>
        <w:rPr>
          <w:rFonts w:ascii="Gotham Narrow Bold"/>
          <w:b/>
          <w:color w:val="6B6764"/>
          <w:w w:val="95"/>
          <w:sz w:val="24"/>
        </w:rPr>
        <w:t>VI. MONITOR</w:t>
      </w:r>
    </w:p>
    <w:p>
      <w:pPr>
        <w:pStyle w:val="BodyText"/>
        <w:spacing w:before="11"/>
        <w:rPr>
          <w:rFonts w:ascii="Gotham Narrow Bold"/>
          <w:b/>
          <w:sz w:val="33"/>
        </w:rPr>
      </w:pPr>
      <w:r>
        <w:rPr/>
        <w:br w:type="column"/>
      </w:r>
      <w:r>
        <w:rPr>
          <w:rFonts w:ascii="Gotham Narrow Bold"/>
          <w:b/>
          <w:sz w:val="33"/>
        </w:rPr>
      </w:r>
    </w:p>
    <w:p>
      <w:pPr>
        <w:spacing w:before="0"/>
        <w:ind w:left="885" w:right="0" w:firstLine="0"/>
        <w:jc w:val="center"/>
        <w:rPr>
          <w:rFonts w:ascii="Gotham Narrow Bold"/>
          <w:b/>
          <w:sz w:val="26"/>
        </w:rPr>
      </w:pPr>
      <w:r>
        <w:rPr>
          <w:rFonts w:ascii="Gotham Narrow Bold"/>
          <w:b/>
          <w:w w:val="95"/>
          <w:sz w:val="26"/>
        </w:rPr>
        <w:t>AS/NZS ISO 31000:2009</w:t>
      </w:r>
    </w:p>
    <w:p>
      <w:pPr>
        <w:spacing w:before="185"/>
        <w:ind w:left="883" w:right="0" w:firstLine="0"/>
        <w:jc w:val="center"/>
        <w:rPr>
          <w:rFonts w:ascii="Gotham Narrow Bold"/>
          <w:b/>
          <w:sz w:val="26"/>
        </w:rPr>
      </w:pPr>
      <w:r>
        <w:rPr>
          <w:rFonts w:ascii="Gotham Narrow Bold"/>
          <w:b/>
          <w:w w:val="95"/>
          <w:sz w:val="26"/>
        </w:rPr>
        <w:t>Risk Management </w:t>
      </w:r>
      <w:r>
        <w:rPr>
          <w:rFonts w:ascii="Gotham Narrow Bold"/>
          <w:b/>
          <w:sz w:val="26"/>
        </w:rPr>
        <w:t>Standard</w:t>
      </w:r>
    </w:p>
    <w:p>
      <w:pPr>
        <w:pStyle w:val="ListParagraph"/>
        <w:numPr>
          <w:ilvl w:val="0"/>
          <w:numId w:val="3"/>
        </w:numPr>
        <w:tabs>
          <w:tab w:pos="1312" w:val="left" w:leader="none"/>
        </w:tabs>
        <w:spacing w:line="240" w:lineRule="auto" w:before="59" w:after="0"/>
        <w:ind w:left="1311" w:right="0" w:hanging="260"/>
        <w:jc w:val="left"/>
        <w:rPr>
          <w:rFonts w:ascii="Gotham Narrow Bold"/>
          <w:b/>
          <w:sz w:val="24"/>
        </w:rPr>
      </w:pPr>
      <w:r>
        <w:rPr>
          <w:rFonts w:ascii="Gotham Narrow Bold"/>
          <w:b/>
          <w:color w:val="6B6764"/>
          <w:w w:val="95"/>
          <w:sz w:val="24"/>
        </w:rPr>
        <w:br w:type="column"/>
      </w:r>
      <w:r>
        <w:rPr>
          <w:rFonts w:ascii="Gotham Narrow Bold"/>
          <w:b/>
          <w:color w:val="6B6764"/>
          <w:sz w:val="24"/>
        </w:rPr>
        <w:t>IDENTIFY</w:t>
      </w:r>
    </w:p>
    <w:p>
      <w:pPr>
        <w:spacing w:after="0" w:line="240" w:lineRule="auto"/>
        <w:jc w:val="left"/>
        <w:rPr>
          <w:rFonts w:ascii="Gotham Narrow Bold"/>
          <w:sz w:val="24"/>
        </w:rPr>
        <w:sectPr>
          <w:type w:val="continuous"/>
          <w:pgSz w:w="11910" w:h="16840"/>
          <w:pgMar w:top="1580" w:bottom="280" w:left="0" w:right="580"/>
          <w:cols w:num="3" w:equalWidth="0">
            <w:col w:w="4054" w:space="40"/>
            <w:col w:w="2928" w:space="40"/>
            <w:col w:w="4268"/>
          </w:cols>
        </w:sectPr>
      </w:pPr>
    </w:p>
    <w:p>
      <w:pPr>
        <w:pStyle w:val="BodyText"/>
        <w:rPr>
          <w:rFonts w:ascii="Gotham Narrow Bold"/>
          <w:b/>
          <w:sz w:val="20"/>
        </w:rPr>
      </w:pPr>
    </w:p>
    <w:p>
      <w:pPr>
        <w:pStyle w:val="BodyText"/>
        <w:spacing w:before="8"/>
        <w:rPr>
          <w:rFonts w:ascii="Gotham Narrow Bold"/>
          <w:b/>
          <w:sz w:val="27"/>
        </w:rPr>
      </w:pPr>
    </w:p>
    <w:p>
      <w:pPr>
        <w:tabs>
          <w:tab w:pos="7762" w:val="left" w:leader="none"/>
        </w:tabs>
        <w:spacing w:before="59"/>
        <w:ind w:left="3105" w:right="0" w:firstLine="0"/>
        <w:jc w:val="left"/>
        <w:rPr>
          <w:rFonts w:ascii="Gotham Narrow Bold"/>
          <w:b/>
          <w:sz w:val="24"/>
        </w:rPr>
      </w:pPr>
      <w:r>
        <w:rPr/>
        <w:pict>
          <v:shape style="position:absolute;margin-left:45.354pt;margin-top:-48.115211pt;width:82.2pt;height:32.75pt;mso-position-horizontal-relative:page;mso-position-vertical-relative:paragraph;z-index:2128" type="#_x0000_t202" filled="true" fillcolor="#e9e9e9" stroked="true" strokeweight=".5pt" strokecolor="#a9a8a6">
            <v:textbox inset="0,0,0,0">
              <w:txbxContent>
                <w:p>
                  <w:pPr>
                    <w:pStyle w:val="BodyText"/>
                    <w:spacing w:before="3"/>
                    <w:rPr>
                      <w:sz w:val="19"/>
                    </w:rPr>
                  </w:pPr>
                </w:p>
                <w:p>
                  <w:pPr>
                    <w:spacing w:before="0"/>
                    <w:ind w:left="513" w:right="16" w:firstLine="0"/>
                    <w:jc w:val="left"/>
                    <w:rPr>
                      <w:rFonts w:ascii="Gotham Narrow Bold"/>
                      <w:b/>
                      <w:sz w:val="16"/>
                    </w:rPr>
                  </w:pPr>
                  <w:r>
                    <w:rPr>
                      <w:rFonts w:ascii="Gotham Narrow Bold"/>
                      <w:b/>
                      <w:sz w:val="16"/>
                    </w:rPr>
                    <w:t>REVIEW</w:t>
                  </w:r>
                </w:p>
              </w:txbxContent>
            </v:textbox>
            <v:fill type="solid"/>
            <w10:wrap type="none"/>
          </v:shape>
        </w:pict>
      </w:r>
      <w:r>
        <w:rPr/>
        <w:pict>
          <v:shape style="position:absolute;margin-left:467.769012pt;margin-top:-48.335213pt;width:82.2pt;height:32.75pt;mso-position-horizontal-relative:page;mso-position-vertical-relative:paragraph;z-index:2152" type="#_x0000_t202" filled="true" fillcolor="#e9e9e9" stroked="true" strokeweight=".5pt" strokecolor="#a9a8a6">
            <v:textbox inset="0,0,0,0">
              <w:txbxContent>
                <w:p>
                  <w:pPr>
                    <w:spacing w:line="249" w:lineRule="auto" w:before="132"/>
                    <w:ind w:left="170" w:right="16" w:hanging="56"/>
                    <w:jc w:val="left"/>
                    <w:rPr>
                      <w:rFonts w:ascii="Gotham Narrow Bold"/>
                      <w:b/>
                      <w:sz w:val="16"/>
                    </w:rPr>
                  </w:pPr>
                  <w:r>
                    <w:rPr>
                      <w:rFonts w:ascii="Gotham Narrow Bold"/>
                      <w:b/>
                      <w:w w:val="95"/>
                      <w:sz w:val="16"/>
                    </w:rPr>
                    <w:t>INTEGRATION AND </w:t>
                  </w:r>
                  <w:r>
                    <w:rPr>
                      <w:rFonts w:ascii="Gotham Narrow Bold"/>
                      <w:b/>
                      <w:sz w:val="16"/>
                    </w:rPr>
                    <w:t>REINFORCEMENT</w:t>
                  </w:r>
                </w:p>
              </w:txbxContent>
            </v:textbox>
            <v:fill type="solid"/>
            <w10:wrap type="none"/>
          </v:shape>
        </w:pict>
      </w:r>
      <w:r>
        <w:rPr>
          <w:rFonts w:ascii="Gotham Narrow Bold"/>
          <w:b/>
          <w:color w:val="6B6764"/>
          <w:spacing w:val="-12"/>
          <w:sz w:val="24"/>
        </w:rPr>
        <w:t>V.</w:t>
      </w:r>
      <w:r>
        <w:rPr>
          <w:rFonts w:ascii="Gotham Narrow Bold"/>
          <w:b/>
          <w:color w:val="6B6764"/>
          <w:spacing w:val="-18"/>
          <w:sz w:val="24"/>
        </w:rPr>
        <w:t> </w:t>
      </w:r>
      <w:r>
        <w:rPr>
          <w:rFonts w:ascii="Gotham Narrow Bold"/>
          <w:b/>
          <w:color w:val="6B6764"/>
          <w:spacing w:val="-4"/>
          <w:sz w:val="24"/>
        </w:rPr>
        <w:t>TREAT</w:t>
        <w:tab/>
      </w:r>
      <w:r>
        <w:rPr>
          <w:rFonts w:ascii="Gotham Narrow Bold"/>
          <w:b/>
          <w:color w:val="6B6764"/>
          <w:w w:val="95"/>
          <w:sz w:val="24"/>
        </w:rPr>
        <w:t>III.</w:t>
      </w:r>
      <w:r>
        <w:rPr>
          <w:rFonts w:ascii="Gotham Narrow Bold"/>
          <w:b/>
          <w:color w:val="6B6764"/>
          <w:spacing w:val="-10"/>
          <w:w w:val="95"/>
          <w:sz w:val="24"/>
        </w:rPr>
        <w:t> </w:t>
      </w:r>
      <w:r>
        <w:rPr>
          <w:rFonts w:ascii="Gotham Narrow Bold"/>
          <w:b/>
          <w:color w:val="6B6764"/>
          <w:w w:val="95"/>
          <w:sz w:val="24"/>
        </w:rPr>
        <w:t>ASSESS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11"/>
        <w:rPr>
          <w:rFonts w:ascii="Gotham Narrow Bold"/>
          <w:b/>
          <w:sz w:val="17"/>
        </w:rPr>
      </w:pPr>
    </w:p>
    <w:p>
      <w:pPr>
        <w:spacing w:before="60"/>
        <w:ind w:left="5252" w:right="4353" w:firstLine="0"/>
        <w:jc w:val="left"/>
        <w:rPr>
          <w:rFonts w:ascii="Gotham Narrow Bold"/>
          <w:b/>
          <w:sz w:val="24"/>
        </w:rPr>
      </w:pPr>
      <w:r>
        <w:rPr/>
        <w:pict>
          <v:shape style="position:absolute;margin-left:228.388733pt;margin-top:20.079540pt;width:11.45pt;height:18.6pt;mso-position-horizontal-relative:page;mso-position-vertical-relative:paragraph;z-index:2440;rotation:21" type="#_x0000_t136" fillcolor="#000000" stroked="f">
            <o:extrusion v:ext="view" autorotationcenter="t"/>
            <v:textpath style="font-family:&amp;quot;Tahoma&amp;quot;;font-size:18pt;v-text-kern:t;mso-text-shadow:auto" string="C"/>
            <w10:wrap type="none"/>
          </v:shape>
        </w:pict>
      </w:r>
      <w:r>
        <w:rPr/>
        <w:pict>
          <v:shape style="position:absolute;margin-left:369.343628pt;margin-top:19.214762pt;width:12.85pt;height:18.6pt;mso-position-horizontal-relative:page;mso-position-vertical-relative:paragraph;z-index:2560;rotation:337" type="#_x0000_t136" fillcolor="#000000" stroked="f">
            <o:extrusion v:ext="view" autorotationcenter="t"/>
            <v:textpath style="font-family:&amp;quot;Tahoma&amp;quot;;font-size:18pt;v-text-kern:t;mso-text-shadow:auto" string="N"/>
            <w10:wrap type="none"/>
          </v:shape>
        </w:pict>
      </w:r>
      <w:r>
        <w:rPr>
          <w:rFonts w:ascii="Gotham Narrow Bold"/>
          <w:b/>
          <w:color w:val="6B6764"/>
          <w:w w:val="95"/>
          <w:sz w:val="24"/>
        </w:rPr>
        <w:t>IV. PRIORITISE</w:t>
      </w:r>
    </w:p>
    <w:p>
      <w:pPr>
        <w:pStyle w:val="BodyText"/>
        <w:spacing w:before="9"/>
        <w:rPr>
          <w:rFonts w:ascii="Gotham Narrow Bold"/>
          <w:b/>
          <w:sz w:val="22"/>
        </w:rPr>
      </w:pPr>
    </w:p>
    <w:p>
      <w:pPr>
        <w:spacing w:before="0"/>
        <w:ind w:left="836" w:right="0" w:firstLine="0"/>
        <w:jc w:val="center"/>
        <w:rPr>
          <w:sz w:val="37"/>
        </w:rPr>
      </w:pPr>
      <w:r>
        <w:rPr/>
        <w:pict>
          <v:shape style="position:absolute;margin-left:141.490005pt;margin-top:8.560532pt;width:82.2pt;height:32.75pt;mso-position-horizontal-relative:page;mso-position-vertical-relative:paragraph;z-index:2176" type="#_x0000_t202" filled="true" fillcolor="#e9e9e9" stroked="true" strokeweight=".5pt" strokecolor="#a9a8a6">
            <v:textbox inset="0,0,0,0">
              <w:txbxContent>
                <w:p>
                  <w:pPr>
                    <w:pStyle w:val="BodyText"/>
                    <w:spacing w:before="3"/>
                    <w:rPr>
                      <w:sz w:val="19"/>
                    </w:rPr>
                  </w:pPr>
                </w:p>
                <w:p>
                  <w:pPr>
                    <w:spacing w:before="0"/>
                    <w:ind w:left="281" w:right="16" w:firstLine="0"/>
                    <w:jc w:val="left"/>
                    <w:rPr>
                      <w:rFonts w:ascii="Gotham Narrow Bold"/>
                      <w:b/>
                      <w:sz w:val="16"/>
                    </w:rPr>
                  </w:pPr>
                  <w:r>
                    <w:rPr>
                      <w:rFonts w:ascii="Gotham Narrow Bold"/>
                      <w:b/>
                      <w:sz w:val="16"/>
                    </w:rPr>
                    <w:t>INFORMATION</w:t>
                  </w:r>
                </w:p>
              </w:txbxContent>
            </v:textbox>
            <v:fill type="solid"/>
            <w10:wrap type="none"/>
          </v:shape>
        </w:pict>
      </w:r>
      <w:r>
        <w:rPr/>
        <w:pict>
          <v:shape style="position:absolute;margin-left:373.377014pt;margin-top:8.560532pt;width:82.2pt;height:32.75pt;mso-position-horizontal-relative:page;mso-position-vertical-relative:paragraph;z-index:2200" type="#_x0000_t202" filled="true" fillcolor="#e9e9e9" stroked="true" strokeweight=".5pt" strokecolor="#a9a8a6">
            <v:textbox inset="0,0,0,0">
              <w:txbxContent>
                <w:p>
                  <w:pPr>
                    <w:spacing w:line="249" w:lineRule="auto" w:before="132"/>
                    <w:ind w:left="397" w:right="16" w:firstLine="71"/>
                    <w:jc w:val="left"/>
                    <w:rPr>
                      <w:rFonts w:ascii="Gotham Narrow Bold"/>
                      <w:b/>
                      <w:sz w:val="16"/>
                    </w:rPr>
                  </w:pPr>
                  <w:r>
                    <w:rPr>
                      <w:rFonts w:ascii="Gotham Narrow Bold"/>
                      <w:b/>
                      <w:sz w:val="16"/>
                    </w:rPr>
                    <w:t>COMMON </w:t>
                  </w:r>
                  <w:r>
                    <w:rPr>
                      <w:rFonts w:ascii="Gotham Narrow Bold"/>
                      <w:b/>
                      <w:w w:val="95"/>
                      <w:sz w:val="16"/>
                    </w:rPr>
                    <w:t>LANGUAGE</w:t>
                  </w:r>
                </w:p>
              </w:txbxContent>
            </v:textbox>
            <v:fill type="solid"/>
            <w10:wrap type="none"/>
          </v:shape>
        </w:pict>
      </w:r>
      <w:r>
        <w:rPr/>
        <w:pict>
          <v:shape style="position:absolute;margin-left:284.382172pt;margin-top:2.621392pt;width:12.35pt;height:18.6pt;mso-position-horizontal-relative:page;mso-position-vertical-relative:paragraph;z-index:2248;rotation:4" type="#_x0000_t136" fillcolor="#000000" stroked="f">
            <o:extrusion v:ext="view" autorotationcenter="t"/>
            <v:textpath style="font-family:&amp;quot;Tahoma&amp;quot;;font-size:18pt;v-text-kern:t;mso-text-shadow:auto" string="U"/>
            <w10:wrap type="none"/>
          </v:shape>
        </w:pict>
      </w:r>
      <w:r>
        <w:rPr/>
        <w:pict>
          <v:shape style="position:absolute;margin-left:271.744781pt;margin-top:.908377pt;width:10.15pt;height:18.6pt;mso-position-horizontal-relative:page;mso-position-vertical-relative:paragraph;z-index:2296;rotation:9" type="#_x0000_t136" fillcolor="#000000" stroked="f">
            <o:extrusion v:ext="view" autorotationcenter="t"/>
            <v:textpath style="font-family:&amp;quot;Tahoma&amp;quot;;font-size:18pt;v-text-kern:t;mso-text-shadow:auto" string="S"/>
            <w10:wrap type="none"/>
          </v:shape>
        </w:pict>
      </w:r>
      <w:r>
        <w:rPr/>
        <w:pict>
          <v:shape style="position:absolute;margin-left:256.701508pt;margin-top:-1.858306pt;width:12.6pt;height:18.6pt;mso-position-horizontal-relative:page;mso-position-vertical-relative:paragraph;z-index:2344;rotation:13" type="#_x0000_t136" fillcolor="#000000" stroked="f">
            <o:extrusion v:ext="view" autorotationcenter="t"/>
            <v:textpath style="font-family:&amp;quot;Tahoma&amp;quot;;font-size:18pt;v-text-kern:t;mso-text-shadow:auto" string="N"/>
            <w10:wrap type="none"/>
          </v:shape>
        </w:pict>
      </w:r>
      <w:r>
        <w:rPr/>
        <w:pict>
          <v:shape style="position:absolute;margin-left:241.257813pt;margin-top:-6.053829pt;width:13.35pt;height:18.6pt;mso-position-horizontal-relative:page;mso-position-vertical-relative:paragraph;z-index:2392;rotation:17" type="#_x0000_t136" fillcolor="#000000" stroked="f">
            <o:extrusion v:ext="view" autorotationcenter="t"/>
            <v:textpath style="font-family:&amp;quot;Tahoma&amp;quot;;font-size:18pt;v-text-kern:t;mso-text-shadow:auto" string="O"/>
            <w10:wrap type="none"/>
          </v:shape>
        </w:pict>
      </w:r>
      <w:r>
        <w:rPr/>
        <w:pict>
          <v:shape style="position:absolute;margin-left:354.40686pt;margin-top:-6.053707pt;width:13.6pt;height:18.6pt;mso-position-horizontal-relative:page;mso-position-vertical-relative:paragraph;z-index:2584;rotation:341" type="#_x0000_t136" fillcolor="#000000" stroked="f">
            <o:extrusion v:ext="view" autorotationcenter="t"/>
            <v:textpath style="font-family:&amp;quot;Tahoma&amp;quot;;font-size:18pt;v-text-kern:t;mso-text-shadow:auto" string="O"/>
            <w10:wrap type="none"/>
          </v:shape>
        </w:pict>
      </w:r>
      <w:r>
        <w:rPr/>
        <w:pict>
          <v:shape style="position:absolute;margin-left:347.796753pt;margin-top:-2.606091pt;width:4.6pt;height:18.6pt;mso-position-horizontal-relative:page;mso-position-vertical-relative:paragraph;z-index:2632;rotation:344" type="#_x0000_t136" fillcolor="#000000" stroked="f">
            <o:extrusion v:ext="view" autorotationcenter="t"/>
            <v:textpath style="font-family:&amp;quot;Tahoma&amp;quot;;font-size:18pt;v-text-kern:t;mso-text-shadow:auto" string="I"/>
            <w10:wrap type="none"/>
          </v:shape>
        </w:pict>
      </w:r>
      <w:r>
        <w:rPr/>
        <w:pict>
          <v:shape style="position:absolute;margin-left:335.229736pt;margin-top:-.270556pt;width:10.2pt;height:18.6pt;mso-position-horizontal-relative:page;mso-position-vertical-relative:paragraph;z-index:2680;rotation:348" type="#_x0000_t136" fillcolor="#000000" stroked="f">
            <o:extrusion v:ext="view" autorotationcenter="t"/>
            <v:textpath style="font-family:&amp;quot;Tahoma&amp;quot;;font-size:18pt;v-text-kern:t;mso-text-shadow:auto" string="T"/>
            <w10:wrap type="none"/>
          </v:shape>
        </w:pict>
      </w:r>
      <w:r>
        <w:rPr/>
        <w:pict>
          <v:shape style="position:absolute;margin-left:321.489868pt;margin-top:1.838662pt;width:12.85pt;height:18.6pt;mso-position-horizontal-relative:page;mso-position-vertical-relative:paragraph;z-index:2704;rotation:353" type="#_x0000_t136" fillcolor="#000000" stroked="f">
            <o:extrusion v:ext="view" autorotationcenter="t"/>
            <v:textpath style="font-family:&amp;quot;Tahoma&amp;quot;;font-size:18pt;v-text-kern:t;mso-text-shadow:auto" string="A"/>
            <w10:wrap type="none"/>
          </v:shape>
        </w:pict>
      </w:r>
      <w:r>
        <w:rPr/>
        <w:pict>
          <v:shape style="position:absolute;margin-left:310.23114pt;margin-top:3.014017pt;width:10.2pt;height:18.6pt;mso-position-horizontal-relative:page;mso-position-vertical-relative:paragraph;z-index:2752;rotation:357" type="#_x0000_t136" fillcolor="#000000" stroked="f">
            <o:extrusion v:ext="view" autorotationcenter="t"/>
            <v:textpath style="font-family:&amp;quot;Tahoma&amp;quot;;font-size:18pt;v-text-kern:t;mso-text-shadow:auto" string="T"/>
            <w10:wrap type="none"/>
          </v:shape>
        </w:pict>
      </w:r>
      <w:r>
        <w:rPr>
          <w:w w:val="104"/>
          <w:sz w:val="37"/>
        </w:rPr>
        <w:t>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907" w:right="0" w:firstLine="0"/>
        <w:jc w:val="left"/>
        <w:rPr>
          <w:rFonts w:ascii="Gotham Narrow Bold"/>
          <w:b/>
          <w:sz w:val="24"/>
        </w:rPr>
      </w:pPr>
      <w:r>
        <w:rPr>
          <w:rFonts w:ascii="Gotham Narrow Bold"/>
          <w:b/>
          <w:w w:val="95"/>
          <w:sz w:val="24"/>
        </w:rPr>
        <w:t>ESSENTIAL ELEMENTS FOR THE IMPLEMENTATION OF RISK MANAGEMENT</w:t>
      </w:r>
    </w:p>
    <w:p>
      <w:pPr>
        <w:spacing w:after="0"/>
        <w:jc w:val="left"/>
        <w:rPr>
          <w:rFonts w:ascii="Gotham Narrow Bold"/>
          <w:sz w:val="24"/>
        </w:rPr>
        <w:sectPr>
          <w:type w:val="continuous"/>
          <w:pgSz w:w="11910" w:h="16840"/>
          <w:pgMar w:top="1580" w:bottom="280" w:left="0" w:right="580"/>
        </w:sectPr>
      </w:pPr>
    </w:p>
    <w:p>
      <w:pPr>
        <w:spacing w:before="102"/>
        <w:ind w:left="907" w:right="-16" w:firstLine="0"/>
        <w:jc w:val="left"/>
        <w:rPr>
          <w:rFonts w:ascii="Gotham Narrow Bold"/>
          <w:b/>
          <w:sz w:val="16"/>
        </w:rPr>
      </w:pPr>
      <w:r>
        <w:rPr/>
        <w:pict>
          <v:group style="position:absolute;margin-left:34.015999pt;margin-top:45.355015pt;width:527.25pt;height:751.2pt;mso-position-horizontal-relative:page;mso-position-vertical-relative:page;z-index:-335656" coordorigin="680,907" coordsize="10545,15024">
            <v:rect style="position:absolute;left:680;top:907;width:10545;height:15024" filled="true" fillcolor="#e9e9e9" stroked="false">
              <v:fill type="solid"/>
            </v:rect>
            <v:shape style="position:absolute;left:1655;top:2309;width:8583;height:8583" coordorigin="1655,2309" coordsize="8583,8583" path="m5946,10892l6022,10891,6098,10889,6174,10886,6249,10881,6324,10875,6399,10868,6473,10860,6547,10850,6620,10839,6693,10827,6766,10814,6838,10799,6910,10783,6981,10766,7052,10748,7122,10729,7192,10708,7261,10687,7330,10664,7398,10640,7466,10615,7533,10589,7600,10562,7666,10533,7732,10504,7797,10473,7861,10442,7925,10410,7988,10376,8050,10341,8112,10306,8173,10269,8234,10232,8294,10193,8353,10154,8411,10114,8469,10072,8526,10030,8582,9987,8638,9943,8693,9898,8747,9852,8800,9805,8853,9758,8905,9709,8955,9660,9006,9610,9055,9559,9103,9507,9151,9455,9198,9401,9243,9347,9288,9292,9332,9237,9376,9180,9418,9123,9459,9066,9500,9007,9539,8948,9578,8888,9615,8828,9652,8766,9687,8705,9722,8642,9755,8579,9788,8515,9819,8451,9850,8386,9879,8320,9907,8254,9934,8188,9961,8120,9986,8053,10009,7984,10032,7916,10054,7846,10074,7776,10094,7706,10112,7635,10129,7564,10145,7492,10159,7420,10173,7348,10185,7275,10196,7201,10205,7127,10214,7053,10221,6979,10227,6904,10232,6828,10235,6753,10237,6677,10238,6600,10237,6524,10235,6448,10232,6373,10227,6297,10221,6222,10214,6148,10205,6074,10196,6000,10185,5926,10173,5853,10159,5781,10145,5709,10129,5637,10112,5566,10094,5495,10074,5425,10054,5355,10032,5285,10009,5217,9986,5148,9961,5081,9934,5013,9907,4947,9879,4881,9850,4815,9819,4750,9788,4686,9755,4622,9722,4559,9687,4496,9652,4435,9615,4373,9578,4313,9539,4253,9500,4194,9459,4135,9418,4078,9376,4020,9332,3964,9288,3909,9243,3854,9198,3800,9151,3746,9103,3694,9055,3642,9006,3591,8955,3541,8905,3492,8853,3443,8800,3396,8747,3349,8693,3303,8638,3258,8582,3214,8526,3171,8469,3129,8411,3087,8353,3047,8294,3008,8234,2969,8173,2932,8112,2895,8050,2859,7988,2825,7925,2791,7861,2759,7797,2727,7732,2697,7666,2668,7600,2639,7533,2612,7466,2586,7398,2561,7330,2537,7261,2514,7192,2493,7122,2472,7052,2453,6981,2435,6910,2418,6838,2402,6766,2387,6693,2374,6620,2362,6547,2351,6473,2341,6399,2333,6324,2326,6249,2320,6174,2315,6098,2312,6022,2310,5946,2309,5870,2310,5794,2312,5718,2315,5643,2320,5568,2326,5493,2333,5419,2341,5345,2351,5272,2362,5199,2374,5126,2387,5054,2402,4983,2418,4911,2435,4841,2453,4770,2472,4700,2493,4631,2514,4562,2537,4494,2561,4426,2586,4359,2612,4292,2639,4226,2668,4161,2697,4096,2727,4031,2759,3968,2791,3905,2825,3842,2859,3780,2895,3719,2932,3659,2969,3599,3008,3539,3047,3481,3087,3423,3129,3366,3171,3310,3214,3254,3258,3199,3303,3145,3349,3092,3396,3040,3443,2988,3492,2937,3541,2887,3591,2838,3642,2789,3694,2741,3746,2695,3800,2649,3854,2604,3909,2560,3964,2517,4020,2474,4078,2433,4135,2393,4194,2353,4253,2315,4313,2277,4373,2241,4435,2205,4496,2171,4559,2137,4622,2105,4686,2073,4750,2043,4815,2013,4881,1985,4947,1958,5013,1932,5081,1907,5148,1883,5217,1860,5285,1838,5355,1818,5425,1799,5495,1780,5566,1763,5637,1748,5709,1733,5781,1720,5853,1707,5926,1697,6000,1687,6074,1678,6148,1671,6222,1665,6297,1661,6373,1657,6448,1655,6524,1655,6600,1655,6677,1657,6753,1661,6828,1665,6904,1671,6979,1678,7053,1687,7127,1697,7201,1707,7275,1720,7348,1733,7420,1748,7492,1763,7564,1780,7635,1799,7706,1818,7776,1838,7846,1860,7916,1883,7984,1907,8053,1932,8120,1958,8188,1985,8254,2013,8320,2043,8386,2073,8451,2105,8515,2137,8579,2171,8642,2205,8705,2241,8766,2277,8828,2315,8888,2353,8948,2393,9007,2433,9066,2474,9123,2517,9180,2560,9237,2604,9292,2649,9347,2695,9401,2741,9455,2789,9507,2838,9559,2887,9610,2937,9660,2988,9709,3040,9758,3092,9805,3145,9852,3199,9898,3254,9943,3310,9987,3366,10030,3423,10072,3481,10114,3539,10154,3599,10193,3659,10232,3719,10269,3780,10306,3842,10341,3905,10376,3968,10410,4031,10442,4096,10473,4161,10504,4226,10533,4292,10562,4359,10589,4426,10615,4494,10640,4562,10664,4631,10687,4700,10708,4770,10729,4841,10748,4911,10766,4983,10783,5054,10799,5126,10814,5199,10827,5272,10839,5345,10850,5419,10860,5493,10868,5568,10875,5643,10881,5718,10886,5794,10889,5870,10891,5946,10892xe" filled="false" stroked="true" strokeweight=".929pt" strokecolor="#a9a8a6">
              <v:path arrowok="t"/>
            </v:shape>
            <v:shape style="position:absolute;left:3029;top:3742;width:5718;height:5718" coordorigin="3029,3742" coordsize="5718,5718" path="m5887,9459l5963,9458,6039,9455,6114,9450,6189,9443,6263,9435,6336,9424,6409,9412,6481,9397,6553,9381,6624,9363,6694,9344,6763,9322,6832,9299,6900,9275,6967,9248,7033,9220,7098,9191,7163,9160,7226,9127,7289,9093,7351,9057,7411,9020,7471,8981,7529,8941,7587,8899,7643,8856,7699,8812,7753,8766,7806,8719,7858,8671,7909,8622,7958,8571,8006,8519,8053,8466,8099,8412,8143,8357,8186,8300,8228,8243,8268,8184,8306,8124,8344,8064,8379,8002,8414,7939,8446,7876,8478,7811,8507,7746,8535,7680,8562,7613,8586,7545,8609,7476,8631,7407,8650,7337,8668,7266,8684,7195,8698,7122,8711,7049,8722,6976,8730,6902,8737,6827,8742,6752,8745,6677,8746,6600,8745,6524,8742,6449,8737,6373,8730,6299,8722,6225,8711,6151,8698,6078,8684,6006,8668,5935,8650,5864,8631,5794,8609,5724,8586,5656,8562,5588,8535,5521,8507,5455,8478,5389,8446,5325,8414,5261,8379,5199,8344,5137,8306,5076,8268,5017,8228,4958,8186,4901,8143,4844,8099,4789,8053,4735,8006,4682,7958,4630,7909,4579,7858,4529,7806,4481,7753,4434,7699,4389,7643,4345,7587,4302,7529,4260,7471,4220,7411,4181,7351,4144,7289,4108,7226,4074,7163,4041,7098,4010,7033,3980,6967,3952,6900,3926,6832,3901,6763,3878,6694,3857,6624,3837,6553,3820,6481,3803,6409,3789,6336,3777,6263,3766,6189,3757,6114,3751,6039,3746,5963,3743,5887,3742,5811,3743,5735,3746,5660,3751,5586,3757,5512,3766,5438,3777,5365,3789,5293,3803,5222,3820,5151,3837,5081,3857,5011,3878,4943,3901,4875,3926,4808,3952,4742,3980,4676,4010,4612,4041,4548,4074,4486,4108,4424,4144,4363,4181,4304,4220,4245,4260,4187,4302,4131,4345,4076,4389,4021,4434,3968,4481,3916,4529,3866,4579,3816,4630,3768,4682,3721,4735,3676,4789,3631,4844,3589,4901,3547,4958,3507,5017,3468,5076,3431,5137,3395,5199,3361,5261,3328,5325,3297,5389,3267,5455,3239,5521,3213,5588,3188,5656,3165,5724,3144,5794,3124,5864,3106,5935,3090,6006,3076,6078,3064,6151,3053,6225,3044,6299,3037,6373,3032,6449,3030,6524,3029,6600,3030,6677,3032,6752,3037,6827,3044,6902,3053,6976,3064,7049,3076,7122,3090,7195,3106,7266,3124,7337,3144,7407,3165,7476,3188,7545,3213,7613,3239,7680,3267,7746,3297,7811,3328,7876,3361,7939,3395,8002,3431,8064,3468,8124,3507,8184,3547,8243,3589,8300,3631,8357,3676,8412,3721,8466,3768,8519,3816,8571,3866,8622,3916,8671,3968,8719,4021,8766,4076,8812,4131,8856,4187,8899,4245,8941,4304,8981,4363,9020,4424,9057,4486,9093,4548,9127,4612,9160,4676,9191,4742,9220,4808,9248,4875,9275,4943,9299,5011,9322,5081,9344,5151,9363,5222,9381,5293,9397,5365,9412,5438,9424,5512,9435,5586,9443,5660,9450,5735,9455,5811,9458,5887,9459xe" filled="false" stroked="true" strokeweight=".929pt" strokecolor="#a9a8a6">
              <v:path arrowok="t"/>
            </v:shape>
            <v:shape style="position:absolute;left:4305;top:4943;width:3283;height:3283" coordorigin="4305,4943" coordsize="3283,3283" path="m5946,4943l5871,4945,5797,4950,5723,4958,5651,4969,5580,4984,5510,5002,5441,5022,5374,5046,5307,5072,5243,5101,5179,5133,5118,5167,5058,5204,5000,5243,4943,5285,4889,5329,4836,5375,4786,5424,4737,5474,4691,5527,4647,5581,4605,5638,4566,5696,4529,5756,4495,5817,4463,5881,4434,5945,4408,6011,4384,6079,4364,6148,4346,6218,4331,6289,4320,6361,4312,6435,4307,6509,4305,6584,4307,6659,4312,6733,4320,6807,4331,6879,4346,6950,4364,7020,4384,7089,4408,7157,4434,7223,4463,7288,4495,7351,4529,7412,4566,7472,4605,7530,4647,7587,4691,7641,4737,7694,4786,7744,4836,7793,4889,7839,4943,7883,5000,7925,5058,7964,5118,8001,5179,8035,5243,8067,5307,8096,5374,8122,5441,8146,5510,8167,5580,8184,5651,8199,5723,8210,5797,8218,5871,8223,5946,8225,6021,8223,6096,8218,6169,8210,6241,8199,6312,8184,6382,8167,6451,8146,6519,8122,6585,8096,6650,8067,6713,8035,6774,8001,6834,7964,6893,7925,6949,7883,7004,7839,7056,7793,7107,7744,7155,7694,7201,7641,7245,7587,7287,7530,7326,7472,7363,7412,7398,7351,7429,7288,7458,7223,7485,7157,7508,7089,7529,7020,7546,6950,7561,6879,7572,6807,7581,6733,7586,6659,7587,6584,7586,6509,7581,6435,7572,6361,7561,6289,7546,6218,7529,6148,7508,6079,7485,6011,7458,5945,7429,5881,7398,5817,7363,5756,7326,5696,7287,5638,7245,5581,7201,5527,7155,5474,7107,5424,7056,5375,7004,5329,6949,5285,6893,5243,6834,5204,6774,5167,6713,5133,6650,5101,6585,5072,6519,5046,6451,5022,6382,5002,6312,4984,6241,4969,6169,4958,6096,4950,6021,4945,5946,4943xe" filled="true" fillcolor="#ffffff" stroked="false">
              <v:path arrowok="t"/>
              <v:fill type="solid"/>
            </v:shape>
            <v:shape style="position:absolute;left:2596;top:3639;width:6851;height:5901" coordorigin="2596,3639" coordsize="6851,5901" path="m4095,7961l3067,7961,3067,8225,4095,8225,4095,7961m4121,5504l2596,5504,2596,5855,4121,5855,4121,5504m6691,3639l5201,3639,5201,3968,6691,3968,6691,3639m6936,9211l5125,9211,5125,9540,6936,9540,6936,9211m9026,7961l7658,7961,7658,8225,9026,8225,9026,7961m9447,5504l8062,5504,8062,5855,9447,5855,9447,5504e" filled="true" fillcolor="#e9e9e9" stroked="false">
              <v:path arrowok="t"/>
              <v:fill type="solid"/>
            </v:shape>
            <v:line style="position:absolute" from="907,11782" to="4120,11782" stroked="true" strokeweight="1.5pt" strokecolor="#000000"/>
            <v:line style="position:absolute" from="907,13405" to="4120,13405" stroked="true" strokeweight="1.5pt" strokecolor="#000000"/>
            <v:line style="position:absolute" from="907,14631" to="4120,14631" stroked="true" strokeweight="1.5pt" strokecolor="#000000"/>
            <v:line style="position:absolute" from="4346,11782" to="7559,11782" stroked="true" strokeweight="1.5pt" strokecolor="#000000"/>
            <v:line style="position:absolute" from="4346,13407" to="7559,13407" stroked="true" strokeweight="1.5pt" strokecolor="#000000"/>
            <v:line style="position:absolute" from="7786,11782" to="10998,11782" stroked="true" strokeweight="1.5pt" strokecolor="#000000"/>
            <v:line style="position:absolute" from="7786,13404" to="10998,13404" stroked="true" strokeweight="1.5pt" strokecolor="#000000"/>
            <v:rect style="position:absolute;left:907;top:6938;width:1643;height:654" filled="true" fillcolor="#e9e9e9" stroked="false">
              <v:fill type="solid"/>
            </v:rect>
            <v:shape style="position:absolute;left:1715;top:2011;width:9283;height:8619" coordorigin="1715,2011" coordsize="9283,8619" path="m3359,3751l1715,3751,1715,4405,3359,4405,3359,3751m4473,9975l2830,9975,2830,10629,4473,10629,4473,9975m6852,2011l5209,2011,5209,2665,6852,2665,6852,2011m9111,9975l7468,9975,7468,10629,9111,10629,9111,9975m10269,3751l8626,3751,8626,4405,10269,4405,10269,3751m10998,6933l9355,6933,9355,7588,10998,7588,10998,6933e" filled="true" fillcolor="#e9e9e9" stroked="false">
              <v:path arrowok="t"/>
              <v:fill type="solid"/>
            </v:shape>
            <w10:wrap type="none"/>
          </v:group>
        </w:pict>
      </w:r>
      <w:r>
        <w:rPr>
          <w:rFonts w:ascii="Gotham Narrow Bold"/>
          <w:b/>
          <w:w w:val="95"/>
          <w:sz w:val="16"/>
        </w:rPr>
        <w:t>RISK GOVERNANCE</w:t>
      </w:r>
    </w:p>
    <w:p>
      <w:pPr>
        <w:pStyle w:val="BodyText"/>
        <w:spacing w:line="249" w:lineRule="auto" w:before="86"/>
        <w:ind w:left="907" w:right="28"/>
      </w:pPr>
      <w:r>
        <w:rPr/>
        <w:t>Guidance, directions, control and support provided</w:t>
      </w:r>
      <w:r>
        <w:rPr>
          <w:spacing w:val="-16"/>
        </w:rPr>
        <w:t> </w:t>
      </w:r>
      <w:r>
        <w:rPr/>
        <w:t>by</w:t>
      </w:r>
      <w:r>
        <w:rPr>
          <w:spacing w:val="-16"/>
        </w:rPr>
        <w:t> </w:t>
      </w:r>
      <w:r>
        <w:rPr/>
        <w:t>senior</w:t>
      </w:r>
      <w:r>
        <w:rPr>
          <w:spacing w:val="-16"/>
        </w:rPr>
        <w:t> </w:t>
      </w:r>
      <w:r>
        <w:rPr/>
        <w:t>management</w:t>
      </w:r>
      <w:r>
        <w:rPr>
          <w:spacing w:val="-16"/>
        </w:rPr>
        <w:t> </w:t>
      </w:r>
      <w:r>
        <w:rPr/>
        <w:t>as</w:t>
      </w:r>
      <w:r>
        <w:rPr>
          <w:spacing w:val="-16"/>
        </w:rPr>
        <w:t> </w:t>
      </w:r>
      <w:r>
        <w:rPr/>
        <w:t>well</w:t>
      </w:r>
      <w:r>
        <w:rPr>
          <w:spacing w:val="-16"/>
        </w:rPr>
        <w:t> </w:t>
      </w:r>
      <w:r>
        <w:rPr/>
        <w:t>as the management style and organisational structure</w:t>
      </w:r>
      <w:r>
        <w:rPr>
          <w:spacing w:val="-17"/>
        </w:rPr>
        <w:t> </w:t>
      </w:r>
      <w:r>
        <w:rPr/>
        <w:t>in</w:t>
      </w:r>
      <w:r>
        <w:rPr>
          <w:spacing w:val="-17"/>
        </w:rPr>
        <w:t> </w:t>
      </w:r>
      <w:r>
        <w:rPr/>
        <w:t>which</w:t>
      </w:r>
      <w:r>
        <w:rPr>
          <w:spacing w:val="-17"/>
        </w:rPr>
        <w:t> </w:t>
      </w:r>
      <w:r>
        <w:rPr/>
        <w:t>risks</w:t>
      </w:r>
      <w:r>
        <w:rPr>
          <w:spacing w:val="-17"/>
        </w:rPr>
        <w:t> </w:t>
      </w:r>
      <w:r>
        <w:rPr/>
        <w:t>are</w:t>
      </w:r>
      <w:r>
        <w:rPr>
          <w:spacing w:val="-17"/>
        </w:rPr>
        <w:t> </w:t>
      </w:r>
      <w:r>
        <w:rPr/>
        <w:t>being</w:t>
      </w:r>
      <w:r>
        <w:rPr>
          <w:spacing w:val="-17"/>
        </w:rPr>
        <w:t> </w:t>
      </w:r>
      <w:r>
        <w:rPr/>
        <w:t>managed</w:t>
      </w:r>
    </w:p>
    <w:p>
      <w:pPr>
        <w:pStyle w:val="BodyText"/>
      </w:pPr>
    </w:p>
    <w:p>
      <w:pPr>
        <w:pStyle w:val="BodyText"/>
      </w:pPr>
    </w:p>
    <w:p>
      <w:pPr>
        <w:pStyle w:val="BodyText"/>
        <w:spacing w:before="1"/>
        <w:rPr>
          <w:sz w:val="13"/>
        </w:rPr>
      </w:pPr>
    </w:p>
    <w:p>
      <w:pPr>
        <w:pStyle w:val="Heading7"/>
        <w:ind w:left="907" w:right="-16"/>
      </w:pPr>
      <w:r>
        <w:rPr>
          <w:w w:val="95"/>
        </w:rPr>
        <w:t>MANAGING RISKS AND CONTROLS</w:t>
      </w:r>
    </w:p>
    <w:p>
      <w:pPr>
        <w:pStyle w:val="BodyText"/>
        <w:spacing w:line="249" w:lineRule="auto" w:before="86"/>
        <w:ind w:left="907" w:right="28"/>
      </w:pPr>
      <w:r>
        <w:rPr/>
        <w:t>A structured process by which risks are identified, assessed, prioritised and treated/ controlled</w:t>
      </w:r>
    </w:p>
    <w:p>
      <w:pPr>
        <w:pStyle w:val="BodyText"/>
      </w:pPr>
    </w:p>
    <w:p>
      <w:pPr>
        <w:pStyle w:val="BodyText"/>
        <w:spacing w:before="7"/>
        <w:rPr>
          <w:sz w:val="12"/>
        </w:rPr>
      </w:pPr>
    </w:p>
    <w:p>
      <w:pPr>
        <w:pStyle w:val="Heading7"/>
        <w:spacing w:before="1"/>
        <w:ind w:left="907" w:right="-16"/>
      </w:pPr>
      <w:r>
        <w:rPr>
          <w:w w:val="95"/>
        </w:rPr>
        <w:t>MONITORING AND EVALUATION</w:t>
      </w:r>
    </w:p>
    <w:p>
      <w:pPr>
        <w:pStyle w:val="BodyText"/>
        <w:spacing w:line="249" w:lineRule="auto" w:before="86"/>
        <w:ind w:left="907" w:right="-2"/>
      </w:pPr>
      <w:r>
        <w:rPr/>
        <w:t>Systems/processes in place to track the progress</w:t>
      </w:r>
      <w:r>
        <w:rPr>
          <w:spacing w:val="-19"/>
        </w:rPr>
        <w:t> </w:t>
      </w:r>
      <w:r>
        <w:rPr/>
        <w:t>of</w:t>
      </w:r>
      <w:r>
        <w:rPr>
          <w:spacing w:val="-19"/>
        </w:rPr>
        <w:t> </w:t>
      </w:r>
      <w:r>
        <w:rPr/>
        <w:t>risk</w:t>
      </w:r>
      <w:r>
        <w:rPr>
          <w:spacing w:val="-19"/>
        </w:rPr>
        <w:t> </w:t>
      </w:r>
      <w:r>
        <w:rPr/>
        <w:t>treatment</w:t>
      </w:r>
      <w:r>
        <w:rPr>
          <w:spacing w:val="-19"/>
        </w:rPr>
        <w:t> </w:t>
      </w:r>
      <w:r>
        <w:rPr/>
        <w:t>tasks</w:t>
      </w:r>
      <w:r>
        <w:rPr>
          <w:spacing w:val="-19"/>
        </w:rPr>
        <w:t> </w:t>
      </w:r>
      <w:r>
        <w:rPr/>
        <w:t>and</w:t>
      </w:r>
      <w:r>
        <w:rPr>
          <w:spacing w:val="-19"/>
        </w:rPr>
        <w:t> </w:t>
      </w:r>
      <w:r>
        <w:rPr/>
        <w:t>to</w:t>
      </w:r>
      <w:r>
        <w:rPr>
          <w:spacing w:val="-19"/>
        </w:rPr>
        <w:t> </w:t>
      </w:r>
      <w:r>
        <w:rPr>
          <w:spacing w:val="2"/>
        </w:rPr>
        <w:t>assess </w:t>
      </w:r>
      <w:r>
        <w:rPr/>
        <w:t>the</w:t>
      </w:r>
      <w:r>
        <w:rPr>
          <w:spacing w:val="-17"/>
        </w:rPr>
        <w:t> </w:t>
      </w:r>
      <w:r>
        <w:rPr/>
        <w:t>effectiveness</w:t>
      </w:r>
      <w:r>
        <w:rPr>
          <w:spacing w:val="-17"/>
        </w:rPr>
        <w:t> </w:t>
      </w:r>
      <w:r>
        <w:rPr/>
        <w:t>of</w:t>
      </w:r>
      <w:r>
        <w:rPr>
          <w:spacing w:val="-17"/>
        </w:rPr>
        <w:t> </w:t>
      </w:r>
      <w:r>
        <w:rPr/>
        <w:t>the</w:t>
      </w:r>
      <w:r>
        <w:rPr>
          <w:spacing w:val="-17"/>
        </w:rPr>
        <w:t> </w:t>
      </w:r>
      <w:r>
        <w:rPr/>
        <w:t>treatment</w:t>
      </w:r>
      <w:r>
        <w:rPr>
          <w:spacing w:val="-17"/>
        </w:rPr>
        <w:t> </w:t>
      </w:r>
      <w:r>
        <w:rPr/>
        <w:t>actions</w:t>
      </w:r>
    </w:p>
    <w:p>
      <w:pPr>
        <w:pStyle w:val="Heading7"/>
        <w:spacing w:before="102"/>
        <w:ind w:left="252" w:right="-14"/>
      </w:pPr>
      <w:r>
        <w:rPr>
          <w:b w:val="0"/>
        </w:rPr>
        <w:br w:type="column"/>
      </w:r>
      <w:r>
        <w:rPr>
          <w:w w:val="95"/>
        </w:rPr>
        <w:t>INTEGRATION AND REINFORCEMENT</w:t>
      </w:r>
    </w:p>
    <w:p>
      <w:pPr>
        <w:pStyle w:val="BodyText"/>
        <w:spacing w:line="249" w:lineRule="auto" w:before="86"/>
        <w:ind w:left="252" w:right="-14"/>
      </w:pPr>
      <w:r>
        <w:rPr>
          <w:spacing w:val="-5"/>
        </w:rPr>
        <w:t>To </w:t>
      </w:r>
      <w:r>
        <w:rPr/>
        <w:t>embed risk management into organisational business processes, functions and</w:t>
      </w:r>
      <w:r>
        <w:rPr>
          <w:spacing w:val="-18"/>
        </w:rPr>
        <w:t> </w:t>
      </w:r>
      <w:r>
        <w:rPr/>
        <w:t>operations.</w:t>
      </w:r>
      <w:r>
        <w:rPr>
          <w:spacing w:val="-18"/>
        </w:rPr>
        <w:t> </w:t>
      </w:r>
      <w:r>
        <w:rPr>
          <w:spacing w:val="-5"/>
        </w:rPr>
        <w:t>To</w:t>
      </w:r>
      <w:r>
        <w:rPr>
          <w:spacing w:val="-18"/>
        </w:rPr>
        <w:t> </w:t>
      </w:r>
      <w:r>
        <w:rPr/>
        <w:t>train</w:t>
      </w:r>
      <w:r>
        <w:rPr>
          <w:spacing w:val="-18"/>
        </w:rPr>
        <w:t> </w:t>
      </w:r>
      <w:r>
        <w:rPr/>
        <w:t>staff</w:t>
      </w:r>
      <w:r>
        <w:rPr>
          <w:spacing w:val="-18"/>
        </w:rPr>
        <w:t> </w:t>
      </w:r>
      <w:r>
        <w:rPr/>
        <w:t>to</w:t>
      </w:r>
      <w:r>
        <w:rPr>
          <w:spacing w:val="-18"/>
        </w:rPr>
        <w:t> </w:t>
      </w:r>
      <w:r>
        <w:rPr/>
        <w:t>improve</w:t>
      </w:r>
      <w:r>
        <w:rPr>
          <w:spacing w:val="-18"/>
        </w:rPr>
        <w:t> </w:t>
      </w:r>
      <w:r>
        <w:rPr/>
        <w:t>their understanding, skills and knowledge of risk management</w:t>
      </w:r>
    </w:p>
    <w:p>
      <w:pPr>
        <w:pStyle w:val="BodyText"/>
      </w:pPr>
    </w:p>
    <w:p>
      <w:pPr>
        <w:pStyle w:val="BodyText"/>
        <w:spacing w:before="7"/>
        <w:rPr>
          <w:sz w:val="12"/>
        </w:rPr>
      </w:pPr>
    </w:p>
    <w:p>
      <w:pPr>
        <w:pStyle w:val="Heading7"/>
        <w:spacing w:before="1"/>
        <w:ind w:left="252" w:right="-14"/>
      </w:pPr>
      <w:r>
        <w:rPr>
          <w:w w:val="95"/>
        </w:rPr>
        <w:t>COMMON LANGUAGE</w:t>
      </w:r>
    </w:p>
    <w:p>
      <w:pPr>
        <w:pStyle w:val="BodyText"/>
        <w:spacing w:line="249" w:lineRule="auto" w:before="86"/>
        <w:ind w:left="252" w:right="304"/>
      </w:pPr>
      <w:r>
        <w:rPr/>
        <w:t>Using the same terminology, evaluation criteria and methodology across</w:t>
      </w:r>
    </w:p>
    <w:p>
      <w:pPr>
        <w:pStyle w:val="BodyText"/>
        <w:spacing w:line="249" w:lineRule="auto"/>
        <w:ind w:left="252" w:right="659"/>
      </w:pPr>
      <w:r>
        <w:rPr/>
        <w:t>the organisation for managing and communicating risk information</w:t>
      </w:r>
    </w:p>
    <w:p>
      <w:pPr>
        <w:pStyle w:val="Heading7"/>
        <w:spacing w:before="102"/>
        <w:ind w:left="278" w:right="735"/>
      </w:pPr>
      <w:r>
        <w:rPr>
          <w:b w:val="0"/>
        </w:rPr>
        <w:br w:type="column"/>
      </w:r>
      <w:r>
        <w:rPr/>
        <w:t>INFORMATION</w:t>
      </w:r>
    </w:p>
    <w:p>
      <w:pPr>
        <w:pStyle w:val="BodyText"/>
        <w:spacing w:line="249" w:lineRule="auto" w:before="86"/>
        <w:ind w:left="278" w:right="735"/>
      </w:pPr>
      <w:r>
        <w:rPr/>
        <w:t>A risk management system/database designed</w:t>
      </w:r>
      <w:r>
        <w:rPr>
          <w:spacing w:val="-20"/>
        </w:rPr>
        <w:t> </w:t>
      </w:r>
      <w:r>
        <w:rPr/>
        <w:t>to</w:t>
      </w:r>
      <w:r>
        <w:rPr>
          <w:spacing w:val="-20"/>
        </w:rPr>
        <w:t> </w:t>
      </w:r>
      <w:r>
        <w:rPr/>
        <w:t>capture,</w:t>
      </w:r>
      <w:r>
        <w:rPr>
          <w:spacing w:val="-20"/>
        </w:rPr>
        <w:t> </w:t>
      </w:r>
      <w:r>
        <w:rPr/>
        <w:t>analyse,</w:t>
      </w:r>
      <w:r>
        <w:rPr>
          <w:spacing w:val="-20"/>
        </w:rPr>
        <w:t> </w:t>
      </w:r>
      <w:r>
        <w:rPr/>
        <w:t>record</w:t>
      </w:r>
      <w:r>
        <w:rPr>
          <w:spacing w:val="-20"/>
        </w:rPr>
        <w:t> </w:t>
      </w:r>
      <w:r>
        <w:rPr/>
        <w:t>and report risk</w:t>
      </w:r>
      <w:r>
        <w:rPr>
          <w:spacing w:val="-24"/>
        </w:rPr>
        <w:t> </w:t>
      </w:r>
      <w:r>
        <w:rPr/>
        <w:t>data/information</w:t>
      </w:r>
    </w:p>
    <w:p>
      <w:pPr>
        <w:pStyle w:val="BodyText"/>
      </w:pPr>
    </w:p>
    <w:p>
      <w:pPr>
        <w:pStyle w:val="BodyText"/>
      </w:pPr>
    </w:p>
    <w:p>
      <w:pPr>
        <w:pStyle w:val="BodyText"/>
      </w:pPr>
    </w:p>
    <w:p>
      <w:pPr>
        <w:pStyle w:val="BodyText"/>
        <w:spacing w:before="6"/>
        <w:rPr>
          <w:sz w:val="13"/>
        </w:rPr>
      </w:pPr>
    </w:p>
    <w:p>
      <w:pPr>
        <w:pStyle w:val="Heading7"/>
        <w:ind w:left="278" w:right="735"/>
      </w:pPr>
      <w:r>
        <w:rPr/>
        <w:t>REVIEW</w:t>
      </w:r>
    </w:p>
    <w:p>
      <w:pPr>
        <w:pStyle w:val="BodyText"/>
        <w:spacing w:line="249" w:lineRule="auto" w:before="86"/>
        <w:ind w:left="278" w:right="360"/>
      </w:pPr>
      <w:r>
        <w:rPr>
          <w:spacing w:val="-5"/>
        </w:rPr>
        <w:t>To</w:t>
      </w:r>
      <w:r>
        <w:rPr>
          <w:spacing w:val="-18"/>
        </w:rPr>
        <w:t> </w:t>
      </w:r>
      <w:r>
        <w:rPr/>
        <w:t>provide</w:t>
      </w:r>
      <w:r>
        <w:rPr>
          <w:spacing w:val="-18"/>
        </w:rPr>
        <w:t> </w:t>
      </w:r>
      <w:r>
        <w:rPr/>
        <w:t>assurance</w:t>
      </w:r>
      <w:r>
        <w:rPr>
          <w:spacing w:val="-18"/>
        </w:rPr>
        <w:t> </w:t>
      </w:r>
      <w:r>
        <w:rPr/>
        <w:t>on</w:t>
      </w:r>
      <w:r>
        <w:rPr>
          <w:spacing w:val="-18"/>
        </w:rPr>
        <w:t> </w:t>
      </w:r>
      <w:r>
        <w:rPr/>
        <w:t>the</w:t>
      </w:r>
      <w:r>
        <w:rPr>
          <w:spacing w:val="-18"/>
        </w:rPr>
        <w:t> </w:t>
      </w:r>
      <w:r>
        <w:rPr/>
        <w:t>risk</w:t>
      </w:r>
      <w:r>
        <w:rPr>
          <w:spacing w:val="-18"/>
        </w:rPr>
        <w:t> </w:t>
      </w:r>
      <w:r>
        <w:rPr/>
        <w:t>management program’s effectiveness, relevance and currency via regular reviews by senior management</w:t>
      </w:r>
      <w:r>
        <w:rPr>
          <w:spacing w:val="-25"/>
        </w:rPr>
        <w:t> </w:t>
      </w:r>
      <w:r>
        <w:rPr/>
        <w:t>and</w:t>
      </w:r>
      <w:r>
        <w:rPr>
          <w:spacing w:val="-25"/>
        </w:rPr>
        <w:t> </w:t>
      </w:r>
      <w:r>
        <w:rPr/>
        <w:t>independent</w:t>
      </w:r>
      <w:r>
        <w:rPr>
          <w:spacing w:val="-25"/>
        </w:rPr>
        <w:t> </w:t>
      </w:r>
      <w:r>
        <w:rPr>
          <w:spacing w:val="2"/>
        </w:rPr>
        <w:t>assessors</w:t>
      </w:r>
    </w:p>
    <w:p>
      <w:pPr>
        <w:spacing w:after="0" w:line="249" w:lineRule="auto"/>
        <w:sectPr>
          <w:type w:val="continuous"/>
          <w:pgSz w:w="11910" w:h="16840"/>
          <w:pgMar w:top="1580" w:bottom="280" w:left="0" w:right="580"/>
          <w:cols w:num="3" w:equalWidth="0">
            <w:col w:w="4054" w:space="40"/>
            <w:col w:w="3374" w:space="40"/>
            <w:col w:w="3822"/>
          </w:cols>
        </w:sectPr>
      </w:pPr>
    </w:p>
    <w:p>
      <w:pPr>
        <w:pStyle w:val="BodyText"/>
        <w:spacing w:before="6"/>
        <w:rPr>
          <w:sz w:val="28"/>
        </w:rPr>
      </w:pPr>
      <w:r>
        <w:rPr/>
        <w:pict>
          <v:group style="position:absolute;margin-left:34.015999pt;margin-top:45.355015pt;width:527.25pt;height:751.2pt;mso-position-horizontal-relative:page;mso-position-vertical-relative:page;z-index:-334936" coordorigin="680,907" coordsize="10545,15024">
            <v:rect style="position:absolute;left:680;top:907;width:10545;height:15024" filled="true" fillcolor="#e9e9e9" stroked="false">
              <v:fill type="solid"/>
            </v:rect>
            <v:line style="position:absolute" from="907,5125" to="10998,5125" stroked="true" strokeweight="1.5pt" strokecolor="#000000"/>
            <v:line style="position:absolute" from="907,6890" to="10998,6890" stroked="true" strokeweight="1.5pt" strokecolor="#000000"/>
            <v:line style="position:absolute" from="907,9766" to="10998,9766" stroked="true" strokeweight="1.5pt" strokecolor="#000000"/>
            <v:line style="position:absolute" from="907,12271" to="10998,12271" stroked="true" strokeweight="1.5pt" strokecolor="#000000"/>
            <w10:wrap type="none"/>
          </v:group>
        </w:pict>
      </w:r>
    </w:p>
    <w:p>
      <w:pPr>
        <w:pStyle w:val="Heading1"/>
      </w:pPr>
      <w:bookmarkStart w:name="_TOC_250020" w:id="34"/>
      <w:bookmarkEnd w:id="34"/>
      <w:r>
        <w:rPr>
          <w:w w:val="95"/>
        </w:rPr>
        <w:t>APPENDIX 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6585"/>
      </w:pPr>
      <w:bookmarkStart w:name="_TOC_250019" w:id="35"/>
      <w:bookmarkEnd w:id="35"/>
      <w:r>
        <w:rPr>
          <w:w w:val="95"/>
        </w:rPr>
        <w:t>BOARD OF TRUSTEES MEMBERS</w:t>
      </w:r>
    </w:p>
    <w:p>
      <w:pPr>
        <w:pStyle w:val="Heading7"/>
        <w:spacing w:before="102"/>
        <w:ind w:left="327" w:right="7611"/>
      </w:pPr>
      <w:r>
        <w:rPr>
          <w:w w:val="95"/>
        </w:rPr>
        <w:t>THREE OFFICIAL MEMBERS</w:t>
      </w:r>
    </w:p>
    <w:p>
      <w:pPr>
        <w:pStyle w:val="BodyText"/>
        <w:spacing w:line="460" w:lineRule="auto" w:before="86"/>
        <w:ind w:left="327" w:right="6969"/>
      </w:pPr>
      <w:r>
        <w:rPr/>
        <w:t>Professor Peter Shergold AC, Chancellor Professor Barney Glover, Vice-Chancellor</w:t>
      </w:r>
    </w:p>
    <w:p>
      <w:pPr>
        <w:pStyle w:val="BodyText"/>
        <w:spacing w:line="192" w:lineRule="exact"/>
        <w:ind w:left="327" w:right="5978"/>
      </w:pPr>
      <w:r>
        <w:rPr/>
        <w:t>Associate Professor Paul Wormell, Chair of Academic Senate</w:t>
      </w:r>
    </w:p>
    <w:p>
      <w:pPr>
        <w:pStyle w:val="BodyText"/>
      </w:pPr>
    </w:p>
    <w:p>
      <w:pPr>
        <w:pStyle w:val="BodyText"/>
      </w:pPr>
    </w:p>
    <w:p>
      <w:pPr>
        <w:pStyle w:val="BodyText"/>
        <w:spacing w:before="10"/>
        <w:rPr>
          <w:sz w:val="13"/>
        </w:rPr>
      </w:pPr>
    </w:p>
    <w:p>
      <w:pPr>
        <w:pStyle w:val="Heading7"/>
        <w:ind w:left="327" w:right="6585"/>
      </w:pPr>
      <w:r>
        <w:rPr>
          <w:w w:val="95"/>
        </w:rPr>
        <w:t>SIX APPOINTED MEMBERS (MINISTERIAL)</w:t>
      </w:r>
    </w:p>
    <w:p>
      <w:pPr>
        <w:pStyle w:val="BodyText"/>
        <w:spacing w:before="86"/>
        <w:ind w:left="327" w:right="7611"/>
      </w:pPr>
      <w:r>
        <w:rPr/>
        <w:t>Mr John Banks</w:t>
      </w:r>
    </w:p>
    <w:p>
      <w:pPr>
        <w:pStyle w:val="BodyText"/>
        <w:spacing w:before="7"/>
        <w:rPr>
          <w:sz w:val="14"/>
        </w:rPr>
      </w:pPr>
    </w:p>
    <w:p>
      <w:pPr>
        <w:pStyle w:val="BodyText"/>
        <w:spacing w:line="460" w:lineRule="auto" w:before="1"/>
        <w:ind w:left="327" w:right="7611"/>
      </w:pPr>
      <w:r>
        <w:rPr/>
        <w:t>Emeritus Professor MaryAnn Bin-Sallik Ms Elizabeth Dibbs (Deputy Chancellor) Ms Genevieve Gregor (Pro Chancellor) Ms Vivienne James</w:t>
      </w:r>
    </w:p>
    <w:p>
      <w:pPr>
        <w:pStyle w:val="BodyText"/>
        <w:spacing w:line="192" w:lineRule="exact"/>
        <w:ind w:left="327" w:right="7611"/>
      </w:pPr>
      <w:r>
        <w:rPr/>
        <w:t>Mr Ian Stone</w:t>
      </w:r>
    </w:p>
    <w:p>
      <w:pPr>
        <w:pStyle w:val="BodyText"/>
      </w:pPr>
    </w:p>
    <w:p>
      <w:pPr>
        <w:pStyle w:val="BodyText"/>
      </w:pPr>
    </w:p>
    <w:p>
      <w:pPr>
        <w:pStyle w:val="BodyText"/>
        <w:spacing w:before="10"/>
        <w:rPr>
          <w:sz w:val="13"/>
        </w:rPr>
      </w:pPr>
    </w:p>
    <w:p>
      <w:pPr>
        <w:pStyle w:val="Heading7"/>
        <w:ind w:left="327" w:right="7611"/>
      </w:pPr>
      <w:r>
        <w:rPr>
          <w:w w:val="95"/>
        </w:rPr>
        <w:t>FOUR APPOINTED MEMBERS (BOARD)</w:t>
      </w:r>
    </w:p>
    <w:p>
      <w:pPr>
        <w:pStyle w:val="BodyText"/>
        <w:spacing w:before="86"/>
        <w:ind w:left="327" w:right="7611"/>
      </w:pPr>
      <w:r>
        <w:rPr/>
        <w:t>Mr Christopher Brown</w:t>
      </w:r>
    </w:p>
    <w:p>
      <w:pPr>
        <w:pStyle w:val="BodyText"/>
        <w:spacing w:before="7"/>
        <w:rPr>
          <w:sz w:val="14"/>
        </w:rPr>
      </w:pPr>
    </w:p>
    <w:p>
      <w:pPr>
        <w:pStyle w:val="BodyText"/>
        <w:spacing w:line="460" w:lineRule="auto" w:before="1"/>
        <w:ind w:left="327" w:right="6822"/>
      </w:pPr>
      <w:r>
        <w:rPr>
          <w:w w:val="96"/>
        </w:rPr>
        <w:t>Mr </w:t>
      </w:r>
      <w:r>
        <w:rPr>
          <w:w w:val="97"/>
        </w:rPr>
        <w:t>Peeyush </w:t>
      </w:r>
      <w:r>
        <w:rPr>
          <w:w w:val="98"/>
        </w:rPr>
        <w:t>Gupta </w:t>
      </w:r>
      <w:r>
        <w:rPr>
          <w:w w:val="89"/>
        </w:rPr>
        <w:t>– </w:t>
      </w:r>
      <w:r>
        <w:rPr>
          <w:w w:val="78"/>
        </w:rPr>
        <w:t>14 </w:t>
      </w:r>
      <w:r>
        <w:rPr>
          <w:w w:val="98"/>
        </w:rPr>
        <w:t>June </w:t>
      </w:r>
      <w:r>
        <w:rPr>
          <w:w w:val="90"/>
        </w:rPr>
        <w:t>2016 </w:t>
      </w:r>
      <w:r>
        <w:rPr>
          <w:w w:val="101"/>
        </w:rPr>
        <w:t>to </w:t>
      </w:r>
      <w:r>
        <w:rPr>
          <w:w w:val="74"/>
        </w:rPr>
        <w:t>13 </w:t>
      </w:r>
      <w:r>
        <w:rPr>
          <w:w w:val="98"/>
        </w:rPr>
        <w:t>June </w:t>
      </w:r>
      <w:r>
        <w:rPr>
          <w:w w:val="102"/>
        </w:rPr>
        <w:t>2020 </w:t>
      </w:r>
      <w:r>
        <w:rPr/>
        <w:t>Mr Michael Pratt (Deputy Chancellor)</w:t>
      </w:r>
    </w:p>
    <w:p>
      <w:pPr>
        <w:pStyle w:val="BodyText"/>
        <w:spacing w:line="460" w:lineRule="auto"/>
        <w:ind w:left="327" w:right="5978"/>
      </w:pPr>
      <w:r>
        <w:rPr>
          <w:w w:val="96"/>
        </w:rPr>
        <w:t>Ms </w:t>
      </w:r>
      <w:r>
        <w:rPr>
          <w:w w:val="96"/>
        </w:rPr>
        <w:t>Gillian </w:t>
      </w:r>
      <w:r>
        <w:rPr>
          <w:w w:val="98"/>
        </w:rPr>
        <w:t>Shadwick </w:t>
      </w:r>
      <w:r>
        <w:rPr>
          <w:w w:val="98"/>
        </w:rPr>
        <w:t>(Deputy </w:t>
      </w:r>
      <w:r>
        <w:rPr>
          <w:w w:val="97"/>
        </w:rPr>
        <w:t>Chancellor) </w:t>
      </w:r>
      <w:r>
        <w:rPr>
          <w:w w:val="89"/>
        </w:rPr>
        <w:t>– </w:t>
      </w:r>
      <w:r>
        <w:rPr>
          <w:w w:val="97"/>
        </w:rPr>
        <w:t>retired </w:t>
      </w:r>
      <w:r>
        <w:rPr>
          <w:w w:val="103"/>
        </w:rPr>
        <w:t>4 </w:t>
      </w:r>
      <w:r>
        <w:rPr>
          <w:w w:val="100"/>
        </w:rPr>
        <w:t>April </w:t>
      </w:r>
      <w:r>
        <w:rPr>
          <w:w w:val="90"/>
        </w:rPr>
        <w:t>2016 </w:t>
      </w:r>
      <w:r>
        <w:rPr/>
        <w:t>Ms Gabrielle Trainor</w:t>
      </w:r>
    </w:p>
    <w:p>
      <w:pPr>
        <w:pStyle w:val="BodyText"/>
      </w:pPr>
    </w:p>
    <w:p>
      <w:pPr>
        <w:pStyle w:val="BodyText"/>
        <w:spacing w:before="1"/>
        <w:rPr>
          <w:sz w:val="15"/>
        </w:rPr>
      </w:pPr>
    </w:p>
    <w:p>
      <w:pPr>
        <w:pStyle w:val="Heading7"/>
        <w:ind w:left="327" w:right="7611"/>
      </w:pPr>
      <w:r>
        <w:rPr>
          <w:w w:val="95"/>
        </w:rPr>
        <w:t>FIVE ELECTED MEMBERS</w:t>
      </w:r>
    </w:p>
    <w:p>
      <w:pPr>
        <w:pStyle w:val="BodyText"/>
        <w:spacing w:line="460" w:lineRule="auto" w:before="86"/>
        <w:ind w:left="327" w:right="7761"/>
      </w:pPr>
      <w:r>
        <w:rPr/>
        <w:t>Dr Ben Etherington, Academic Staff Mr Tim Ferraro, Graduate</w:t>
      </w:r>
    </w:p>
    <w:p>
      <w:pPr>
        <w:pStyle w:val="BodyText"/>
        <w:spacing w:line="460" w:lineRule="auto"/>
        <w:ind w:left="327" w:right="6969"/>
      </w:pPr>
      <w:r>
        <w:rPr/>
        <w:t>Ms Winnie Jobanputra, Undergraduate Student Ms Sophie Kobuch, Postgraduate Student</w:t>
      </w:r>
    </w:p>
    <w:p>
      <w:pPr>
        <w:pStyle w:val="BodyText"/>
        <w:spacing w:line="192" w:lineRule="exact"/>
        <w:ind w:left="327" w:right="7611"/>
      </w:pPr>
      <w:r>
        <w:rPr/>
        <w:t>Ms Jenny Purcell, Professional Staff</w:t>
      </w:r>
    </w:p>
    <w:p>
      <w:pPr>
        <w:spacing w:after="0" w:line="192" w:lineRule="exact"/>
        <w:sectPr>
          <w:footerReference w:type="even" r:id="rId68"/>
          <w:footerReference w:type="default" r:id="rId69"/>
          <w:pgSz w:w="11910" w:h="16840"/>
          <w:pgMar w:footer="472" w:header="496" w:top="680" w:bottom="660" w:left="580" w:right="580"/>
          <w:pgNumType w:start="72"/>
        </w:sectPr>
      </w:pPr>
    </w:p>
    <w:p>
      <w:pPr>
        <w:pStyle w:val="BodyText"/>
        <w:spacing w:before="6"/>
        <w:rPr>
          <w:sz w:val="28"/>
        </w:rPr>
      </w:pPr>
      <w:r>
        <w:rPr/>
        <w:pict>
          <v:rect style="position:absolute;margin-left:34.015999pt;margin-top:45.355015pt;width:527.244pt;height:751.181pt;mso-position-horizontal-relative:page;mso-position-vertical-relative:page;z-index:-334912" filled="true" fillcolor="#e9e9e9" stroked="false">
            <v:fill type="solid"/>
            <w10:wrap type="none"/>
          </v:rect>
        </w:pict>
      </w:r>
    </w:p>
    <w:p>
      <w:pPr>
        <w:pStyle w:val="Heading1"/>
      </w:pPr>
      <w:bookmarkStart w:name="_TOC_250018" w:id="36"/>
      <w:bookmarkEnd w:id="36"/>
      <w:r>
        <w:rPr>
          <w:w w:val="95"/>
        </w:rPr>
        <w:t>APPENDIX 2</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6585"/>
      </w:pPr>
      <w:bookmarkStart w:name="_TOC_250017" w:id="37"/>
      <w:bookmarkEnd w:id="37"/>
      <w:r>
        <w:rPr>
          <w:w w:val="95"/>
        </w:rPr>
        <w:t>BOARD OF TRUSTEES MEETINGS</w:t>
      </w:r>
    </w:p>
    <w:p>
      <w:pPr>
        <w:pStyle w:val="BodyText"/>
        <w:spacing w:before="1"/>
        <w:rPr>
          <w:rFonts w:ascii="Gotham Narrow Bold"/>
          <w:b/>
          <w:sz w:val="9"/>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038"/>
        <w:gridCol w:w="584"/>
        <w:gridCol w:w="584"/>
        <w:gridCol w:w="584"/>
        <w:gridCol w:w="584"/>
        <w:gridCol w:w="601"/>
        <w:gridCol w:w="601"/>
        <w:gridCol w:w="584"/>
        <w:gridCol w:w="584"/>
        <w:gridCol w:w="584"/>
        <w:gridCol w:w="584"/>
        <w:gridCol w:w="584"/>
        <w:gridCol w:w="584"/>
      </w:tblGrid>
      <w:tr>
        <w:trPr>
          <w:trHeight w:val="301" w:hRule="exact"/>
        </w:trPr>
        <w:tc>
          <w:tcPr>
            <w:tcW w:w="3038" w:type="dxa"/>
            <w:vMerge w:val="restart"/>
            <w:tcBorders>
              <w:top w:val="nil"/>
              <w:left w:val="nil"/>
              <w:right w:val="single" w:sz="4" w:space="0" w:color="FFFFFF"/>
            </w:tcBorders>
            <w:shd w:val="clear" w:color="auto" w:fill="949290"/>
          </w:tcPr>
          <w:p>
            <w:pPr>
              <w:pStyle w:val="TableParagraph"/>
              <w:spacing w:before="58"/>
              <w:ind w:left="80" w:right="159"/>
              <w:jc w:val="left"/>
              <w:rPr>
                <w:rFonts w:ascii="Calibri"/>
                <w:sz w:val="16"/>
              </w:rPr>
            </w:pPr>
            <w:r>
              <w:rPr>
                <w:rFonts w:ascii="Calibri"/>
                <w:color w:val="FFFFFF"/>
                <w:w w:val="110"/>
                <w:sz w:val="16"/>
              </w:rPr>
              <w:t>A = Number of meetings attended</w:t>
            </w:r>
          </w:p>
          <w:p>
            <w:pPr>
              <w:pStyle w:val="TableParagraph"/>
              <w:spacing w:line="244" w:lineRule="auto" w:before="4"/>
              <w:ind w:left="80" w:right="159"/>
              <w:jc w:val="left"/>
              <w:rPr>
                <w:rFonts w:ascii="Calibri"/>
                <w:sz w:val="16"/>
              </w:rPr>
            </w:pPr>
            <w:r>
              <w:rPr>
                <w:rFonts w:ascii="Calibri"/>
                <w:color w:val="FFFFFF"/>
                <w:w w:val="105"/>
                <w:sz w:val="16"/>
              </w:rPr>
              <w:t>B = </w:t>
            </w:r>
            <w:r>
              <w:rPr>
                <w:rFonts w:ascii="Calibri"/>
                <w:color w:val="FFFFFF"/>
                <w:spacing w:val="2"/>
                <w:w w:val="105"/>
                <w:sz w:val="16"/>
              </w:rPr>
              <w:t>Number </w:t>
            </w:r>
            <w:r>
              <w:rPr>
                <w:rFonts w:ascii="Calibri"/>
                <w:color w:val="FFFFFF"/>
                <w:w w:val="105"/>
                <w:sz w:val="16"/>
              </w:rPr>
              <w:t>of meetings held during   the time the </w:t>
            </w:r>
            <w:r>
              <w:rPr>
                <w:rFonts w:ascii="Calibri"/>
                <w:color w:val="FFFFFF"/>
                <w:spacing w:val="2"/>
                <w:w w:val="105"/>
                <w:sz w:val="16"/>
              </w:rPr>
              <w:t>member </w:t>
            </w:r>
            <w:r>
              <w:rPr>
                <w:rFonts w:ascii="Calibri"/>
                <w:color w:val="FFFFFF"/>
                <w:w w:val="105"/>
                <w:sz w:val="16"/>
              </w:rPr>
              <w:t>held office or was a </w:t>
            </w:r>
            <w:r>
              <w:rPr>
                <w:rFonts w:ascii="Calibri"/>
                <w:color w:val="FFFFFF"/>
                <w:spacing w:val="2"/>
                <w:w w:val="105"/>
                <w:sz w:val="16"/>
              </w:rPr>
              <w:t>member </w:t>
            </w:r>
            <w:r>
              <w:rPr>
                <w:rFonts w:ascii="Calibri"/>
                <w:color w:val="FFFFFF"/>
                <w:w w:val="105"/>
                <w:sz w:val="16"/>
              </w:rPr>
              <w:t>of the committee during the year#</w:t>
            </w:r>
          </w:p>
        </w:tc>
        <w:tc>
          <w:tcPr>
            <w:tcW w:w="7041" w:type="dxa"/>
            <w:gridSpan w:val="12"/>
            <w:tcBorders>
              <w:top w:val="nil"/>
              <w:left w:val="single" w:sz="4" w:space="0" w:color="FFFFFF"/>
              <w:bottom w:val="single" w:sz="4" w:space="0" w:color="FFFFFF"/>
              <w:right w:val="nil"/>
            </w:tcBorders>
            <w:shd w:val="clear" w:color="auto" w:fill="949290"/>
          </w:tcPr>
          <w:p>
            <w:pPr>
              <w:pStyle w:val="TableParagraph"/>
              <w:spacing w:before="61"/>
              <w:ind w:left="2190"/>
              <w:jc w:val="left"/>
              <w:rPr>
                <w:rFonts w:ascii="Gotham Narrow Bold"/>
                <w:b/>
                <w:sz w:val="16"/>
              </w:rPr>
            </w:pPr>
            <w:r>
              <w:rPr>
                <w:rFonts w:ascii="Gotham Narrow Bold"/>
                <w:b/>
                <w:color w:val="FFFFFF"/>
                <w:sz w:val="16"/>
              </w:rPr>
              <w:t>Committees of the Board of Trustees</w:t>
            </w:r>
          </w:p>
        </w:tc>
      </w:tr>
      <w:tr>
        <w:trPr>
          <w:trHeight w:val="491" w:hRule="exact"/>
        </w:trPr>
        <w:tc>
          <w:tcPr>
            <w:tcW w:w="3038" w:type="dxa"/>
            <w:vMerge/>
            <w:tcBorders>
              <w:left w:val="nil"/>
              <w:right w:val="single" w:sz="4" w:space="0" w:color="FFFFFF"/>
            </w:tcBorders>
            <w:shd w:val="clear" w:color="auto" w:fill="949290"/>
          </w:tcPr>
          <w:p>
            <w:pP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49290"/>
          </w:tcPr>
          <w:p>
            <w:pPr>
              <w:pStyle w:val="TableParagraph"/>
              <w:spacing w:line="249" w:lineRule="auto" w:before="51"/>
              <w:ind w:left="272" w:hanging="6"/>
              <w:jc w:val="left"/>
              <w:rPr>
                <w:rFonts w:ascii="Gotham Narrow Bold"/>
                <w:b/>
                <w:sz w:val="16"/>
              </w:rPr>
            </w:pPr>
            <w:r>
              <w:rPr>
                <w:rFonts w:ascii="Gotham Narrow Bold"/>
                <w:b/>
                <w:color w:val="FFFFFF"/>
                <w:sz w:val="16"/>
              </w:rPr>
              <w:t>Board of </w:t>
            </w:r>
            <w:r>
              <w:rPr>
                <w:rFonts w:ascii="Gotham Narrow Bold"/>
                <w:b/>
                <w:color w:val="FFFFFF"/>
                <w:w w:val="95"/>
                <w:sz w:val="16"/>
              </w:rPr>
              <w:t>Trustees</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49290"/>
          </w:tcPr>
          <w:p>
            <w:pPr>
              <w:pStyle w:val="TableParagraph"/>
              <w:spacing w:before="6"/>
              <w:jc w:val="left"/>
              <w:rPr>
                <w:rFonts w:ascii="Gotham Narrow Bold"/>
                <w:b/>
                <w:sz w:val="12"/>
              </w:rPr>
            </w:pPr>
          </w:p>
          <w:p>
            <w:pPr>
              <w:pStyle w:val="TableParagraph"/>
              <w:spacing w:before="1"/>
              <w:ind w:left="140"/>
              <w:jc w:val="left"/>
              <w:rPr>
                <w:rFonts w:ascii="Gotham Narrow Bold"/>
                <w:b/>
                <w:sz w:val="16"/>
              </w:rPr>
            </w:pPr>
            <w:r>
              <w:rPr>
                <w:rFonts w:ascii="Gotham Narrow Bold"/>
                <w:b/>
                <w:color w:val="FFFFFF"/>
                <w:sz w:val="16"/>
              </w:rPr>
              <w:t>Audit &amp; Risk</w:t>
            </w:r>
          </w:p>
        </w:tc>
        <w:tc>
          <w:tcPr>
            <w:tcW w:w="1202" w:type="dxa"/>
            <w:gridSpan w:val="2"/>
            <w:tcBorders>
              <w:top w:val="single" w:sz="4" w:space="0" w:color="FFFFFF"/>
              <w:left w:val="single" w:sz="4" w:space="0" w:color="FFFFFF"/>
              <w:bottom w:val="single" w:sz="4" w:space="0" w:color="FFFFFF"/>
              <w:right w:val="single" w:sz="4" w:space="0" w:color="FFFFFF"/>
            </w:tcBorders>
            <w:shd w:val="clear" w:color="auto" w:fill="949290"/>
          </w:tcPr>
          <w:p>
            <w:pPr>
              <w:pStyle w:val="TableParagraph"/>
              <w:spacing w:line="249" w:lineRule="auto" w:before="51"/>
              <w:ind w:left="82" w:right="16" w:firstLine="14"/>
              <w:jc w:val="left"/>
              <w:rPr>
                <w:rFonts w:ascii="Gotham Narrow Bold"/>
                <w:b/>
                <w:sz w:val="16"/>
              </w:rPr>
            </w:pPr>
            <w:r>
              <w:rPr>
                <w:rFonts w:ascii="Gotham Narrow Bold"/>
                <w:b/>
                <w:color w:val="FFFFFF"/>
                <w:w w:val="95"/>
                <w:sz w:val="16"/>
              </w:rPr>
              <w:t>Remuneration &amp; Nominations</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49290"/>
          </w:tcPr>
          <w:p>
            <w:pPr>
              <w:pStyle w:val="TableParagraph"/>
              <w:spacing w:line="249" w:lineRule="auto" w:before="51"/>
              <w:ind w:left="250" w:firstLine="108"/>
              <w:jc w:val="left"/>
              <w:rPr>
                <w:rFonts w:ascii="Gotham Narrow Bold"/>
                <w:b/>
                <w:sz w:val="16"/>
              </w:rPr>
            </w:pPr>
            <w:r>
              <w:rPr>
                <w:rFonts w:ascii="Gotham Narrow Bold"/>
                <w:b/>
                <w:color w:val="FFFFFF"/>
                <w:sz w:val="16"/>
              </w:rPr>
              <w:t>Board </w:t>
            </w:r>
            <w:r>
              <w:rPr>
                <w:rFonts w:ascii="Gotham Narrow Bold"/>
                <w:b/>
                <w:color w:val="FFFFFF"/>
                <w:w w:val="95"/>
                <w:sz w:val="16"/>
              </w:rPr>
              <w:t>Standing</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49290"/>
          </w:tcPr>
          <w:p>
            <w:pPr>
              <w:pStyle w:val="TableParagraph"/>
              <w:spacing w:line="249" w:lineRule="auto" w:before="51"/>
              <w:ind w:left="83" w:right="74" w:firstLine="131"/>
              <w:jc w:val="left"/>
              <w:rPr>
                <w:rFonts w:ascii="Gotham Narrow Bold"/>
                <w:b/>
                <w:sz w:val="16"/>
              </w:rPr>
            </w:pPr>
            <w:r>
              <w:rPr>
                <w:rFonts w:ascii="Gotham Narrow Bold"/>
                <w:b/>
                <w:color w:val="FFFFFF"/>
                <w:sz w:val="16"/>
              </w:rPr>
              <w:t>University </w:t>
            </w:r>
            <w:r>
              <w:rPr>
                <w:rFonts w:ascii="Gotham Narrow Bold"/>
                <w:b/>
                <w:color w:val="FFFFFF"/>
                <w:w w:val="95"/>
                <w:sz w:val="16"/>
              </w:rPr>
              <w:t>Infrastructure</w:t>
            </w:r>
          </w:p>
        </w:tc>
        <w:tc>
          <w:tcPr>
            <w:tcW w:w="1168" w:type="dxa"/>
            <w:gridSpan w:val="2"/>
            <w:tcBorders>
              <w:top w:val="single" w:sz="4" w:space="0" w:color="FFFFFF"/>
              <w:left w:val="single" w:sz="4" w:space="0" w:color="FFFFFF"/>
              <w:bottom w:val="single" w:sz="4" w:space="0" w:color="FFFFFF"/>
              <w:right w:val="nil"/>
            </w:tcBorders>
            <w:shd w:val="clear" w:color="auto" w:fill="949290"/>
          </w:tcPr>
          <w:p>
            <w:pPr>
              <w:pStyle w:val="TableParagraph"/>
              <w:spacing w:line="249" w:lineRule="auto" w:before="51"/>
              <w:ind w:left="169" w:firstLine="58"/>
              <w:jc w:val="left"/>
              <w:rPr>
                <w:rFonts w:ascii="Gotham Narrow Bold"/>
                <w:b/>
                <w:sz w:val="16"/>
              </w:rPr>
            </w:pPr>
            <w:r>
              <w:rPr>
                <w:rFonts w:ascii="Gotham Narrow Bold"/>
                <w:b/>
                <w:color w:val="FFFFFF"/>
                <w:sz w:val="16"/>
              </w:rPr>
              <w:t>Finance &amp; </w:t>
            </w:r>
            <w:r>
              <w:rPr>
                <w:rFonts w:ascii="Gotham Narrow Bold"/>
                <w:b/>
                <w:color w:val="FFFFFF"/>
                <w:w w:val="95"/>
                <w:sz w:val="16"/>
              </w:rPr>
              <w:t>Investment</w:t>
            </w:r>
          </w:p>
        </w:tc>
      </w:tr>
      <w:tr>
        <w:trPr>
          <w:trHeight w:val="300" w:hRule="exact"/>
        </w:trPr>
        <w:tc>
          <w:tcPr>
            <w:tcW w:w="3038" w:type="dxa"/>
            <w:vMerge/>
            <w:tcBorders>
              <w:left w:val="nil"/>
              <w:bottom w:val="nil"/>
              <w:right w:val="single" w:sz="4" w:space="0" w:color="FFFFFF"/>
            </w:tcBorders>
            <w:shd w:val="clear" w:color="auto" w:fill="949290"/>
          </w:tcPr>
          <w:p>
            <w:pP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ind w:left="232"/>
              <w:jc w:val="left"/>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ind w:left="236"/>
              <w:jc w:val="left"/>
              <w:rPr>
                <w:rFonts w:ascii="Gotham Narrow Bold"/>
                <w:b/>
                <w:sz w:val="16"/>
              </w:rPr>
            </w:pPr>
            <w:r>
              <w:rPr>
                <w:rFonts w:ascii="Gotham Narrow Bold"/>
                <w:b/>
                <w:color w:val="FFFFFF"/>
                <w:w w:val="95"/>
                <w:sz w:val="16"/>
              </w:rPr>
              <w:t>B</w:t>
            </w:r>
          </w:p>
        </w:tc>
        <w:tc>
          <w:tcPr>
            <w:tcW w:w="601"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6"/>
                <w:sz w:val="16"/>
              </w:rPr>
              <w:t>A</w:t>
            </w:r>
          </w:p>
        </w:tc>
        <w:tc>
          <w:tcPr>
            <w:tcW w:w="601" w:type="dxa"/>
            <w:tcBorders>
              <w:top w:val="single" w:sz="4" w:space="0" w:color="FFFFFF"/>
              <w:left w:val="single" w:sz="4" w:space="0" w:color="FFFFFF"/>
              <w:bottom w:val="nil"/>
              <w:right w:val="single" w:sz="4" w:space="0" w:color="FFFFFF"/>
            </w:tcBorders>
            <w:shd w:val="clear" w:color="auto" w:fill="949290"/>
          </w:tcPr>
          <w:p>
            <w:pPr>
              <w:pStyle w:val="TableParagraph"/>
              <w:ind w:left="245"/>
              <w:jc w:val="left"/>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49290"/>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nil"/>
            </w:tcBorders>
            <w:shd w:val="clear" w:color="auto" w:fill="949290"/>
          </w:tcPr>
          <w:p>
            <w:pPr>
              <w:pStyle w:val="TableParagraph"/>
              <w:ind w:right="3"/>
              <w:jc w:val="center"/>
              <w:rPr>
                <w:rFonts w:ascii="Gotham Narrow Bold"/>
                <w:b/>
                <w:sz w:val="16"/>
              </w:rPr>
            </w:pPr>
            <w:r>
              <w:rPr>
                <w:rFonts w:ascii="Gotham Narrow Bold"/>
                <w:b/>
                <w:color w:val="FFFFFF"/>
                <w:w w:val="95"/>
                <w:sz w:val="16"/>
              </w:rPr>
              <w:t>B</w:t>
            </w:r>
          </w:p>
        </w:tc>
      </w:tr>
      <w:tr>
        <w:trPr>
          <w:trHeight w:val="277" w:hRule="exact"/>
        </w:trPr>
        <w:tc>
          <w:tcPr>
            <w:tcW w:w="3038" w:type="dxa"/>
            <w:tcBorders>
              <w:top w:val="nil"/>
            </w:tcBorders>
            <w:shd w:val="clear" w:color="auto" w:fill="E9E9E9"/>
          </w:tcPr>
          <w:p>
            <w:pPr>
              <w:pStyle w:val="TableParagraph"/>
              <w:spacing w:before="42"/>
              <w:ind w:left="74"/>
              <w:jc w:val="left"/>
              <w:rPr>
                <w:sz w:val="16"/>
              </w:rPr>
            </w:pPr>
            <w:r>
              <w:rPr>
                <w:sz w:val="16"/>
              </w:rPr>
              <w:t>Mr John Banks</w:t>
            </w:r>
          </w:p>
        </w:tc>
        <w:tc>
          <w:tcPr>
            <w:tcW w:w="584" w:type="dxa"/>
            <w:tcBorders>
              <w:top w:val="nil"/>
            </w:tcBorders>
            <w:shd w:val="clear" w:color="auto" w:fill="E9E9E9"/>
          </w:tcPr>
          <w:p>
            <w:pPr>
              <w:pStyle w:val="TableParagraph"/>
              <w:spacing w:before="42"/>
              <w:ind w:left="241"/>
              <w:jc w:val="left"/>
              <w:rPr>
                <w:sz w:val="16"/>
              </w:rPr>
            </w:pPr>
            <w:r>
              <w:rPr>
                <w:w w:val="103"/>
                <w:sz w:val="16"/>
              </w:rPr>
              <w:t>4</w:t>
            </w:r>
          </w:p>
        </w:tc>
        <w:tc>
          <w:tcPr>
            <w:tcW w:w="584" w:type="dxa"/>
            <w:tcBorders>
              <w:top w:val="nil"/>
            </w:tcBorders>
            <w:shd w:val="clear" w:color="auto" w:fill="E9E9E9"/>
          </w:tcPr>
          <w:p>
            <w:pPr>
              <w:pStyle w:val="TableParagraph"/>
              <w:spacing w:before="42"/>
              <w:jc w:val="center"/>
              <w:rPr>
                <w:sz w:val="16"/>
              </w:rPr>
            </w:pPr>
            <w:r>
              <w:rPr>
                <w:w w:val="91"/>
                <w:sz w:val="16"/>
              </w:rPr>
              <w:t>7</w:t>
            </w:r>
          </w:p>
        </w:tc>
        <w:tc>
          <w:tcPr>
            <w:tcW w:w="584" w:type="dxa"/>
            <w:tcBorders>
              <w:top w:val="nil"/>
            </w:tcBorders>
            <w:shd w:val="clear" w:color="auto" w:fill="E9E9E9"/>
          </w:tcPr>
          <w:p>
            <w:pPr/>
          </w:p>
        </w:tc>
        <w:tc>
          <w:tcPr>
            <w:tcW w:w="584" w:type="dxa"/>
            <w:tcBorders>
              <w:top w:val="nil"/>
            </w:tcBorders>
            <w:shd w:val="clear" w:color="auto" w:fill="E9E9E9"/>
          </w:tcPr>
          <w:p>
            <w:pPr/>
          </w:p>
        </w:tc>
        <w:tc>
          <w:tcPr>
            <w:tcW w:w="601" w:type="dxa"/>
            <w:tcBorders>
              <w:top w:val="nil"/>
            </w:tcBorders>
            <w:shd w:val="clear" w:color="auto" w:fill="E9E9E9"/>
          </w:tcPr>
          <w:p>
            <w:pPr/>
          </w:p>
        </w:tc>
        <w:tc>
          <w:tcPr>
            <w:tcW w:w="601" w:type="dxa"/>
            <w:tcBorders>
              <w:top w:val="nil"/>
            </w:tcBorders>
            <w:shd w:val="clear" w:color="auto" w:fill="E9E9E9"/>
          </w:tcPr>
          <w:p>
            <w:pPr/>
          </w:p>
        </w:tc>
        <w:tc>
          <w:tcPr>
            <w:tcW w:w="584" w:type="dxa"/>
            <w:tcBorders>
              <w:top w:val="nil"/>
            </w:tcBorders>
            <w:shd w:val="clear" w:color="auto" w:fill="E9E9E9"/>
          </w:tcPr>
          <w:p>
            <w:pPr/>
          </w:p>
        </w:tc>
        <w:tc>
          <w:tcPr>
            <w:tcW w:w="584" w:type="dxa"/>
            <w:tcBorders>
              <w:top w:val="nil"/>
            </w:tcBorders>
            <w:shd w:val="clear" w:color="auto" w:fill="E9E9E9"/>
          </w:tcPr>
          <w:p>
            <w:pPr/>
          </w:p>
        </w:tc>
        <w:tc>
          <w:tcPr>
            <w:tcW w:w="584" w:type="dxa"/>
            <w:tcBorders>
              <w:top w:val="nil"/>
            </w:tcBorders>
            <w:shd w:val="clear" w:color="auto" w:fill="E9E9E9"/>
          </w:tcPr>
          <w:p>
            <w:pPr/>
          </w:p>
        </w:tc>
        <w:tc>
          <w:tcPr>
            <w:tcW w:w="584" w:type="dxa"/>
            <w:tcBorders>
              <w:top w:val="nil"/>
            </w:tcBorders>
            <w:shd w:val="clear" w:color="auto" w:fill="E9E9E9"/>
          </w:tcPr>
          <w:p>
            <w:pPr/>
          </w:p>
        </w:tc>
        <w:tc>
          <w:tcPr>
            <w:tcW w:w="584" w:type="dxa"/>
            <w:tcBorders>
              <w:top w:val="nil"/>
            </w:tcBorders>
            <w:shd w:val="clear" w:color="auto" w:fill="E9E9E9"/>
          </w:tcPr>
          <w:p>
            <w:pPr/>
          </w:p>
        </w:tc>
        <w:tc>
          <w:tcPr>
            <w:tcW w:w="584" w:type="dxa"/>
            <w:tcBorders>
              <w:top w:val="nil"/>
            </w:tcBorders>
            <w:shd w:val="clear" w:color="auto" w:fill="E9E9E9"/>
          </w:tcPr>
          <w:p>
            <w:pPr/>
          </w:p>
        </w:tc>
      </w:tr>
      <w:tr>
        <w:trPr>
          <w:trHeight w:val="277" w:hRule="exact"/>
        </w:trPr>
        <w:tc>
          <w:tcPr>
            <w:tcW w:w="3038" w:type="dxa"/>
            <w:shd w:val="clear" w:color="auto" w:fill="E9E9E9"/>
          </w:tcPr>
          <w:p>
            <w:pPr>
              <w:pStyle w:val="TableParagraph"/>
              <w:spacing w:before="37"/>
              <w:ind w:left="74"/>
              <w:jc w:val="left"/>
              <w:rPr>
                <w:sz w:val="16"/>
              </w:rPr>
            </w:pPr>
            <w:r>
              <w:rPr>
                <w:sz w:val="16"/>
              </w:rPr>
              <w:t>Emeritus Professor MaryAnn Bin-Sallik</w:t>
            </w:r>
          </w:p>
        </w:tc>
        <w:tc>
          <w:tcPr>
            <w:tcW w:w="584" w:type="dxa"/>
            <w:shd w:val="clear" w:color="auto" w:fill="E9E9E9"/>
          </w:tcPr>
          <w:p>
            <w:pPr>
              <w:pStyle w:val="TableParagraph"/>
              <w:spacing w:before="37"/>
              <w:ind w:left="241"/>
              <w:jc w:val="left"/>
              <w:rPr>
                <w:sz w:val="16"/>
              </w:rPr>
            </w:pPr>
            <w:r>
              <w:rPr>
                <w:w w:val="103"/>
                <w:sz w:val="16"/>
              </w:rPr>
              <w:t>4</w:t>
            </w:r>
          </w:p>
        </w:tc>
        <w:tc>
          <w:tcPr>
            <w:tcW w:w="584" w:type="dxa"/>
            <w:shd w:val="clear" w:color="auto" w:fill="E9E9E9"/>
          </w:tcPr>
          <w:p>
            <w:pPr>
              <w:pStyle w:val="TableParagraph"/>
              <w:spacing w:before="37"/>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4"/>
              <w:jc w:val="left"/>
              <w:rPr>
                <w:sz w:val="16"/>
              </w:rPr>
            </w:pPr>
            <w:r>
              <w:rPr>
                <w:sz w:val="16"/>
              </w:rPr>
              <w:t>Mr Christopher Brown</w:t>
            </w:r>
          </w:p>
        </w:tc>
        <w:tc>
          <w:tcPr>
            <w:tcW w:w="584" w:type="dxa"/>
            <w:shd w:val="clear" w:color="auto" w:fill="E9E9E9"/>
          </w:tcPr>
          <w:p>
            <w:pPr>
              <w:pStyle w:val="TableParagraph"/>
              <w:spacing w:before="37"/>
              <w:ind w:left="241"/>
              <w:jc w:val="left"/>
              <w:rPr>
                <w:sz w:val="16"/>
              </w:rPr>
            </w:pPr>
            <w:r>
              <w:rPr>
                <w:w w:val="103"/>
                <w:sz w:val="16"/>
              </w:rPr>
              <w:t>4</w:t>
            </w:r>
          </w:p>
        </w:tc>
        <w:tc>
          <w:tcPr>
            <w:tcW w:w="584" w:type="dxa"/>
            <w:shd w:val="clear" w:color="auto" w:fill="E9E9E9"/>
          </w:tcPr>
          <w:p>
            <w:pPr>
              <w:pStyle w:val="TableParagraph"/>
              <w:spacing w:before="37"/>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4"/>
              <w:jc w:val="left"/>
              <w:rPr>
                <w:sz w:val="16"/>
              </w:rPr>
            </w:pPr>
            <w:r>
              <w:rPr>
                <w:sz w:val="16"/>
              </w:rPr>
              <w:t>Ms Elizabeth Dibbs</w:t>
            </w:r>
          </w:p>
        </w:tc>
        <w:tc>
          <w:tcPr>
            <w:tcW w:w="584" w:type="dxa"/>
            <w:shd w:val="clear" w:color="auto" w:fill="E9E9E9"/>
          </w:tcPr>
          <w:p>
            <w:pPr>
              <w:pStyle w:val="TableParagraph"/>
              <w:spacing w:before="37"/>
              <w:ind w:left="246"/>
              <w:jc w:val="left"/>
              <w:rPr>
                <w:sz w:val="16"/>
              </w:rPr>
            </w:pPr>
            <w:r>
              <w:rPr>
                <w:w w:val="91"/>
                <w:sz w:val="16"/>
              </w:rPr>
              <w:t>7</w:t>
            </w:r>
          </w:p>
        </w:tc>
        <w:tc>
          <w:tcPr>
            <w:tcW w:w="584" w:type="dxa"/>
            <w:shd w:val="clear" w:color="auto" w:fill="E9E9E9"/>
          </w:tcPr>
          <w:p>
            <w:pPr>
              <w:pStyle w:val="TableParagraph"/>
              <w:spacing w:before="37"/>
              <w:jc w:val="center"/>
              <w:rPr>
                <w:sz w:val="16"/>
              </w:rPr>
            </w:pPr>
            <w:r>
              <w:rPr>
                <w:w w:val="91"/>
                <w:sz w:val="16"/>
              </w:rPr>
              <w:t>7</w:t>
            </w:r>
          </w:p>
        </w:tc>
        <w:tc>
          <w:tcPr>
            <w:tcW w:w="584" w:type="dxa"/>
            <w:shd w:val="clear" w:color="auto" w:fill="E9E9E9"/>
          </w:tcPr>
          <w:p>
            <w:pPr>
              <w:pStyle w:val="TableParagraph"/>
              <w:spacing w:before="37"/>
              <w:jc w:val="center"/>
              <w:rPr>
                <w:sz w:val="16"/>
              </w:rPr>
            </w:pPr>
            <w:r>
              <w:rPr>
                <w:w w:val="101"/>
                <w:sz w:val="16"/>
              </w:rPr>
              <w:t>6</w:t>
            </w:r>
          </w:p>
        </w:tc>
        <w:tc>
          <w:tcPr>
            <w:tcW w:w="584" w:type="dxa"/>
            <w:shd w:val="clear" w:color="auto" w:fill="E9E9E9"/>
          </w:tcPr>
          <w:p>
            <w:pPr>
              <w:pStyle w:val="TableParagraph"/>
              <w:spacing w:before="37"/>
              <w:ind w:left="242"/>
              <w:jc w:val="left"/>
              <w:rPr>
                <w:sz w:val="16"/>
              </w:rPr>
            </w:pPr>
            <w:r>
              <w:rPr>
                <w:w w:val="101"/>
                <w:sz w:val="16"/>
              </w:rPr>
              <w:t>6</w:t>
            </w:r>
          </w:p>
        </w:tc>
        <w:tc>
          <w:tcPr>
            <w:tcW w:w="601" w:type="dxa"/>
            <w:shd w:val="clear" w:color="auto" w:fill="E9E9E9"/>
          </w:tcPr>
          <w:p>
            <w:pPr>
              <w:pStyle w:val="TableParagraph"/>
              <w:spacing w:before="37"/>
              <w:jc w:val="center"/>
              <w:rPr>
                <w:sz w:val="16"/>
              </w:rPr>
            </w:pPr>
            <w:r>
              <w:rPr>
                <w:w w:val="101"/>
                <w:sz w:val="16"/>
              </w:rPr>
              <w:t>6</w:t>
            </w:r>
          </w:p>
        </w:tc>
        <w:tc>
          <w:tcPr>
            <w:tcW w:w="601" w:type="dxa"/>
            <w:shd w:val="clear" w:color="auto" w:fill="E9E9E9"/>
          </w:tcPr>
          <w:p>
            <w:pPr>
              <w:pStyle w:val="TableParagraph"/>
              <w:spacing w:before="37"/>
              <w:ind w:left="251"/>
              <w:jc w:val="left"/>
              <w:rPr>
                <w:sz w:val="16"/>
              </w:rPr>
            </w:pPr>
            <w:r>
              <w:rPr>
                <w:w w:val="101"/>
                <w:sz w:val="16"/>
              </w:rPr>
              <w:t>6</w:t>
            </w:r>
          </w:p>
        </w:tc>
        <w:tc>
          <w:tcPr>
            <w:tcW w:w="584" w:type="dxa"/>
            <w:shd w:val="clear" w:color="auto" w:fill="E9E9E9"/>
          </w:tcPr>
          <w:p>
            <w:pPr>
              <w:pStyle w:val="TableParagraph"/>
              <w:spacing w:before="37"/>
              <w:jc w:val="center"/>
              <w:rPr>
                <w:sz w:val="16"/>
              </w:rPr>
            </w:pPr>
            <w:r>
              <w:rPr>
                <w:w w:val="101"/>
                <w:sz w:val="16"/>
              </w:rPr>
              <w:t>6</w:t>
            </w:r>
          </w:p>
        </w:tc>
        <w:tc>
          <w:tcPr>
            <w:tcW w:w="584" w:type="dxa"/>
            <w:shd w:val="clear" w:color="auto" w:fill="E9E9E9"/>
          </w:tcPr>
          <w:p>
            <w:pPr>
              <w:pStyle w:val="TableParagraph"/>
              <w:spacing w:before="37"/>
              <w:jc w:val="center"/>
              <w:rPr>
                <w:sz w:val="16"/>
              </w:rPr>
            </w:pPr>
            <w:r>
              <w:rPr>
                <w:w w:val="101"/>
                <w:sz w:val="16"/>
              </w:rPr>
              <w:t>6</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4"/>
              <w:jc w:val="left"/>
              <w:rPr>
                <w:sz w:val="16"/>
              </w:rPr>
            </w:pPr>
            <w:r>
              <w:rPr>
                <w:sz w:val="16"/>
              </w:rPr>
              <w:t>Dr Ben Etherington</w:t>
            </w:r>
          </w:p>
        </w:tc>
        <w:tc>
          <w:tcPr>
            <w:tcW w:w="584" w:type="dxa"/>
            <w:shd w:val="clear" w:color="auto" w:fill="E9E9E9"/>
          </w:tcPr>
          <w:p>
            <w:pPr>
              <w:pStyle w:val="TableParagraph"/>
              <w:spacing w:before="37"/>
              <w:ind w:left="246"/>
              <w:jc w:val="left"/>
              <w:rPr>
                <w:sz w:val="16"/>
              </w:rPr>
            </w:pPr>
            <w:r>
              <w:rPr>
                <w:w w:val="91"/>
                <w:sz w:val="16"/>
              </w:rPr>
              <w:t>7</w:t>
            </w:r>
          </w:p>
        </w:tc>
        <w:tc>
          <w:tcPr>
            <w:tcW w:w="584" w:type="dxa"/>
            <w:shd w:val="clear" w:color="auto" w:fill="E9E9E9"/>
          </w:tcPr>
          <w:p>
            <w:pPr>
              <w:pStyle w:val="TableParagraph"/>
              <w:spacing w:before="37"/>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4"/>
              <w:jc w:val="left"/>
              <w:rPr>
                <w:sz w:val="16"/>
              </w:rPr>
            </w:pPr>
            <w:r>
              <w:rPr>
                <w:sz w:val="16"/>
              </w:rPr>
              <w:t>Mr John Fehon</w:t>
            </w: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jc w:val="center"/>
              <w:rPr>
                <w:sz w:val="16"/>
              </w:rPr>
            </w:pPr>
            <w:r>
              <w:rPr>
                <w:w w:val="103"/>
                <w:sz w:val="16"/>
              </w:rPr>
              <w:t>4</w:t>
            </w:r>
          </w:p>
        </w:tc>
        <w:tc>
          <w:tcPr>
            <w:tcW w:w="584" w:type="dxa"/>
            <w:shd w:val="clear" w:color="auto" w:fill="E9E9E9"/>
          </w:tcPr>
          <w:p>
            <w:pPr>
              <w:pStyle w:val="TableParagraph"/>
              <w:spacing w:before="37"/>
              <w:ind w:left="242"/>
              <w:jc w:val="left"/>
              <w:rPr>
                <w:sz w:val="16"/>
              </w:rPr>
            </w:pPr>
            <w:r>
              <w:rPr>
                <w:w w:val="101"/>
                <w:sz w:val="16"/>
              </w:rPr>
              <w:t>6</w:t>
            </w: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5"/>
              <w:jc w:val="left"/>
              <w:rPr>
                <w:sz w:val="16"/>
              </w:rPr>
            </w:pPr>
            <w:r>
              <w:rPr>
                <w:sz w:val="16"/>
              </w:rPr>
              <w:t>Mr Tim Ferraro</w:t>
            </w:r>
          </w:p>
        </w:tc>
        <w:tc>
          <w:tcPr>
            <w:tcW w:w="584" w:type="dxa"/>
            <w:shd w:val="clear" w:color="auto" w:fill="E9E9E9"/>
          </w:tcPr>
          <w:p>
            <w:pPr>
              <w:pStyle w:val="TableParagraph"/>
              <w:spacing w:before="37"/>
              <w:ind w:left="242"/>
              <w:jc w:val="left"/>
              <w:rPr>
                <w:sz w:val="16"/>
              </w:rPr>
            </w:pPr>
            <w:r>
              <w:rPr>
                <w:w w:val="101"/>
                <w:sz w:val="16"/>
              </w:rPr>
              <w:t>6</w:t>
            </w:r>
          </w:p>
        </w:tc>
        <w:tc>
          <w:tcPr>
            <w:tcW w:w="584" w:type="dxa"/>
            <w:shd w:val="clear" w:color="auto" w:fill="E9E9E9"/>
          </w:tcPr>
          <w:p>
            <w:pPr>
              <w:pStyle w:val="TableParagraph"/>
              <w:spacing w:before="37"/>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5"/>
              <w:jc w:val="left"/>
              <w:rPr>
                <w:sz w:val="16"/>
              </w:rPr>
            </w:pPr>
            <w:r>
              <w:rPr>
                <w:sz w:val="16"/>
              </w:rPr>
              <w:t>Professor Barney Glover</w:t>
            </w:r>
          </w:p>
        </w:tc>
        <w:tc>
          <w:tcPr>
            <w:tcW w:w="584" w:type="dxa"/>
            <w:shd w:val="clear" w:color="auto" w:fill="E9E9E9"/>
          </w:tcPr>
          <w:p>
            <w:pPr>
              <w:pStyle w:val="TableParagraph"/>
              <w:spacing w:before="37"/>
              <w:ind w:left="246"/>
              <w:jc w:val="left"/>
              <w:rPr>
                <w:sz w:val="16"/>
              </w:rPr>
            </w:pPr>
            <w:r>
              <w:rPr>
                <w:w w:val="91"/>
                <w:sz w:val="16"/>
              </w:rPr>
              <w:t>7</w:t>
            </w:r>
          </w:p>
        </w:tc>
        <w:tc>
          <w:tcPr>
            <w:tcW w:w="584" w:type="dxa"/>
            <w:shd w:val="clear" w:color="auto" w:fill="E9E9E9"/>
          </w:tcPr>
          <w:p>
            <w:pPr>
              <w:pStyle w:val="TableParagraph"/>
              <w:spacing w:before="37"/>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Style w:val="TableParagraph"/>
              <w:spacing w:before="37"/>
              <w:jc w:val="center"/>
              <w:rPr>
                <w:sz w:val="16"/>
              </w:rPr>
            </w:pPr>
            <w:r>
              <w:rPr>
                <w:w w:val="101"/>
                <w:sz w:val="16"/>
              </w:rPr>
              <w:t>6</w:t>
            </w:r>
          </w:p>
        </w:tc>
        <w:tc>
          <w:tcPr>
            <w:tcW w:w="601" w:type="dxa"/>
            <w:shd w:val="clear" w:color="auto" w:fill="E9E9E9"/>
          </w:tcPr>
          <w:p>
            <w:pPr>
              <w:pStyle w:val="TableParagraph"/>
              <w:spacing w:before="37"/>
              <w:ind w:left="251"/>
              <w:jc w:val="left"/>
              <w:rPr>
                <w:sz w:val="16"/>
              </w:rPr>
            </w:pPr>
            <w:r>
              <w:rPr>
                <w:w w:val="101"/>
                <w:sz w:val="16"/>
              </w:rPr>
              <w:t>6</w:t>
            </w:r>
          </w:p>
        </w:tc>
        <w:tc>
          <w:tcPr>
            <w:tcW w:w="584" w:type="dxa"/>
            <w:shd w:val="clear" w:color="auto" w:fill="E9E9E9"/>
          </w:tcPr>
          <w:p>
            <w:pPr>
              <w:pStyle w:val="TableParagraph"/>
              <w:spacing w:before="37"/>
              <w:jc w:val="center"/>
              <w:rPr>
                <w:sz w:val="16"/>
              </w:rPr>
            </w:pPr>
            <w:r>
              <w:rPr>
                <w:w w:val="101"/>
                <w:sz w:val="16"/>
              </w:rPr>
              <w:t>6</w:t>
            </w:r>
          </w:p>
        </w:tc>
        <w:tc>
          <w:tcPr>
            <w:tcW w:w="584" w:type="dxa"/>
            <w:shd w:val="clear" w:color="auto" w:fill="E9E9E9"/>
          </w:tcPr>
          <w:p>
            <w:pPr>
              <w:pStyle w:val="TableParagraph"/>
              <w:spacing w:before="37"/>
              <w:jc w:val="center"/>
              <w:rPr>
                <w:sz w:val="16"/>
              </w:rPr>
            </w:pPr>
            <w:r>
              <w:rPr>
                <w:w w:val="101"/>
                <w:sz w:val="16"/>
              </w:rPr>
              <w:t>6</w:t>
            </w:r>
          </w:p>
        </w:tc>
        <w:tc>
          <w:tcPr>
            <w:tcW w:w="584" w:type="dxa"/>
            <w:shd w:val="clear" w:color="auto" w:fill="E9E9E9"/>
          </w:tcPr>
          <w:p>
            <w:pPr>
              <w:pStyle w:val="TableParagraph"/>
              <w:spacing w:before="37"/>
              <w:jc w:val="center"/>
              <w:rPr>
                <w:sz w:val="16"/>
              </w:rPr>
            </w:pPr>
            <w:r>
              <w:rPr>
                <w:w w:val="95"/>
                <w:sz w:val="16"/>
              </w:rPr>
              <w:t>5</w:t>
            </w:r>
          </w:p>
        </w:tc>
        <w:tc>
          <w:tcPr>
            <w:tcW w:w="584" w:type="dxa"/>
            <w:shd w:val="clear" w:color="auto" w:fill="E9E9E9"/>
          </w:tcPr>
          <w:p>
            <w:pPr>
              <w:pStyle w:val="TableParagraph"/>
              <w:spacing w:before="37"/>
              <w:jc w:val="center"/>
              <w:rPr>
                <w:sz w:val="16"/>
              </w:rPr>
            </w:pPr>
            <w:r>
              <w:rPr>
                <w:w w:val="101"/>
                <w:sz w:val="16"/>
              </w:rPr>
              <w:t>6</w:t>
            </w:r>
          </w:p>
        </w:tc>
        <w:tc>
          <w:tcPr>
            <w:tcW w:w="584" w:type="dxa"/>
            <w:shd w:val="clear" w:color="auto" w:fill="E9E9E9"/>
          </w:tcPr>
          <w:p>
            <w:pPr>
              <w:pStyle w:val="TableParagraph"/>
              <w:spacing w:before="37"/>
              <w:jc w:val="center"/>
              <w:rPr>
                <w:sz w:val="16"/>
              </w:rPr>
            </w:pPr>
            <w:r>
              <w:rPr>
                <w:w w:val="95"/>
                <w:sz w:val="16"/>
              </w:rPr>
              <w:t>5</w:t>
            </w:r>
          </w:p>
        </w:tc>
        <w:tc>
          <w:tcPr>
            <w:tcW w:w="584" w:type="dxa"/>
            <w:shd w:val="clear" w:color="auto" w:fill="E9E9E9"/>
          </w:tcPr>
          <w:p>
            <w:pPr>
              <w:pStyle w:val="TableParagraph"/>
              <w:spacing w:before="37"/>
              <w:ind w:left="1"/>
              <w:jc w:val="center"/>
              <w:rPr>
                <w:sz w:val="16"/>
              </w:rPr>
            </w:pPr>
            <w:r>
              <w:rPr>
                <w:w w:val="101"/>
                <w:sz w:val="16"/>
              </w:rPr>
              <w:t>6</w:t>
            </w:r>
          </w:p>
        </w:tc>
      </w:tr>
      <w:tr>
        <w:trPr>
          <w:trHeight w:val="277" w:hRule="exact"/>
        </w:trPr>
        <w:tc>
          <w:tcPr>
            <w:tcW w:w="3038" w:type="dxa"/>
            <w:shd w:val="clear" w:color="auto" w:fill="E9E9E9"/>
          </w:tcPr>
          <w:p>
            <w:pPr>
              <w:pStyle w:val="TableParagraph"/>
              <w:spacing w:before="37"/>
              <w:ind w:left="75"/>
              <w:jc w:val="left"/>
              <w:rPr>
                <w:sz w:val="16"/>
              </w:rPr>
            </w:pPr>
            <w:r>
              <w:rPr>
                <w:sz w:val="16"/>
              </w:rPr>
              <w:t>Mr Peter Graham</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1"/>
              <w:jc w:val="center"/>
              <w:rPr>
                <w:sz w:val="16"/>
              </w:rPr>
            </w:pPr>
            <w:r>
              <w:rPr>
                <w:w w:val="95"/>
                <w:sz w:val="16"/>
              </w:rPr>
              <w:t>5</w:t>
            </w:r>
          </w:p>
        </w:tc>
        <w:tc>
          <w:tcPr>
            <w:tcW w:w="584" w:type="dxa"/>
            <w:shd w:val="clear" w:color="auto" w:fill="E9E9E9"/>
          </w:tcPr>
          <w:p>
            <w:pPr>
              <w:pStyle w:val="TableParagraph"/>
              <w:spacing w:before="37"/>
              <w:ind w:left="1"/>
              <w:jc w:val="center"/>
              <w:rPr>
                <w:sz w:val="16"/>
              </w:rPr>
            </w:pPr>
            <w:r>
              <w:rPr>
                <w:w w:val="101"/>
                <w:sz w:val="16"/>
              </w:rPr>
              <w:t>6</w:t>
            </w: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5"/>
              <w:jc w:val="left"/>
              <w:rPr>
                <w:sz w:val="16"/>
              </w:rPr>
            </w:pPr>
            <w:r>
              <w:rPr>
                <w:sz w:val="16"/>
              </w:rPr>
              <w:t>Mr Michael Gration</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1"/>
              <w:jc w:val="center"/>
              <w:rPr>
                <w:sz w:val="16"/>
              </w:rPr>
            </w:pPr>
            <w:r>
              <w:rPr>
                <w:w w:val="93"/>
                <w:sz w:val="16"/>
              </w:rPr>
              <w:t>2</w:t>
            </w:r>
          </w:p>
        </w:tc>
        <w:tc>
          <w:tcPr>
            <w:tcW w:w="584" w:type="dxa"/>
            <w:shd w:val="clear" w:color="auto" w:fill="E9E9E9"/>
          </w:tcPr>
          <w:p>
            <w:pPr>
              <w:pStyle w:val="TableParagraph"/>
              <w:spacing w:before="37"/>
              <w:ind w:left="1"/>
              <w:jc w:val="center"/>
              <w:rPr>
                <w:sz w:val="16"/>
              </w:rPr>
            </w:pPr>
            <w:r>
              <w:rPr>
                <w:w w:val="101"/>
                <w:sz w:val="16"/>
              </w:rPr>
              <w:t>6</w:t>
            </w: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5"/>
              <w:jc w:val="left"/>
              <w:rPr>
                <w:sz w:val="16"/>
              </w:rPr>
            </w:pPr>
            <w:r>
              <w:rPr>
                <w:sz w:val="16"/>
              </w:rPr>
              <w:t>Ms Genevieve Gregor</w:t>
            </w:r>
          </w:p>
        </w:tc>
        <w:tc>
          <w:tcPr>
            <w:tcW w:w="584" w:type="dxa"/>
            <w:shd w:val="clear" w:color="auto" w:fill="E9E9E9"/>
          </w:tcPr>
          <w:p>
            <w:pPr>
              <w:pStyle w:val="TableParagraph"/>
              <w:spacing w:before="37"/>
              <w:ind w:left="243"/>
              <w:jc w:val="left"/>
              <w:rPr>
                <w:sz w:val="16"/>
              </w:rPr>
            </w:pPr>
            <w:r>
              <w:rPr>
                <w:w w:val="101"/>
                <w:sz w:val="16"/>
              </w:rPr>
              <w:t>6</w:t>
            </w:r>
          </w:p>
        </w:tc>
        <w:tc>
          <w:tcPr>
            <w:tcW w:w="584" w:type="dxa"/>
            <w:shd w:val="clear" w:color="auto" w:fill="E9E9E9"/>
          </w:tcPr>
          <w:p>
            <w:pPr>
              <w:pStyle w:val="TableParagraph"/>
              <w:spacing w:before="37"/>
              <w:ind w:left="1"/>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Style w:val="TableParagraph"/>
              <w:spacing w:before="37"/>
              <w:ind w:left="1"/>
              <w:jc w:val="center"/>
              <w:rPr>
                <w:sz w:val="16"/>
              </w:rPr>
            </w:pPr>
            <w:r>
              <w:rPr>
                <w:w w:val="103"/>
                <w:sz w:val="16"/>
              </w:rPr>
              <w:t>4</w:t>
            </w:r>
          </w:p>
        </w:tc>
        <w:tc>
          <w:tcPr>
            <w:tcW w:w="601" w:type="dxa"/>
            <w:shd w:val="clear" w:color="auto" w:fill="E9E9E9"/>
          </w:tcPr>
          <w:p>
            <w:pPr>
              <w:pStyle w:val="TableParagraph"/>
              <w:spacing w:before="37"/>
              <w:ind w:left="254"/>
              <w:jc w:val="left"/>
              <w:rPr>
                <w:sz w:val="16"/>
              </w:rPr>
            </w:pPr>
            <w:r>
              <w:rPr>
                <w:w w:val="95"/>
                <w:sz w:val="16"/>
              </w:rPr>
              <w:t>5</w:t>
            </w:r>
          </w:p>
        </w:tc>
        <w:tc>
          <w:tcPr>
            <w:tcW w:w="584" w:type="dxa"/>
            <w:shd w:val="clear" w:color="auto" w:fill="E9E9E9"/>
          </w:tcPr>
          <w:p>
            <w:pPr>
              <w:pStyle w:val="TableParagraph"/>
              <w:spacing w:before="37"/>
              <w:ind w:left="1"/>
              <w:jc w:val="center"/>
              <w:rPr>
                <w:sz w:val="16"/>
              </w:rPr>
            </w:pPr>
            <w:r>
              <w:rPr>
                <w:w w:val="95"/>
                <w:sz w:val="16"/>
              </w:rPr>
              <w:t>5</w:t>
            </w:r>
          </w:p>
        </w:tc>
        <w:tc>
          <w:tcPr>
            <w:tcW w:w="584" w:type="dxa"/>
            <w:shd w:val="clear" w:color="auto" w:fill="E9E9E9"/>
          </w:tcPr>
          <w:p>
            <w:pPr>
              <w:pStyle w:val="TableParagraph"/>
              <w:spacing w:before="37"/>
              <w:ind w:left="1"/>
              <w:jc w:val="center"/>
              <w:rPr>
                <w:sz w:val="16"/>
              </w:rPr>
            </w:pPr>
            <w:r>
              <w:rPr>
                <w:w w:val="95"/>
                <w:sz w:val="16"/>
              </w:rPr>
              <w:t>5</w:t>
            </w: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1"/>
              <w:jc w:val="center"/>
              <w:rPr>
                <w:sz w:val="16"/>
              </w:rPr>
            </w:pPr>
            <w:r>
              <w:rPr>
                <w:w w:val="101"/>
                <w:sz w:val="16"/>
              </w:rPr>
              <w:t>6</w:t>
            </w:r>
          </w:p>
        </w:tc>
        <w:tc>
          <w:tcPr>
            <w:tcW w:w="584" w:type="dxa"/>
            <w:shd w:val="clear" w:color="auto" w:fill="E9E9E9"/>
          </w:tcPr>
          <w:p>
            <w:pPr>
              <w:pStyle w:val="TableParagraph"/>
              <w:spacing w:before="37"/>
              <w:ind w:left="2"/>
              <w:jc w:val="center"/>
              <w:rPr>
                <w:sz w:val="16"/>
              </w:rPr>
            </w:pPr>
            <w:r>
              <w:rPr>
                <w:w w:val="101"/>
                <w:sz w:val="16"/>
              </w:rPr>
              <w:t>6</w:t>
            </w:r>
          </w:p>
        </w:tc>
      </w:tr>
      <w:tr>
        <w:trPr>
          <w:trHeight w:val="277" w:hRule="exact"/>
        </w:trPr>
        <w:tc>
          <w:tcPr>
            <w:tcW w:w="3038" w:type="dxa"/>
            <w:shd w:val="clear" w:color="auto" w:fill="E9E9E9"/>
          </w:tcPr>
          <w:p>
            <w:pPr>
              <w:pStyle w:val="TableParagraph"/>
              <w:spacing w:before="37"/>
              <w:ind w:left="75"/>
              <w:jc w:val="left"/>
              <w:rPr>
                <w:sz w:val="16"/>
              </w:rPr>
            </w:pPr>
            <w:r>
              <w:rPr>
                <w:sz w:val="16"/>
              </w:rPr>
              <w:t>Ms Susan Hartigan</w:t>
            </w: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2"/>
              <w:jc w:val="center"/>
              <w:rPr>
                <w:sz w:val="16"/>
              </w:rPr>
            </w:pPr>
            <w:r>
              <w:rPr>
                <w:w w:val="103"/>
                <w:sz w:val="16"/>
              </w:rPr>
              <w:t>4</w:t>
            </w:r>
          </w:p>
        </w:tc>
        <w:tc>
          <w:tcPr>
            <w:tcW w:w="584" w:type="dxa"/>
            <w:shd w:val="clear" w:color="auto" w:fill="E9E9E9"/>
          </w:tcPr>
          <w:p>
            <w:pPr>
              <w:pStyle w:val="TableParagraph"/>
              <w:spacing w:before="37"/>
              <w:ind w:left="243"/>
              <w:jc w:val="left"/>
              <w:rPr>
                <w:sz w:val="16"/>
              </w:rPr>
            </w:pPr>
            <w:r>
              <w:rPr>
                <w:w w:val="101"/>
                <w:sz w:val="16"/>
              </w:rPr>
              <w:t>6</w:t>
            </w: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Mr Damian Horton</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2"/>
              <w:jc w:val="center"/>
              <w:rPr>
                <w:sz w:val="16"/>
              </w:rPr>
            </w:pPr>
            <w:r>
              <w:rPr>
                <w:w w:val="94"/>
                <w:sz w:val="16"/>
              </w:rPr>
              <w:t>3</w:t>
            </w:r>
          </w:p>
        </w:tc>
        <w:tc>
          <w:tcPr>
            <w:tcW w:w="584" w:type="dxa"/>
            <w:shd w:val="clear" w:color="auto" w:fill="E9E9E9"/>
          </w:tcPr>
          <w:p>
            <w:pPr>
              <w:pStyle w:val="TableParagraph"/>
              <w:spacing w:before="37"/>
              <w:ind w:left="2"/>
              <w:jc w:val="center"/>
              <w:rPr>
                <w:sz w:val="16"/>
              </w:rPr>
            </w:pPr>
            <w:r>
              <w:rPr>
                <w:w w:val="101"/>
                <w:sz w:val="16"/>
              </w:rPr>
              <w:t>6</w:t>
            </w: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Mr Craig James</w:t>
            </w: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2"/>
              <w:jc w:val="center"/>
              <w:rPr>
                <w:sz w:val="16"/>
              </w:rPr>
            </w:pPr>
            <w:r>
              <w:rPr>
                <w:w w:val="101"/>
                <w:sz w:val="16"/>
              </w:rPr>
              <w:t>6</w:t>
            </w:r>
          </w:p>
        </w:tc>
        <w:tc>
          <w:tcPr>
            <w:tcW w:w="584" w:type="dxa"/>
            <w:shd w:val="clear" w:color="auto" w:fill="E9E9E9"/>
          </w:tcPr>
          <w:p>
            <w:pPr>
              <w:pStyle w:val="TableParagraph"/>
              <w:spacing w:before="37"/>
              <w:ind w:left="244"/>
              <w:jc w:val="left"/>
              <w:rPr>
                <w:sz w:val="16"/>
              </w:rPr>
            </w:pPr>
            <w:r>
              <w:rPr>
                <w:w w:val="101"/>
                <w:sz w:val="16"/>
              </w:rPr>
              <w:t>6</w:t>
            </w: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Mr Peeyush Gupta</w:t>
            </w:r>
          </w:p>
        </w:tc>
        <w:tc>
          <w:tcPr>
            <w:tcW w:w="584" w:type="dxa"/>
            <w:shd w:val="clear" w:color="auto" w:fill="E9E9E9"/>
          </w:tcPr>
          <w:p>
            <w:pPr>
              <w:pStyle w:val="TableParagraph"/>
              <w:spacing w:before="37"/>
              <w:ind w:left="243"/>
              <w:jc w:val="left"/>
              <w:rPr>
                <w:sz w:val="16"/>
              </w:rPr>
            </w:pPr>
            <w:r>
              <w:rPr>
                <w:w w:val="103"/>
                <w:sz w:val="16"/>
              </w:rPr>
              <w:t>4</w:t>
            </w:r>
          </w:p>
        </w:tc>
        <w:tc>
          <w:tcPr>
            <w:tcW w:w="584" w:type="dxa"/>
            <w:shd w:val="clear" w:color="auto" w:fill="E9E9E9"/>
          </w:tcPr>
          <w:p>
            <w:pPr>
              <w:pStyle w:val="TableParagraph"/>
              <w:spacing w:before="37"/>
              <w:ind w:left="2"/>
              <w:jc w:val="center"/>
              <w:rPr>
                <w:sz w:val="16"/>
              </w:rPr>
            </w:pPr>
            <w:r>
              <w:rPr>
                <w:w w:val="103"/>
                <w:sz w:val="16"/>
              </w:rPr>
              <w:t>4</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2"/>
              <w:jc w:val="center"/>
              <w:rPr>
                <w:sz w:val="16"/>
              </w:rPr>
            </w:pPr>
            <w:r>
              <w:rPr>
                <w:w w:val="94"/>
                <w:sz w:val="16"/>
              </w:rPr>
              <w:t>3</w:t>
            </w:r>
          </w:p>
        </w:tc>
        <w:tc>
          <w:tcPr>
            <w:tcW w:w="584" w:type="dxa"/>
            <w:shd w:val="clear" w:color="auto" w:fill="E9E9E9"/>
          </w:tcPr>
          <w:p>
            <w:pPr>
              <w:pStyle w:val="TableParagraph"/>
              <w:spacing w:before="37"/>
              <w:ind w:left="3"/>
              <w:jc w:val="center"/>
              <w:rPr>
                <w:sz w:val="16"/>
              </w:rPr>
            </w:pPr>
            <w:r>
              <w:rPr>
                <w:w w:val="94"/>
                <w:sz w:val="16"/>
              </w:rPr>
              <w:t>3</w:t>
            </w:r>
          </w:p>
        </w:tc>
      </w:tr>
      <w:tr>
        <w:trPr>
          <w:trHeight w:val="277" w:hRule="exact"/>
        </w:trPr>
        <w:tc>
          <w:tcPr>
            <w:tcW w:w="3038" w:type="dxa"/>
            <w:shd w:val="clear" w:color="auto" w:fill="E9E9E9"/>
          </w:tcPr>
          <w:p>
            <w:pPr>
              <w:pStyle w:val="TableParagraph"/>
              <w:spacing w:before="37"/>
              <w:ind w:left="76"/>
              <w:jc w:val="left"/>
              <w:rPr>
                <w:sz w:val="16"/>
              </w:rPr>
            </w:pPr>
            <w:r>
              <w:rPr>
                <w:sz w:val="16"/>
              </w:rPr>
              <w:t>Ms Vivienne James</w:t>
            </w:r>
          </w:p>
        </w:tc>
        <w:tc>
          <w:tcPr>
            <w:tcW w:w="584" w:type="dxa"/>
            <w:shd w:val="clear" w:color="auto" w:fill="E9E9E9"/>
          </w:tcPr>
          <w:p>
            <w:pPr>
              <w:pStyle w:val="TableParagraph"/>
              <w:spacing w:before="37"/>
              <w:ind w:left="246"/>
              <w:jc w:val="left"/>
              <w:rPr>
                <w:sz w:val="16"/>
              </w:rPr>
            </w:pPr>
            <w:r>
              <w:rPr>
                <w:w w:val="95"/>
                <w:sz w:val="16"/>
              </w:rPr>
              <w:t>5</w:t>
            </w:r>
          </w:p>
        </w:tc>
        <w:tc>
          <w:tcPr>
            <w:tcW w:w="584" w:type="dxa"/>
            <w:shd w:val="clear" w:color="auto" w:fill="E9E9E9"/>
          </w:tcPr>
          <w:p>
            <w:pPr>
              <w:pStyle w:val="TableParagraph"/>
              <w:spacing w:before="37"/>
              <w:ind w:left="2"/>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Ms Winnie Jobanputra</w:t>
            </w:r>
          </w:p>
        </w:tc>
        <w:tc>
          <w:tcPr>
            <w:tcW w:w="584" w:type="dxa"/>
            <w:shd w:val="clear" w:color="auto" w:fill="E9E9E9"/>
          </w:tcPr>
          <w:p>
            <w:pPr>
              <w:pStyle w:val="TableParagraph"/>
              <w:spacing w:before="37"/>
              <w:ind w:left="248"/>
              <w:jc w:val="left"/>
              <w:rPr>
                <w:sz w:val="16"/>
              </w:rPr>
            </w:pPr>
            <w:r>
              <w:rPr>
                <w:w w:val="91"/>
                <w:sz w:val="16"/>
              </w:rPr>
              <w:t>7</w:t>
            </w:r>
          </w:p>
        </w:tc>
        <w:tc>
          <w:tcPr>
            <w:tcW w:w="584" w:type="dxa"/>
            <w:shd w:val="clear" w:color="auto" w:fill="E9E9E9"/>
          </w:tcPr>
          <w:p>
            <w:pPr>
              <w:pStyle w:val="TableParagraph"/>
              <w:spacing w:before="37"/>
              <w:ind w:left="2"/>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Ms Holly Kramer</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2"/>
              <w:jc w:val="center"/>
              <w:rPr>
                <w:sz w:val="16"/>
              </w:rPr>
            </w:pPr>
            <w:r>
              <w:rPr>
                <w:w w:val="95"/>
                <w:sz w:val="16"/>
              </w:rPr>
              <w:t>5</w:t>
            </w:r>
          </w:p>
        </w:tc>
        <w:tc>
          <w:tcPr>
            <w:tcW w:w="584" w:type="dxa"/>
            <w:shd w:val="clear" w:color="auto" w:fill="E9E9E9"/>
          </w:tcPr>
          <w:p>
            <w:pPr>
              <w:pStyle w:val="TableParagraph"/>
              <w:spacing w:before="37"/>
              <w:ind w:left="3"/>
              <w:jc w:val="center"/>
              <w:rPr>
                <w:sz w:val="16"/>
              </w:rPr>
            </w:pPr>
            <w:r>
              <w:rPr>
                <w:w w:val="101"/>
                <w:sz w:val="16"/>
              </w:rPr>
              <w:t>6</w:t>
            </w:r>
          </w:p>
        </w:tc>
      </w:tr>
      <w:tr>
        <w:trPr>
          <w:trHeight w:val="277" w:hRule="exact"/>
        </w:trPr>
        <w:tc>
          <w:tcPr>
            <w:tcW w:w="3038" w:type="dxa"/>
            <w:shd w:val="clear" w:color="auto" w:fill="E9E9E9"/>
          </w:tcPr>
          <w:p>
            <w:pPr>
              <w:pStyle w:val="TableParagraph"/>
              <w:spacing w:before="37"/>
              <w:ind w:left="76"/>
              <w:jc w:val="left"/>
              <w:rPr>
                <w:sz w:val="16"/>
              </w:rPr>
            </w:pPr>
            <w:r>
              <w:rPr>
                <w:sz w:val="16"/>
              </w:rPr>
              <w:t>Ms Sophie Kobuch</w:t>
            </w:r>
          </w:p>
        </w:tc>
        <w:tc>
          <w:tcPr>
            <w:tcW w:w="584" w:type="dxa"/>
            <w:shd w:val="clear" w:color="auto" w:fill="E9E9E9"/>
          </w:tcPr>
          <w:p>
            <w:pPr>
              <w:pStyle w:val="TableParagraph"/>
              <w:spacing w:before="37"/>
              <w:ind w:left="248"/>
              <w:jc w:val="left"/>
              <w:rPr>
                <w:sz w:val="16"/>
              </w:rPr>
            </w:pPr>
            <w:r>
              <w:rPr>
                <w:w w:val="91"/>
                <w:sz w:val="16"/>
              </w:rPr>
              <w:t>7</w:t>
            </w:r>
          </w:p>
        </w:tc>
        <w:tc>
          <w:tcPr>
            <w:tcW w:w="584" w:type="dxa"/>
            <w:shd w:val="clear" w:color="auto" w:fill="E9E9E9"/>
          </w:tcPr>
          <w:p>
            <w:pPr>
              <w:pStyle w:val="TableParagraph"/>
              <w:spacing w:before="37"/>
              <w:ind w:left="2"/>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Ms Georgia Lee</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2"/>
              <w:jc w:val="center"/>
              <w:rPr>
                <w:sz w:val="16"/>
              </w:rPr>
            </w:pPr>
            <w:r>
              <w:rPr>
                <w:w w:val="103"/>
                <w:sz w:val="16"/>
              </w:rPr>
              <w:t>4</w:t>
            </w:r>
          </w:p>
        </w:tc>
        <w:tc>
          <w:tcPr>
            <w:tcW w:w="584" w:type="dxa"/>
            <w:shd w:val="clear" w:color="auto" w:fill="E9E9E9"/>
          </w:tcPr>
          <w:p>
            <w:pPr>
              <w:pStyle w:val="TableParagraph"/>
              <w:spacing w:before="37"/>
              <w:ind w:left="3"/>
              <w:jc w:val="center"/>
              <w:rPr>
                <w:sz w:val="16"/>
              </w:rPr>
            </w:pPr>
            <w:r>
              <w:rPr>
                <w:w w:val="101"/>
                <w:sz w:val="16"/>
              </w:rPr>
              <w:t>6</w:t>
            </w: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Mr Alastair Metcalf</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3"/>
              <w:jc w:val="center"/>
              <w:rPr>
                <w:sz w:val="16"/>
              </w:rPr>
            </w:pPr>
            <w:r>
              <w:rPr>
                <w:w w:val="103"/>
                <w:sz w:val="16"/>
              </w:rPr>
              <w:t>4</w:t>
            </w:r>
          </w:p>
        </w:tc>
        <w:tc>
          <w:tcPr>
            <w:tcW w:w="584" w:type="dxa"/>
            <w:shd w:val="clear" w:color="auto" w:fill="E9E9E9"/>
          </w:tcPr>
          <w:p>
            <w:pPr>
              <w:pStyle w:val="TableParagraph"/>
              <w:spacing w:before="37"/>
              <w:ind w:left="3"/>
              <w:jc w:val="center"/>
              <w:rPr>
                <w:sz w:val="16"/>
              </w:rPr>
            </w:pPr>
            <w:r>
              <w:rPr>
                <w:w w:val="95"/>
                <w:sz w:val="16"/>
              </w:rPr>
              <w:t>5</w:t>
            </w:r>
          </w:p>
        </w:tc>
      </w:tr>
      <w:tr>
        <w:trPr>
          <w:trHeight w:val="277" w:hRule="exact"/>
        </w:trPr>
        <w:tc>
          <w:tcPr>
            <w:tcW w:w="3038" w:type="dxa"/>
            <w:shd w:val="clear" w:color="auto" w:fill="E9E9E9"/>
          </w:tcPr>
          <w:p>
            <w:pPr>
              <w:pStyle w:val="TableParagraph"/>
              <w:spacing w:before="37"/>
              <w:ind w:left="76"/>
              <w:jc w:val="left"/>
              <w:rPr>
                <w:sz w:val="16"/>
              </w:rPr>
            </w:pPr>
            <w:r>
              <w:rPr>
                <w:sz w:val="16"/>
              </w:rPr>
              <w:t>Mr Lee Pinder</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7"/>
              <w:ind w:left="3"/>
              <w:jc w:val="center"/>
              <w:rPr>
                <w:sz w:val="16"/>
              </w:rPr>
            </w:pPr>
            <w:r>
              <w:rPr>
                <w:w w:val="103"/>
                <w:sz w:val="16"/>
              </w:rPr>
              <w:t>4</w:t>
            </w:r>
          </w:p>
        </w:tc>
        <w:tc>
          <w:tcPr>
            <w:tcW w:w="584" w:type="dxa"/>
            <w:shd w:val="clear" w:color="auto" w:fill="E9E9E9"/>
          </w:tcPr>
          <w:p>
            <w:pPr>
              <w:pStyle w:val="TableParagraph"/>
              <w:spacing w:before="37"/>
              <w:ind w:left="3"/>
              <w:jc w:val="center"/>
              <w:rPr>
                <w:sz w:val="16"/>
              </w:rPr>
            </w:pPr>
            <w:r>
              <w:rPr>
                <w:w w:val="101"/>
                <w:sz w:val="16"/>
              </w:rPr>
              <w:t>6</w:t>
            </w: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7"/>
              <w:ind w:left="76"/>
              <w:jc w:val="left"/>
              <w:rPr>
                <w:sz w:val="16"/>
              </w:rPr>
            </w:pPr>
            <w:r>
              <w:rPr>
                <w:sz w:val="16"/>
              </w:rPr>
              <w:t>Mr Michael Pratt</w:t>
            </w:r>
          </w:p>
        </w:tc>
        <w:tc>
          <w:tcPr>
            <w:tcW w:w="584" w:type="dxa"/>
            <w:shd w:val="clear" w:color="auto" w:fill="E9E9E9"/>
          </w:tcPr>
          <w:p>
            <w:pPr>
              <w:pStyle w:val="TableParagraph"/>
              <w:spacing w:before="37"/>
              <w:ind w:left="244"/>
              <w:jc w:val="left"/>
              <w:rPr>
                <w:sz w:val="16"/>
              </w:rPr>
            </w:pPr>
            <w:r>
              <w:rPr>
                <w:w w:val="101"/>
                <w:sz w:val="16"/>
              </w:rPr>
              <w:t>6</w:t>
            </w:r>
          </w:p>
        </w:tc>
        <w:tc>
          <w:tcPr>
            <w:tcW w:w="584" w:type="dxa"/>
            <w:shd w:val="clear" w:color="auto" w:fill="E9E9E9"/>
          </w:tcPr>
          <w:p>
            <w:pPr>
              <w:pStyle w:val="TableParagraph"/>
              <w:spacing w:before="37"/>
              <w:ind w:left="3"/>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Style w:val="TableParagraph"/>
              <w:spacing w:before="37"/>
              <w:ind w:left="3"/>
              <w:jc w:val="center"/>
              <w:rPr>
                <w:sz w:val="16"/>
              </w:rPr>
            </w:pPr>
            <w:r>
              <w:rPr>
                <w:w w:val="101"/>
                <w:sz w:val="16"/>
              </w:rPr>
              <w:t>6</w:t>
            </w:r>
          </w:p>
        </w:tc>
        <w:tc>
          <w:tcPr>
            <w:tcW w:w="601" w:type="dxa"/>
            <w:shd w:val="clear" w:color="auto" w:fill="E9E9E9"/>
          </w:tcPr>
          <w:p>
            <w:pPr>
              <w:pStyle w:val="TableParagraph"/>
              <w:spacing w:before="37"/>
              <w:ind w:left="252"/>
              <w:jc w:val="left"/>
              <w:rPr>
                <w:sz w:val="16"/>
              </w:rPr>
            </w:pPr>
            <w:r>
              <w:rPr>
                <w:w w:val="101"/>
                <w:sz w:val="16"/>
              </w:rPr>
              <w:t>6</w:t>
            </w:r>
          </w:p>
        </w:tc>
        <w:tc>
          <w:tcPr>
            <w:tcW w:w="584" w:type="dxa"/>
            <w:shd w:val="clear" w:color="auto" w:fill="E9E9E9"/>
          </w:tcPr>
          <w:p>
            <w:pPr>
              <w:pStyle w:val="TableParagraph"/>
              <w:spacing w:before="37"/>
              <w:ind w:left="3"/>
              <w:jc w:val="center"/>
              <w:rPr>
                <w:sz w:val="16"/>
              </w:rPr>
            </w:pPr>
            <w:r>
              <w:rPr>
                <w:w w:val="101"/>
                <w:sz w:val="16"/>
              </w:rPr>
              <w:t>6</w:t>
            </w:r>
          </w:p>
        </w:tc>
        <w:tc>
          <w:tcPr>
            <w:tcW w:w="584" w:type="dxa"/>
            <w:shd w:val="clear" w:color="auto" w:fill="E9E9E9"/>
          </w:tcPr>
          <w:p>
            <w:pPr>
              <w:pStyle w:val="TableParagraph"/>
              <w:spacing w:before="37"/>
              <w:ind w:left="3"/>
              <w:jc w:val="center"/>
              <w:rPr>
                <w:sz w:val="16"/>
              </w:rPr>
            </w:pPr>
            <w:r>
              <w:rPr>
                <w:w w:val="101"/>
                <w:sz w:val="16"/>
              </w:rPr>
              <w:t>6</w:t>
            </w:r>
          </w:p>
        </w:tc>
        <w:tc>
          <w:tcPr>
            <w:tcW w:w="584" w:type="dxa"/>
            <w:shd w:val="clear" w:color="auto" w:fill="E9E9E9"/>
          </w:tcPr>
          <w:p>
            <w:pPr>
              <w:pStyle w:val="TableParagraph"/>
              <w:spacing w:before="37"/>
              <w:ind w:left="3"/>
              <w:jc w:val="center"/>
              <w:rPr>
                <w:sz w:val="16"/>
              </w:rPr>
            </w:pPr>
            <w:r>
              <w:rPr>
                <w:w w:val="103"/>
                <w:sz w:val="16"/>
              </w:rPr>
              <w:t>4</w:t>
            </w:r>
          </w:p>
        </w:tc>
        <w:tc>
          <w:tcPr>
            <w:tcW w:w="584" w:type="dxa"/>
            <w:shd w:val="clear" w:color="auto" w:fill="E9E9E9"/>
          </w:tcPr>
          <w:p>
            <w:pPr>
              <w:pStyle w:val="TableParagraph"/>
              <w:spacing w:before="37"/>
              <w:ind w:left="4"/>
              <w:jc w:val="center"/>
              <w:rPr>
                <w:sz w:val="16"/>
              </w:rPr>
            </w:pPr>
            <w:r>
              <w:rPr>
                <w:w w:val="101"/>
                <w:sz w:val="16"/>
              </w:rPr>
              <w:t>6</w:t>
            </w: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6"/>
              <w:ind w:left="77"/>
              <w:jc w:val="left"/>
              <w:rPr>
                <w:sz w:val="16"/>
              </w:rPr>
            </w:pPr>
            <w:r>
              <w:rPr>
                <w:sz w:val="16"/>
              </w:rPr>
              <w:t>Ms Jenny Purcell</w:t>
            </w:r>
          </w:p>
        </w:tc>
        <w:tc>
          <w:tcPr>
            <w:tcW w:w="584" w:type="dxa"/>
            <w:shd w:val="clear" w:color="auto" w:fill="E9E9E9"/>
          </w:tcPr>
          <w:p>
            <w:pPr>
              <w:pStyle w:val="TableParagraph"/>
              <w:spacing w:before="36"/>
              <w:ind w:left="248"/>
              <w:jc w:val="left"/>
              <w:rPr>
                <w:sz w:val="16"/>
              </w:rPr>
            </w:pPr>
            <w:r>
              <w:rPr>
                <w:w w:val="91"/>
                <w:sz w:val="16"/>
              </w:rPr>
              <w:t>7</w:t>
            </w:r>
          </w:p>
        </w:tc>
        <w:tc>
          <w:tcPr>
            <w:tcW w:w="584" w:type="dxa"/>
            <w:shd w:val="clear" w:color="auto" w:fill="E9E9E9"/>
          </w:tcPr>
          <w:p>
            <w:pPr>
              <w:pStyle w:val="TableParagraph"/>
              <w:spacing w:before="36"/>
              <w:ind w:left="4"/>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6"/>
              <w:ind w:left="77"/>
              <w:jc w:val="left"/>
              <w:rPr>
                <w:sz w:val="16"/>
              </w:rPr>
            </w:pPr>
            <w:r>
              <w:rPr>
                <w:sz w:val="16"/>
              </w:rPr>
              <w:t>Mr Bob Sahota</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6"/>
              <w:ind w:left="4"/>
              <w:jc w:val="center"/>
              <w:rPr>
                <w:sz w:val="16"/>
              </w:rPr>
            </w:pPr>
            <w:r>
              <w:rPr>
                <w:w w:val="95"/>
                <w:sz w:val="16"/>
              </w:rPr>
              <w:t>5</w:t>
            </w:r>
          </w:p>
        </w:tc>
        <w:tc>
          <w:tcPr>
            <w:tcW w:w="584" w:type="dxa"/>
            <w:shd w:val="clear" w:color="auto" w:fill="E9E9E9"/>
          </w:tcPr>
          <w:p>
            <w:pPr>
              <w:pStyle w:val="TableParagraph"/>
              <w:spacing w:before="36"/>
              <w:ind w:left="4"/>
              <w:jc w:val="center"/>
              <w:rPr>
                <w:sz w:val="16"/>
              </w:rPr>
            </w:pPr>
            <w:r>
              <w:rPr>
                <w:w w:val="101"/>
                <w:sz w:val="16"/>
              </w:rPr>
              <w:t>6</w:t>
            </w:r>
          </w:p>
        </w:tc>
      </w:tr>
      <w:tr>
        <w:trPr>
          <w:trHeight w:val="277" w:hRule="exact"/>
        </w:trPr>
        <w:tc>
          <w:tcPr>
            <w:tcW w:w="3038" w:type="dxa"/>
            <w:shd w:val="clear" w:color="auto" w:fill="E9E9E9"/>
          </w:tcPr>
          <w:p>
            <w:pPr>
              <w:pStyle w:val="TableParagraph"/>
              <w:spacing w:before="36"/>
              <w:ind w:left="77"/>
              <w:jc w:val="left"/>
              <w:rPr>
                <w:sz w:val="16"/>
              </w:rPr>
            </w:pPr>
            <w:r>
              <w:rPr>
                <w:sz w:val="16"/>
              </w:rPr>
              <w:t>Ms Gillian Shadwick</w:t>
            </w:r>
          </w:p>
        </w:tc>
        <w:tc>
          <w:tcPr>
            <w:tcW w:w="584" w:type="dxa"/>
            <w:shd w:val="clear" w:color="auto" w:fill="E9E9E9"/>
          </w:tcPr>
          <w:p>
            <w:pPr>
              <w:pStyle w:val="TableParagraph"/>
              <w:spacing w:before="36"/>
              <w:ind w:left="265"/>
              <w:jc w:val="left"/>
              <w:rPr>
                <w:sz w:val="16"/>
              </w:rPr>
            </w:pPr>
            <w:r>
              <w:rPr>
                <w:w w:val="54"/>
                <w:sz w:val="16"/>
              </w:rPr>
              <w:t>1</w:t>
            </w:r>
          </w:p>
        </w:tc>
        <w:tc>
          <w:tcPr>
            <w:tcW w:w="584" w:type="dxa"/>
            <w:shd w:val="clear" w:color="auto" w:fill="E9E9E9"/>
          </w:tcPr>
          <w:p>
            <w:pPr>
              <w:pStyle w:val="TableParagraph"/>
              <w:spacing w:before="36"/>
              <w:ind w:left="4"/>
              <w:jc w:val="center"/>
              <w:rPr>
                <w:sz w:val="16"/>
              </w:rPr>
            </w:pPr>
            <w:r>
              <w:rPr>
                <w:w w:val="54"/>
                <w:sz w:val="16"/>
              </w:rPr>
              <w:t>1</w:t>
            </w:r>
          </w:p>
        </w:tc>
        <w:tc>
          <w:tcPr>
            <w:tcW w:w="584" w:type="dxa"/>
            <w:shd w:val="clear" w:color="auto" w:fill="E9E9E9"/>
          </w:tcPr>
          <w:p>
            <w:pPr/>
          </w:p>
        </w:tc>
        <w:tc>
          <w:tcPr>
            <w:tcW w:w="584" w:type="dxa"/>
            <w:shd w:val="clear" w:color="auto" w:fill="E9E9E9"/>
          </w:tcPr>
          <w:p>
            <w:pPr/>
          </w:p>
        </w:tc>
        <w:tc>
          <w:tcPr>
            <w:tcW w:w="601" w:type="dxa"/>
            <w:shd w:val="clear" w:color="auto" w:fill="E9E9E9"/>
          </w:tcPr>
          <w:p>
            <w:pPr>
              <w:pStyle w:val="TableParagraph"/>
              <w:spacing w:before="36"/>
              <w:ind w:left="4"/>
              <w:jc w:val="center"/>
              <w:rPr>
                <w:sz w:val="16"/>
              </w:rPr>
            </w:pPr>
            <w:r>
              <w:rPr>
                <w:w w:val="54"/>
                <w:sz w:val="16"/>
              </w:rPr>
              <w:t>1</w:t>
            </w:r>
          </w:p>
        </w:tc>
        <w:tc>
          <w:tcPr>
            <w:tcW w:w="601" w:type="dxa"/>
            <w:shd w:val="clear" w:color="auto" w:fill="E9E9E9"/>
          </w:tcPr>
          <w:p>
            <w:pPr>
              <w:pStyle w:val="TableParagraph"/>
              <w:spacing w:before="36"/>
              <w:ind w:left="273"/>
              <w:jc w:val="left"/>
              <w:rPr>
                <w:sz w:val="16"/>
              </w:rPr>
            </w:pPr>
            <w:r>
              <w:rPr>
                <w:w w:val="54"/>
                <w:sz w:val="16"/>
              </w:rPr>
              <w:t>1</w:t>
            </w:r>
          </w:p>
        </w:tc>
        <w:tc>
          <w:tcPr>
            <w:tcW w:w="584" w:type="dxa"/>
            <w:shd w:val="clear" w:color="auto" w:fill="E9E9E9"/>
          </w:tcPr>
          <w:p>
            <w:pPr>
              <w:pStyle w:val="TableParagraph"/>
              <w:spacing w:before="36"/>
              <w:ind w:left="4"/>
              <w:jc w:val="center"/>
              <w:rPr>
                <w:sz w:val="16"/>
              </w:rPr>
            </w:pPr>
            <w:r>
              <w:rPr>
                <w:w w:val="54"/>
                <w:sz w:val="16"/>
              </w:rPr>
              <w:t>1</w:t>
            </w:r>
          </w:p>
        </w:tc>
        <w:tc>
          <w:tcPr>
            <w:tcW w:w="584" w:type="dxa"/>
            <w:shd w:val="clear" w:color="auto" w:fill="E9E9E9"/>
          </w:tcPr>
          <w:p>
            <w:pPr>
              <w:pStyle w:val="TableParagraph"/>
              <w:spacing w:before="36"/>
              <w:ind w:left="4"/>
              <w:jc w:val="center"/>
              <w:rPr>
                <w:sz w:val="16"/>
              </w:rPr>
            </w:pPr>
            <w:r>
              <w:rPr>
                <w:w w:val="54"/>
                <w:sz w:val="16"/>
              </w:rPr>
              <w:t>1</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6"/>
              <w:ind w:left="77"/>
              <w:jc w:val="left"/>
              <w:rPr>
                <w:sz w:val="16"/>
              </w:rPr>
            </w:pPr>
            <w:r>
              <w:rPr>
                <w:sz w:val="16"/>
              </w:rPr>
              <w:t>Professor Peter Shergold</w:t>
            </w:r>
          </w:p>
        </w:tc>
        <w:tc>
          <w:tcPr>
            <w:tcW w:w="584" w:type="dxa"/>
            <w:shd w:val="clear" w:color="auto" w:fill="E9E9E9"/>
          </w:tcPr>
          <w:p>
            <w:pPr>
              <w:pStyle w:val="TableParagraph"/>
              <w:spacing w:before="36"/>
              <w:ind w:left="249"/>
              <w:jc w:val="left"/>
              <w:rPr>
                <w:sz w:val="16"/>
              </w:rPr>
            </w:pPr>
            <w:r>
              <w:rPr>
                <w:w w:val="91"/>
                <w:sz w:val="16"/>
              </w:rPr>
              <w:t>7</w:t>
            </w:r>
          </w:p>
        </w:tc>
        <w:tc>
          <w:tcPr>
            <w:tcW w:w="584" w:type="dxa"/>
            <w:shd w:val="clear" w:color="auto" w:fill="E9E9E9"/>
          </w:tcPr>
          <w:p>
            <w:pPr>
              <w:pStyle w:val="TableParagraph"/>
              <w:spacing w:before="36"/>
              <w:ind w:left="4"/>
              <w:jc w:val="center"/>
              <w:rPr>
                <w:sz w:val="16"/>
              </w:rPr>
            </w:pPr>
            <w:r>
              <w:rPr>
                <w:w w:val="91"/>
                <w:sz w:val="16"/>
              </w:rPr>
              <w:t>7</w:t>
            </w:r>
          </w:p>
        </w:tc>
        <w:tc>
          <w:tcPr>
            <w:tcW w:w="584" w:type="dxa"/>
            <w:shd w:val="clear" w:color="auto" w:fill="E9E9E9"/>
          </w:tcPr>
          <w:p>
            <w:pPr>
              <w:pStyle w:val="TableParagraph"/>
              <w:spacing w:before="36"/>
              <w:ind w:left="4"/>
              <w:jc w:val="center"/>
              <w:rPr>
                <w:sz w:val="16"/>
              </w:rPr>
            </w:pPr>
            <w:r>
              <w:rPr>
                <w:w w:val="54"/>
                <w:sz w:val="16"/>
              </w:rPr>
              <w:t>1</w:t>
            </w:r>
          </w:p>
        </w:tc>
        <w:tc>
          <w:tcPr>
            <w:tcW w:w="584" w:type="dxa"/>
            <w:shd w:val="clear" w:color="auto" w:fill="E9E9E9"/>
          </w:tcPr>
          <w:p>
            <w:pPr>
              <w:pStyle w:val="TableParagraph"/>
              <w:spacing w:before="36"/>
              <w:ind w:left="265"/>
              <w:jc w:val="left"/>
              <w:rPr>
                <w:sz w:val="16"/>
              </w:rPr>
            </w:pPr>
            <w:r>
              <w:rPr>
                <w:w w:val="54"/>
                <w:sz w:val="16"/>
              </w:rPr>
              <w:t>1</w:t>
            </w:r>
          </w:p>
        </w:tc>
        <w:tc>
          <w:tcPr>
            <w:tcW w:w="601" w:type="dxa"/>
            <w:shd w:val="clear" w:color="auto" w:fill="E9E9E9"/>
          </w:tcPr>
          <w:p>
            <w:pPr>
              <w:pStyle w:val="TableParagraph"/>
              <w:spacing w:before="36"/>
              <w:ind w:left="4"/>
              <w:jc w:val="center"/>
              <w:rPr>
                <w:sz w:val="16"/>
              </w:rPr>
            </w:pPr>
            <w:r>
              <w:rPr>
                <w:w w:val="103"/>
                <w:sz w:val="16"/>
              </w:rPr>
              <w:t>4</w:t>
            </w:r>
          </w:p>
        </w:tc>
        <w:tc>
          <w:tcPr>
            <w:tcW w:w="601" w:type="dxa"/>
            <w:shd w:val="clear" w:color="auto" w:fill="E9E9E9"/>
          </w:tcPr>
          <w:p>
            <w:pPr>
              <w:pStyle w:val="TableParagraph"/>
              <w:spacing w:before="36"/>
              <w:ind w:left="253"/>
              <w:jc w:val="left"/>
              <w:rPr>
                <w:sz w:val="16"/>
              </w:rPr>
            </w:pPr>
            <w:r>
              <w:rPr>
                <w:w w:val="101"/>
                <w:sz w:val="16"/>
              </w:rPr>
              <w:t>6</w:t>
            </w:r>
          </w:p>
        </w:tc>
        <w:tc>
          <w:tcPr>
            <w:tcW w:w="584" w:type="dxa"/>
            <w:shd w:val="clear" w:color="auto" w:fill="E9E9E9"/>
          </w:tcPr>
          <w:p>
            <w:pPr>
              <w:pStyle w:val="TableParagraph"/>
              <w:spacing w:before="36"/>
              <w:ind w:left="4"/>
              <w:jc w:val="center"/>
              <w:rPr>
                <w:sz w:val="16"/>
              </w:rPr>
            </w:pPr>
            <w:r>
              <w:rPr>
                <w:w w:val="101"/>
                <w:sz w:val="16"/>
              </w:rPr>
              <w:t>6</w:t>
            </w:r>
          </w:p>
        </w:tc>
        <w:tc>
          <w:tcPr>
            <w:tcW w:w="584" w:type="dxa"/>
            <w:shd w:val="clear" w:color="auto" w:fill="E9E9E9"/>
          </w:tcPr>
          <w:p>
            <w:pPr>
              <w:pStyle w:val="TableParagraph"/>
              <w:spacing w:before="36"/>
              <w:ind w:left="5"/>
              <w:jc w:val="center"/>
              <w:rPr>
                <w:sz w:val="16"/>
              </w:rPr>
            </w:pPr>
            <w:r>
              <w:rPr>
                <w:w w:val="101"/>
                <w:sz w:val="16"/>
              </w:rPr>
              <w:t>6</w:t>
            </w:r>
          </w:p>
        </w:tc>
        <w:tc>
          <w:tcPr>
            <w:tcW w:w="584" w:type="dxa"/>
            <w:shd w:val="clear" w:color="auto" w:fill="E9E9E9"/>
          </w:tcPr>
          <w:p>
            <w:pPr>
              <w:pStyle w:val="TableParagraph"/>
              <w:spacing w:before="36"/>
              <w:ind w:left="5"/>
              <w:jc w:val="center"/>
              <w:rPr>
                <w:sz w:val="16"/>
              </w:rPr>
            </w:pPr>
            <w:r>
              <w:rPr>
                <w:w w:val="54"/>
                <w:sz w:val="16"/>
              </w:rPr>
              <w:t>1</w:t>
            </w:r>
          </w:p>
        </w:tc>
        <w:tc>
          <w:tcPr>
            <w:tcW w:w="584" w:type="dxa"/>
            <w:shd w:val="clear" w:color="auto" w:fill="E9E9E9"/>
          </w:tcPr>
          <w:p>
            <w:pPr>
              <w:pStyle w:val="TableParagraph"/>
              <w:spacing w:before="36"/>
              <w:ind w:left="5"/>
              <w:jc w:val="center"/>
              <w:rPr>
                <w:sz w:val="16"/>
              </w:rPr>
            </w:pPr>
            <w:r>
              <w:rPr>
                <w:w w:val="54"/>
                <w:sz w:val="16"/>
              </w:rPr>
              <w:t>1</w:t>
            </w:r>
          </w:p>
        </w:tc>
        <w:tc>
          <w:tcPr>
            <w:tcW w:w="584" w:type="dxa"/>
            <w:shd w:val="clear" w:color="auto" w:fill="E9E9E9"/>
          </w:tcPr>
          <w:p>
            <w:pPr>
              <w:pStyle w:val="TableParagraph"/>
              <w:spacing w:before="36"/>
              <w:ind w:left="5"/>
              <w:jc w:val="center"/>
              <w:rPr>
                <w:sz w:val="16"/>
              </w:rPr>
            </w:pPr>
            <w:r>
              <w:rPr>
                <w:w w:val="54"/>
                <w:sz w:val="16"/>
              </w:rPr>
              <w:t>1</w:t>
            </w:r>
          </w:p>
        </w:tc>
        <w:tc>
          <w:tcPr>
            <w:tcW w:w="584" w:type="dxa"/>
            <w:shd w:val="clear" w:color="auto" w:fill="E9E9E9"/>
          </w:tcPr>
          <w:p>
            <w:pPr>
              <w:pStyle w:val="TableParagraph"/>
              <w:spacing w:before="36"/>
              <w:ind w:left="5"/>
              <w:jc w:val="center"/>
              <w:rPr>
                <w:sz w:val="16"/>
              </w:rPr>
            </w:pPr>
            <w:r>
              <w:rPr>
                <w:w w:val="54"/>
                <w:sz w:val="16"/>
              </w:rPr>
              <w:t>1</w:t>
            </w:r>
          </w:p>
        </w:tc>
      </w:tr>
      <w:tr>
        <w:trPr>
          <w:trHeight w:val="277" w:hRule="exact"/>
        </w:trPr>
        <w:tc>
          <w:tcPr>
            <w:tcW w:w="3038" w:type="dxa"/>
            <w:shd w:val="clear" w:color="auto" w:fill="E9E9E9"/>
          </w:tcPr>
          <w:p>
            <w:pPr>
              <w:pStyle w:val="TableParagraph"/>
              <w:spacing w:before="36"/>
              <w:ind w:left="77"/>
              <w:jc w:val="left"/>
              <w:rPr>
                <w:sz w:val="16"/>
              </w:rPr>
            </w:pPr>
            <w:r>
              <w:rPr>
                <w:sz w:val="16"/>
              </w:rPr>
              <w:t>Ms Jodi Stanton</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6"/>
              <w:ind w:left="5"/>
              <w:jc w:val="center"/>
              <w:rPr>
                <w:sz w:val="16"/>
              </w:rPr>
            </w:pPr>
            <w:r>
              <w:rPr>
                <w:w w:val="103"/>
                <w:sz w:val="16"/>
              </w:rPr>
              <w:t>4</w:t>
            </w:r>
          </w:p>
        </w:tc>
        <w:tc>
          <w:tcPr>
            <w:tcW w:w="584" w:type="dxa"/>
            <w:shd w:val="clear" w:color="auto" w:fill="E9E9E9"/>
          </w:tcPr>
          <w:p>
            <w:pPr>
              <w:pStyle w:val="TableParagraph"/>
              <w:spacing w:before="36"/>
              <w:ind w:left="5"/>
              <w:jc w:val="center"/>
              <w:rPr>
                <w:sz w:val="16"/>
              </w:rPr>
            </w:pPr>
            <w:r>
              <w:rPr>
                <w:w w:val="101"/>
                <w:sz w:val="16"/>
              </w:rPr>
              <w:t>6</w:t>
            </w: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6"/>
              <w:ind w:left="77"/>
              <w:jc w:val="left"/>
              <w:rPr>
                <w:sz w:val="16"/>
              </w:rPr>
            </w:pPr>
            <w:r>
              <w:rPr>
                <w:sz w:val="16"/>
              </w:rPr>
              <w:t>Mr Ian Stone</w:t>
            </w:r>
          </w:p>
        </w:tc>
        <w:tc>
          <w:tcPr>
            <w:tcW w:w="584" w:type="dxa"/>
            <w:shd w:val="clear" w:color="auto" w:fill="E9E9E9"/>
          </w:tcPr>
          <w:p>
            <w:pPr>
              <w:pStyle w:val="TableParagraph"/>
              <w:spacing w:before="36"/>
              <w:ind w:left="249"/>
              <w:jc w:val="left"/>
              <w:rPr>
                <w:sz w:val="16"/>
              </w:rPr>
            </w:pPr>
            <w:r>
              <w:rPr>
                <w:w w:val="91"/>
                <w:sz w:val="16"/>
              </w:rPr>
              <w:t>7</w:t>
            </w:r>
          </w:p>
        </w:tc>
        <w:tc>
          <w:tcPr>
            <w:tcW w:w="584" w:type="dxa"/>
            <w:shd w:val="clear" w:color="auto" w:fill="E9E9E9"/>
          </w:tcPr>
          <w:p>
            <w:pPr>
              <w:pStyle w:val="TableParagraph"/>
              <w:spacing w:before="36"/>
              <w:ind w:left="5"/>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6"/>
              <w:ind w:left="5"/>
              <w:jc w:val="center"/>
              <w:rPr>
                <w:sz w:val="16"/>
              </w:rPr>
            </w:pPr>
            <w:r>
              <w:rPr>
                <w:w w:val="101"/>
                <w:sz w:val="16"/>
              </w:rPr>
              <w:t>6</w:t>
            </w:r>
          </w:p>
        </w:tc>
        <w:tc>
          <w:tcPr>
            <w:tcW w:w="584" w:type="dxa"/>
            <w:shd w:val="clear" w:color="auto" w:fill="E9E9E9"/>
          </w:tcPr>
          <w:p>
            <w:pPr>
              <w:pStyle w:val="TableParagraph"/>
              <w:spacing w:before="36"/>
              <w:ind w:left="5"/>
              <w:jc w:val="center"/>
              <w:rPr>
                <w:sz w:val="16"/>
              </w:rPr>
            </w:pPr>
            <w:r>
              <w:rPr>
                <w:w w:val="101"/>
                <w:sz w:val="16"/>
              </w:rPr>
              <w:t>6</w:t>
            </w:r>
          </w:p>
        </w:tc>
      </w:tr>
      <w:tr>
        <w:trPr>
          <w:trHeight w:val="277" w:hRule="exact"/>
        </w:trPr>
        <w:tc>
          <w:tcPr>
            <w:tcW w:w="3038" w:type="dxa"/>
            <w:shd w:val="clear" w:color="auto" w:fill="E9E9E9"/>
          </w:tcPr>
          <w:p>
            <w:pPr>
              <w:pStyle w:val="TableParagraph"/>
              <w:spacing w:before="36"/>
              <w:ind w:left="77"/>
              <w:jc w:val="left"/>
              <w:rPr>
                <w:sz w:val="16"/>
              </w:rPr>
            </w:pPr>
            <w:r>
              <w:rPr>
                <w:sz w:val="16"/>
              </w:rPr>
              <w:t>Ms Kerry Stubbs</w:t>
            </w: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Style w:val="TableParagraph"/>
              <w:spacing w:before="36"/>
              <w:ind w:left="5"/>
              <w:jc w:val="center"/>
              <w:rPr>
                <w:sz w:val="16"/>
              </w:rPr>
            </w:pPr>
            <w:r>
              <w:rPr>
                <w:w w:val="101"/>
                <w:sz w:val="16"/>
              </w:rPr>
              <w:t>6</w:t>
            </w:r>
          </w:p>
        </w:tc>
        <w:tc>
          <w:tcPr>
            <w:tcW w:w="584" w:type="dxa"/>
            <w:shd w:val="clear" w:color="auto" w:fill="E9E9E9"/>
          </w:tcPr>
          <w:p>
            <w:pPr>
              <w:pStyle w:val="TableParagraph"/>
              <w:spacing w:before="36"/>
              <w:ind w:left="5"/>
              <w:jc w:val="center"/>
              <w:rPr>
                <w:sz w:val="16"/>
              </w:rPr>
            </w:pPr>
            <w:r>
              <w:rPr>
                <w:w w:val="101"/>
                <w:sz w:val="16"/>
              </w:rPr>
              <w:t>6</w:t>
            </w:r>
          </w:p>
        </w:tc>
      </w:tr>
      <w:tr>
        <w:trPr>
          <w:trHeight w:val="277" w:hRule="exact"/>
        </w:trPr>
        <w:tc>
          <w:tcPr>
            <w:tcW w:w="3038" w:type="dxa"/>
            <w:shd w:val="clear" w:color="auto" w:fill="E9E9E9"/>
          </w:tcPr>
          <w:p>
            <w:pPr>
              <w:pStyle w:val="TableParagraph"/>
              <w:spacing w:before="36"/>
              <w:ind w:left="77"/>
              <w:jc w:val="left"/>
              <w:rPr>
                <w:sz w:val="16"/>
              </w:rPr>
            </w:pPr>
            <w:r>
              <w:rPr>
                <w:sz w:val="16"/>
              </w:rPr>
              <w:t>Ms Gabrielle Trainor</w:t>
            </w:r>
          </w:p>
        </w:tc>
        <w:tc>
          <w:tcPr>
            <w:tcW w:w="584" w:type="dxa"/>
            <w:shd w:val="clear" w:color="auto" w:fill="E9E9E9"/>
          </w:tcPr>
          <w:p>
            <w:pPr>
              <w:pStyle w:val="TableParagraph"/>
              <w:spacing w:before="36"/>
              <w:ind w:left="245"/>
              <w:jc w:val="left"/>
              <w:rPr>
                <w:sz w:val="16"/>
              </w:rPr>
            </w:pPr>
            <w:r>
              <w:rPr>
                <w:w w:val="101"/>
                <w:sz w:val="16"/>
              </w:rPr>
              <w:t>6</w:t>
            </w:r>
          </w:p>
        </w:tc>
        <w:tc>
          <w:tcPr>
            <w:tcW w:w="584" w:type="dxa"/>
            <w:shd w:val="clear" w:color="auto" w:fill="E9E9E9"/>
          </w:tcPr>
          <w:p>
            <w:pPr>
              <w:pStyle w:val="TableParagraph"/>
              <w:spacing w:before="36"/>
              <w:ind w:left="5"/>
              <w:jc w:val="center"/>
              <w:rPr>
                <w:sz w:val="16"/>
              </w:rPr>
            </w:pPr>
            <w:r>
              <w:rPr>
                <w:w w:val="91"/>
                <w:sz w:val="16"/>
              </w:rPr>
              <w:t>7</w:t>
            </w:r>
          </w:p>
        </w:tc>
        <w:tc>
          <w:tcPr>
            <w:tcW w:w="584" w:type="dxa"/>
            <w:shd w:val="clear" w:color="auto" w:fill="E9E9E9"/>
          </w:tcPr>
          <w:p>
            <w:pPr>
              <w:pStyle w:val="TableParagraph"/>
              <w:spacing w:before="36"/>
              <w:ind w:left="5"/>
              <w:jc w:val="center"/>
              <w:rPr>
                <w:sz w:val="16"/>
              </w:rPr>
            </w:pPr>
            <w:r>
              <w:rPr>
                <w:w w:val="103"/>
                <w:sz w:val="16"/>
              </w:rPr>
              <w:t>4</w:t>
            </w:r>
          </w:p>
        </w:tc>
        <w:tc>
          <w:tcPr>
            <w:tcW w:w="584" w:type="dxa"/>
            <w:shd w:val="clear" w:color="auto" w:fill="E9E9E9"/>
          </w:tcPr>
          <w:p>
            <w:pPr>
              <w:pStyle w:val="TableParagraph"/>
              <w:spacing w:before="36"/>
              <w:ind w:left="248"/>
              <w:jc w:val="left"/>
              <w:rPr>
                <w:sz w:val="16"/>
              </w:rPr>
            </w:pPr>
            <w:r>
              <w:rPr>
                <w:w w:val="95"/>
                <w:sz w:val="16"/>
              </w:rPr>
              <w:t>5</w:t>
            </w: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3038" w:type="dxa"/>
            <w:shd w:val="clear" w:color="auto" w:fill="E9E9E9"/>
          </w:tcPr>
          <w:p>
            <w:pPr>
              <w:pStyle w:val="TableParagraph"/>
              <w:spacing w:before="36"/>
              <w:ind w:left="78"/>
              <w:jc w:val="left"/>
              <w:rPr>
                <w:sz w:val="16"/>
              </w:rPr>
            </w:pPr>
            <w:r>
              <w:rPr>
                <w:sz w:val="16"/>
              </w:rPr>
              <w:t>Associate Professor Paul Wormell</w:t>
            </w:r>
          </w:p>
        </w:tc>
        <w:tc>
          <w:tcPr>
            <w:tcW w:w="584" w:type="dxa"/>
            <w:shd w:val="clear" w:color="auto" w:fill="E9E9E9"/>
          </w:tcPr>
          <w:p>
            <w:pPr>
              <w:pStyle w:val="TableParagraph"/>
              <w:spacing w:before="36"/>
              <w:ind w:left="249"/>
              <w:jc w:val="left"/>
              <w:rPr>
                <w:sz w:val="16"/>
              </w:rPr>
            </w:pPr>
            <w:r>
              <w:rPr>
                <w:w w:val="91"/>
                <w:sz w:val="16"/>
              </w:rPr>
              <w:t>7</w:t>
            </w:r>
          </w:p>
        </w:tc>
        <w:tc>
          <w:tcPr>
            <w:tcW w:w="584" w:type="dxa"/>
            <w:shd w:val="clear" w:color="auto" w:fill="E9E9E9"/>
          </w:tcPr>
          <w:p>
            <w:pPr>
              <w:pStyle w:val="TableParagraph"/>
              <w:spacing w:before="36"/>
              <w:ind w:left="6"/>
              <w:jc w:val="center"/>
              <w:rPr>
                <w:sz w:val="16"/>
              </w:rPr>
            </w:pPr>
            <w:r>
              <w:rPr>
                <w:w w:val="91"/>
                <w:sz w:val="16"/>
              </w:rPr>
              <w:t>7</w:t>
            </w:r>
          </w:p>
        </w:tc>
        <w:tc>
          <w:tcPr>
            <w:tcW w:w="584" w:type="dxa"/>
            <w:shd w:val="clear" w:color="auto" w:fill="E9E9E9"/>
          </w:tcPr>
          <w:p>
            <w:pPr/>
          </w:p>
        </w:tc>
        <w:tc>
          <w:tcPr>
            <w:tcW w:w="584" w:type="dxa"/>
            <w:shd w:val="clear" w:color="auto" w:fill="E9E9E9"/>
          </w:tcPr>
          <w:p>
            <w:pPr/>
          </w:p>
        </w:tc>
        <w:tc>
          <w:tcPr>
            <w:tcW w:w="601" w:type="dxa"/>
            <w:shd w:val="clear" w:color="auto" w:fill="E9E9E9"/>
          </w:tcPr>
          <w:p>
            <w:pPr/>
          </w:p>
        </w:tc>
        <w:tc>
          <w:tcPr>
            <w:tcW w:w="601"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c>
          <w:tcPr>
            <w:tcW w:w="584" w:type="dxa"/>
            <w:shd w:val="clear" w:color="auto" w:fill="E9E9E9"/>
          </w:tcPr>
          <w:p>
            <w:pPr/>
          </w:p>
        </w:tc>
      </w:tr>
      <w:tr>
        <w:trPr>
          <w:trHeight w:val="277" w:hRule="exact"/>
        </w:trPr>
        <w:tc>
          <w:tcPr>
            <w:tcW w:w="10079" w:type="dxa"/>
            <w:gridSpan w:val="13"/>
            <w:shd w:val="clear" w:color="auto" w:fill="E9E9E9"/>
          </w:tcPr>
          <w:p>
            <w:pPr>
              <w:pStyle w:val="TableParagraph"/>
              <w:spacing w:before="36"/>
              <w:ind w:left="78"/>
              <w:jc w:val="left"/>
              <w:rPr>
                <w:sz w:val="16"/>
              </w:rPr>
            </w:pPr>
            <w:r>
              <w:rPr>
                <w:w w:val="83"/>
                <w:sz w:val="16"/>
              </w:rPr>
              <w:t>#</w:t>
            </w:r>
            <w:r>
              <w:rPr>
                <w:spacing w:val="-12"/>
                <w:sz w:val="16"/>
              </w:rPr>
              <w:t> </w:t>
            </w:r>
            <w:r>
              <w:rPr>
                <w:spacing w:val="2"/>
                <w:w w:val="64"/>
                <w:sz w:val="16"/>
              </w:rPr>
              <w:t>I</w:t>
            </w:r>
            <w:r>
              <w:rPr>
                <w:w w:val="95"/>
                <w:sz w:val="16"/>
              </w:rPr>
              <w:t>n</w:t>
            </w:r>
            <w:r>
              <w:rPr>
                <w:spacing w:val="-12"/>
                <w:sz w:val="16"/>
              </w:rPr>
              <w:t> </w:t>
            </w:r>
            <w:r>
              <w:rPr>
                <w:spacing w:val="2"/>
                <w:w w:val="93"/>
                <w:sz w:val="16"/>
              </w:rPr>
              <w:t>2</w:t>
            </w:r>
            <w:r>
              <w:rPr>
                <w:spacing w:val="1"/>
                <w:w w:val="111"/>
                <w:sz w:val="16"/>
              </w:rPr>
              <w:t>0</w:t>
            </w:r>
            <w:r>
              <w:rPr>
                <w:spacing w:val="4"/>
                <w:w w:val="54"/>
                <w:sz w:val="16"/>
              </w:rPr>
              <w:t>1</w:t>
            </w:r>
            <w:r>
              <w:rPr>
                <w:spacing w:val="4"/>
                <w:w w:val="101"/>
                <w:sz w:val="16"/>
              </w:rPr>
              <w:t>6</w:t>
            </w:r>
            <w:r>
              <w:rPr>
                <w:w w:val="68"/>
                <w:sz w:val="16"/>
              </w:rPr>
              <w:t>,</w:t>
            </w:r>
            <w:r>
              <w:rPr>
                <w:spacing w:val="-12"/>
                <w:sz w:val="16"/>
              </w:rPr>
              <w:t> </w:t>
            </w:r>
            <w:r>
              <w:rPr>
                <w:w w:val="102"/>
                <w:sz w:val="16"/>
              </w:rPr>
              <w:t>t</w:t>
            </w:r>
            <w:r>
              <w:rPr>
                <w:spacing w:val="2"/>
                <w:w w:val="95"/>
                <w:sz w:val="16"/>
              </w:rPr>
              <w:t>h</w:t>
            </w:r>
            <w:r>
              <w:rPr>
                <w:w w:val="95"/>
                <w:sz w:val="16"/>
              </w:rPr>
              <w:t>e</w:t>
            </w:r>
            <w:r>
              <w:rPr>
                <w:spacing w:val="-12"/>
                <w:sz w:val="16"/>
              </w:rPr>
              <w:t> </w:t>
            </w:r>
            <w:r>
              <w:rPr>
                <w:spacing w:val="3"/>
                <w:w w:val="104"/>
                <w:sz w:val="16"/>
              </w:rPr>
              <w:t>B</w:t>
            </w:r>
            <w:r>
              <w:rPr>
                <w:spacing w:val="3"/>
                <w:w w:val="100"/>
                <w:sz w:val="16"/>
              </w:rPr>
              <w:t>o</w:t>
            </w:r>
            <w:r>
              <w:rPr>
                <w:spacing w:val="2"/>
                <w:w w:val="94"/>
                <w:sz w:val="16"/>
              </w:rPr>
              <w:t>a</w:t>
            </w:r>
            <w:r>
              <w:rPr>
                <w:spacing w:val="-1"/>
                <w:w w:val="95"/>
                <w:sz w:val="16"/>
              </w:rPr>
              <w:t>r</w:t>
            </w:r>
            <w:r>
              <w:rPr>
                <w:w w:val="102"/>
                <w:sz w:val="16"/>
              </w:rPr>
              <w:t>d</w:t>
            </w:r>
            <w:r>
              <w:rPr>
                <w:spacing w:val="-12"/>
                <w:sz w:val="16"/>
              </w:rPr>
              <w:t> </w:t>
            </w:r>
            <w:r>
              <w:rPr>
                <w:spacing w:val="2"/>
                <w:w w:val="95"/>
                <w:sz w:val="16"/>
              </w:rPr>
              <w:t>h</w:t>
            </w:r>
            <w:r>
              <w:rPr>
                <w:spacing w:val="2"/>
                <w:w w:val="95"/>
                <w:sz w:val="16"/>
              </w:rPr>
              <w:t>e</w:t>
            </w:r>
            <w:r>
              <w:rPr>
                <w:spacing w:val="1"/>
                <w:w w:val="95"/>
                <w:sz w:val="16"/>
              </w:rPr>
              <w:t>l</w:t>
            </w:r>
            <w:r>
              <w:rPr>
                <w:w w:val="102"/>
                <w:sz w:val="16"/>
              </w:rPr>
              <w:t>d</w:t>
            </w:r>
            <w:r>
              <w:rPr>
                <w:spacing w:val="-12"/>
                <w:sz w:val="16"/>
              </w:rPr>
              <w:t> </w:t>
            </w:r>
            <w:r>
              <w:rPr>
                <w:w w:val="95"/>
                <w:sz w:val="16"/>
              </w:rPr>
              <w:t>s</w:t>
            </w:r>
            <w:r>
              <w:rPr>
                <w:w w:val="95"/>
                <w:sz w:val="16"/>
              </w:rPr>
              <w:t>i</w:t>
            </w:r>
            <w:r>
              <w:rPr>
                <w:w w:val="99"/>
                <w:sz w:val="16"/>
              </w:rPr>
              <w:t>x</w:t>
            </w:r>
            <w:r>
              <w:rPr>
                <w:spacing w:val="-12"/>
                <w:sz w:val="16"/>
              </w:rPr>
              <w:t> </w:t>
            </w:r>
            <w:r>
              <w:rPr>
                <w:spacing w:val="-1"/>
                <w:w w:val="95"/>
                <w:sz w:val="16"/>
              </w:rPr>
              <w:t>r</w:t>
            </w:r>
            <w:r>
              <w:rPr>
                <w:spacing w:val="3"/>
                <w:w w:val="95"/>
                <w:sz w:val="16"/>
              </w:rPr>
              <w:t>e</w:t>
            </w:r>
            <w:r>
              <w:rPr>
                <w:spacing w:val="2"/>
                <w:w w:val="102"/>
                <w:sz w:val="16"/>
              </w:rPr>
              <w:t>g</w:t>
            </w:r>
            <w:r>
              <w:rPr>
                <w:spacing w:val="1"/>
                <w:w w:val="95"/>
                <w:sz w:val="16"/>
              </w:rPr>
              <w:t>u</w:t>
            </w:r>
            <w:r>
              <w:rPr>
                <w:spacing w:val="1"/>
                <w:w w:val="95"/>
                <w:sz w:val="16"/>
              </w:rPr>
              <w:t>l</w:t>
            </w:r>
            <w:r>
              <w:rPr>
                <w:spacing w:val="2"/>
                <w:w w:val="94"/>
                <w:sz w:val="16"/>
              </w:rPr>
              <w:t>a</w:t>
            </w:r>
            <w:r>
              <w:rPr>
                <w:w w:val="95"/>
                <w:sz w:val="16"/>
              </w:rPr>
              <w:t>r</w:t>
            </w:r>
            <w:r>
              <w:rPr>
                <w:spacing w:val="-12"/>
                <w:sz w:val="16"/>
              </w:rPr>
              <w:t> </w:t>
            </w:r>
            <w:r>
              <w:rPr>
                <w:spacing w:val="2"/>
                <w:w w:val="98"/>
                <w:sz w:val="16"/>
              </w:rPr>
              <w:t>m</w:t>
            </w:r>
            <w:r>
              <w:rPr>
                <w:spacing w:val="3"/>
                <w:w w:val="95"/>
                <w:sz w:val="16"/>
              </w:rPr>
              <w:t>e</w:t>
            </w:r>
            <w:r>
              <w:rPr>
                <w:w w:val="95"/>
                <w:sz w:val="16"/>
              </w:rPr>
              <w:t>e</w:t>
            </w:r>
            <w:r>
              <w:rPr>
                <w:w w:val="102"/>
                <w:sz w:val="16"/>
              </w:rPr>
              <w:t>t</w:t>
            </w:r>
            <w:r>
              <w:rPr>
                <w:spacing w:val="1"/>
                <w:w w:val="95"/>
                <w:sz w:val="16"/>
              </w:rPr>
              <w:t>i</w:t>
            </w:r>
            <w:r>
              <w:rPr>
                <w:spacing w:val="2"/>
                <w:w w:val="95"/>
                <w:sz w:val="16"/>
              </w:rPr>
              <w:t>n</w:t>
            </w:r>
            <w:r>
              <w:rPr>
                <w:spacing w:val="2"/>
                <w:w w:val="102"/>
                <w:sz w:val="16"/>
              </w:rPr>
              <w:t>g</w:t>
            </w:r>
            <w:r>
              <w:rPr>
                <w:w w:val="95"/>
                <w:sz w:val="16"/>
              </w:rPr>
              <w:t>s</w:t>
            </w:r>
            <w:r>
              <w:rPr>
                <w:spacing w:val="-12"/>
                <w:sz w:val="16"/>
              </w:rPr>
              <w:t> </w:t>
            </w:r>
            <w:r>
              <w:rPr>
                <w:spacing w:val="2"/>
                <w:w w:val="94"/>
                <w:sz w:val="16"/>
              </w:rPr>
              <w:t>a</w:t>
            </w:r>
            <w:r>
              <w:rPr>
                <w:spacing w:val="2"/>
                <w:w w:val="95"/>
                <w:sz w:val="16"/>
              </w:rPr>
              <w:t>n</w:t>
            </w:r>
            <w:r>
              <w:rPr>
                <w:w w:val="102"/>
                <w:sz w:val="16"/>
              </w:rPr>
              <w:t>d</w:t>
            </w:r>
            <w:r>
              <w:rPr>
                <w:spacing w:val="-12"/>
                <w:sz w:val="16"/>
              </w:rPr>
              <w:t> </w:t>
            </w:r>
            <w:r>
              <w:rPr>
                <w:spacing w:val="2"/>
                <w:w w:val="100"/>
                <w:sz w:val="16"/>
              </w:rPr>
              <w:t>o</w:t>
            </w:r>
            <w:r>
              <w:rPr>
                <w:spacing w:val="2"/>
                <w:w w:val="95"/>
                <w:sz w:val="16"/>
              </w:rPr>
              <w:t>n</w:t>
            </w:r>
            <w:r>
              <w:rPr>
                <w:w w:val="95"/>
                <w:sz w:val="16"/>
              </w:rPr>
              <w:t>e</w:t>
            </w:r>
            <w:r>
              <w:rPr>
                <w:spacing w:val="-12"/>
                <w:sz w:val="16"/>
              </w:rPr>
              <w:t> </w:t>
            </w:r>
            <w:r>
              <w:rPr>
                <w:spacing w:val="-1"/>
                <w:w w:val="98"/>
                <w:sz w:val="16"/>
              </w:rPr>
              <w:t>S</w:t>
            </w:r>
            <w:r>
              <w:rPr>
                <w:w w:val="102"/>
                <w:sz w:val="16"/>
              </w:rPr>
              <w:t>t</w:t>
            </w:r>
            <w:r>
              <w:rPr>
                <w:spacing w:val="2"/>
                <w:w w:val="95"/>
                <w:sz w:val="16"/>
              </w:rPr>
              <w:t>r</w:t>
            </w:r>
            <w:r>
              <w:rPr>
                <w:w w:val="94"/>
                <w:sz w:val="16"/>
              </w:rPr>
              <w:t>a</w:t>
            </w:r>
            <w:r>
              <w:rPr>
                <w:spacing w:val="-2"/>
                <w:w w:val="102"/>
                <w:sz w:val="16"/>
              </w:rPr>
              <w:t>t</w:t>
            </w:r>
            <w:r>
              <w:rPr>
                <w:spacing w:val="3"/>
                <w:w w:val="95"/>
                <w:sz w:val="16"/>
              </w:rPr>
              <w:t>e</w:t>
            </w:r>
            <w:r>
              <w:rPr>
                <w:spacing w:val="1"/>
                <w:w w:val="102"/>
                <w:sz w:val="16"/>
              </w:rPr>
              <w:t>g</w:t>
            </w:r>
            <w:r>
              <w:rPr>
                <w:w w:val="101"/>
                <w:sz w:val="16"/>
              </w:rPr>
              <w:t>y</w:t>
            </w:r>
            <w:r>
              <w:rPr>
                <w:spacing w:val="-12"/>
                <w:sz w:val="16"/>
              </w:rPr>
              <w:t> </w:t>
            </w:r>
            <w:r>
              <w:rPr>
                <w:spacing w:val="1"/>
                <w:w w:val="98"/>
                <w:sz w:val="16"/>
              </w:rPr>
              <w:t>D</w:t>
            </w:r>
            <w:r>
              <w:rPr>
                <w:spacing w:val="-1"/>
                <w:w w:val="94"/>
                <w:sz w:val="16"/>
              </w:rPr>
              <w:t>a</w:t>
            </w:r>
            <w:r>
              <w:rPr>
                <w:w w:val="101"/>
                <w:sz w:val="16"/>
              </w:rPr>
              <w:t>y</w:t>
            </w:r>
            <w:r>
              <w:rPr>
                <w:spacing w:val="-12"/>
                <w:sz w:val="16"/>
              </w:rPr>
              <w:t> </w:t>
            </w:r>
            <w:r>
              <w:rPr>
                <w:spacing w:val="2"/>
                <w:w w:val="98"/>
                <w:sz w:val="16"/>
              </w:rPr>
              <w:t>m</w:t>
            </w:r>
            <w:r>
              <w:rPr>
                <w:spacing w:val="3"/>
                <w:w w:val="95"/>
                <w:sz w:val="16"/>
              </w:rPr>
              <w:t>e</w:t>
            </w:r>
            <w:r>
              <w:rPr>
                <w:w w:val="95"/>
                <w:sz w:val="16"/>
              </w:rPr>
              <w:t>e</w:t>
            </w:r>
            <w:r>
              <w:rPr>
                <w:w w:val="102"/>
                <w:sz w:val="16"/>
              </w:rPr>
              <w:t>t</w:t>
            </w:r>
            <w:r>
              <w:rPr>
                <w:spacing w:val="1"/>
                <w:w w:val="95"/>
                <w:sz w:val="16"/>
              </w:rPr>
              <w:t>i</w:t>
            </w:r>
            <w:r>
              <w:rPr>
                <w:spacing w:val="2"/>
                <w:w w:val="95"/>
                <w:sz w:val="16"/>
              </w:rPr>
              <w:t>n</w:t>
            </w:r>
            <w:r>
              <w:rPr>
                <w:spacing w:val="3"/>
                <w:w w:val="102"/>
                <w:sz w:val="16"/>
              </w:rPr>
              <w:t>g</w:t>
            </w:r>
            <w:r>
              <w:rPr>
                <w:w w:val="68"/>
                <w:sz w:val="16"/>
              </w:rPr>
              <w:t>.</w:t>
            </w:r>
          </w:p>
        </w:tc>
      </w:tr>
    </w:tbl>
    <w:p>
      <w:pPr>
        <w:spacing w:after="0"/>
        <w:jc w:val="left"/>
        <w:rPr>
          <w:sz w:val="16"/>
        </w:rPr>
        <w:sectPr>
          <w:pgSz w:w="11910" w:h="16840"/>
          <w:pgMar w:header="496" w:footer="472" w:top="680" w:bottom="660" w:left="580" w:right="580"/>
        </w:sectPr>
      </w:pPr>
    </w:p>
    <w:p>
      <w:pPr>
        <w:pStyle w:val="BodyText"/>
        <w:spacing w:before="8"/>
        <w:rPr>
          <w:rFonts w:ascii="Gotham Narrow Bold"/>
          <w:b/>
          <w:sz w:val="28"/>
        </w:rPr>
      </w:pPr>
      <w:r>
        <w:rPr/>
        <w:pict>
          <v:group style="position:absolute;margin-left:34.015999pt;margin-top:45.355015pt;width:527.25pt;height:751.2pt;mso-position-horizontal-relative:page;mso-position-vertical-relative:page;z-index:-334888" coordorigin="680,907" coordsize="10545,15024">
            <v:rect style="position:absolute;left:680;top:907;width:10545;height:15024" filled="true" fillcolor="#e9e9e9" stroked="false">
              <v:fill type="solid"/>
            </v:rect>
            <v:line style="position:absolute" from="910,5233" to="6059,5233" stroked="true" strokeweight="1.5pt" strokecolor="#000000"/>
            <v:line style="position:absolute" from="6059,5233" to="10998,5233" stroked="true" strokeweight="1.5pt" strokecolor="#000000"/>
            <v:line style="position:absolute" from="910,5532" to="6059,5532" stroked="true" strokeweight=".5pt" strokecolor="#949290"/>
            <v:line style="position:absolute" from="6059,5532" to="10998,5532" stroked="true" strokeweight=".5pt" strokecolor="#949290"/>
            <v:line style="position:absolute" from="910,5820" to="6059,5820" stroked="true" strokeweight=".5pt" strokecolor="#949290"/>
            <v:line style="position:absolute" from="6059,5820" to="10998,5820" stroked="true" strokeweight=".5pt" strokecolor="#949290"/>
            <v:line style="position:absolute" from="910,6108" to="6059,6108" stroked="true" strokeweight=".5pt" strokecolor="#949290"/>
            <v:line style="position:absolute" from="6059,6108" to="10998,6108" stroked="true" strokeweight=".5pt" strokecolor="#949290"/>
            <v:line style="position:absolute" from="910,6396" to="6059,6396" stroked="true" strokeweight=".5pt" strokecolor="#949290"/>
            <v:line style="position:absolute" from="6059,6396" to="10998,6396" stroked="true" strokeweight=".5pt" strokecolor="#949290"/>
            <v:line style="position:absolute" from="910,6684" to="6059,6684" stroked="true" strokeweight=".5pt" strokecolor="#949290"/>
            <v:line style="position:absolute" from="6059,6684" to="10998,6684" stroked="true" strokeweight=".5pt" strokecolor="#949290"/>
            <v:line style="position:absolute" from="910,6972" to="6059,6972" stroked="true" strokeweight=".5pt" strokecolor="#949290"/>
            <v:line style="position:absolute" from="6059,6972" to="10998,6972" stroked="true" strokeweight=".5pt" strokecolor="#949290"/>
            <v:line style="position:absolute" from="910,7260" to="6059,7260" stroked="true" strokeweight=".5pt" strokecolor="#949290"/>
            <v:line style="position:absolute" from="6059,7260" to="10998,7260" stroked="true" strokeweight=".5pt" strokecolor="#949290"/>
            <v:line style="position:absolute" from="910,7820" to="6059,7820" stroked="true" strokeweight="1.5pt" strokecolor="#000000"/>
            <v:line style="position:absolute" from="6059,7820" to="10998,7820" stroked="true" strokeweight="1.5pt" strokecolor="#000000"/>
            <v:line style="position:absolute" from="910,8118" to="6059,8118" stroked="true" strokeweight=".5pt" strokecolor="#949290"/>
            <v:line style="position:absolute" from="6059,8118" to="10998,8118" stroked="true" strokeweight=".5pt" strokecolor="#949290"/>
            <v:line style="position:absolute" from="910,8416" to="6059,8416" stroked="true" strokeweight=".5pt" strokecolor="#949290"/>
            <v:line style="position:absolute" from="6059,8416" to="10998,8416" stroked="true" strokeweight=".5pt" strokecolor="#949290"/>
            <v:line style="position:absolute" from="910,8714" to="6059,8714" stroked="true" strokeweight=".5pt" strokecolor="#949290"/>
            <v:line style="position:absolute" from="6059,8714" to="10998,8714" stroked="true" strokeweight=".5pt" strokecolor="#949290"/>
            <w10:wrap type="none"/>
          </v:group>
        </w:pict>
      </w:r>
    </w:p>
    <w:p>
      <w:pPr>
        <w:spacing w:before="30"/>
        <w:ind w:left="330" w:right="7611" w:firstLine="0"/>
        <w:jc w:val="left"/>
        <w:rPr>
          <w:rFonts w:ascii="Gotham Narrow Bold"/>
          <w:b/>
          <w:sz w:val="40"/>
        </w:rPr>
      </w:pPr>
      <w:bookmarkStart w:name="_TOC_250016" w:id="38"/>
      <w:bookmarkEnd w:id="38"/>
      <w:r>
        <w:rPr>
          <w:rFonts w:ascii="Gotham Narrow Bold"/>
          <w:b/>
          <w:w w:val="95"/>
          <w:sz w:val="40"/>
        </w:rPr>
        <w:t>APPENDIX 3</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spacing w:before="58"/>
        <w:ind w:left="330" w:right="503" w:firstLine="0"/>
        <w:jc w:val="left"/>
        <w:rPr>
          <w:rFonts w:ascii="Gotham Narrow Bold"/>
          <w:b/>
          <w:sz w:val="24"/>
        </w:rPr>
      </w:pPr>
      <w:r>
        <w:rPr>
          <w:rFonts w:ascii="Gotham Narrow Bold"/>
          <w:b/>
          <w:w w:val="95"/>
          <w:sz w:val="24"/>
        </w:rPr>
        <w:t>COMMITTEES AND OTHER BODIES ESTABLISHED BY THE BOARD OF TRUSTEES</w:t>
      </w:r>
    </w:p>
    <w:p>
      <w:pPr>
        <w:pStyle w:val="BodyText"/>
        <w:spacing w:before="6"/>
        <w:rPr>
          <w:rFonts w:ascii="Gotham Narrow Bold"/>
          <w:b/>
          <w:sz w:val="11"/>
        </w:rPr>
      </w:pPr>
    </w:p>
    <w:p>
      <w:pPr>
        <w:pStyle w:val="Heading7"/>
        <w:tabs>
          <w:tab w:pos="5479" w:val="left" w:leader="none"/>
        </w:tabs>
        <w:spacing w:before="72"/>
        <w:ind w:left="330" w:right="503"/>
      </w:pPr>
      <w:r>
        <w:rPr/>
        <w:t>BOARD</w:t>
      </w:r>
      <w:r>
        <w:rPr>
          <w:spacing w:val="-21"/>
        </w:rPr>
        <w:t> </w:t>
      </w:r>
      <w:r>
        <w:rPr/>
        <w:t>OF</w:t>
      </w:r>
      <w:r>
        <w:rPr>
          <w:spacing w:val="-21"/>
        </w:rPr>
        <w:t> </w:t>
      </w:r>
      <w:r>
        <w:rPr>
          <w:spacing w:val="2"/>
        </w:rPr>
        <w:t>TRUSTEES</w:t>
      </w:r>
      <w:r>
        <w:rPr>
          <w:spacing w:val="-21"/>
        </w:rPr>
        <w:t> </w:t>
      </w:r>
      <w:r>
        <w:rPr>
          <w:spacing w:val="2"/>
        </w:rPr>
        <w:t>COMMITTEES</w:t>
        <w:tab/>
      </w:r>
      <w:r>
        <w:rPr/>
        <w:t>CHAIR</w:t>
      </w:r>
    </w:p>
    <w:p>
      <w:pPr>
        <w:pStyle w:val="BodyText"/>
        <w:tabs>
          <w:tab w:pos="5479" w:val="left" w:leader="none"/>
        </w:tabs>
        <w:spacing w:before="94"/>
        <w:ind w:left="330" w:right="503"/>
      </w:pPr>
      <w:r>
        <w:rPr>
          <w:position w:val="-2"/>
        </w:rPr>
        <w:t>Academic</w:t>
      </w:r>
      <w:r>
        <w:rPr>
          <w:spacing w:val="-11"/>
          <w:position w:val="-2"/>
        </w:rPr>
        <w:t> </w:t>
      </w:r>
      <w:r>
        <w:rPr>
          <w:position w:val="-2"/>
        </w:rPr>
        <w:t>Senate</w:t>
        <w:tab/>
      </w:r>
      <w:r>
        <w:rPr/>
        <w:t>Associate Professor Paul</w:t>
      </w:r>
      <w:r>
        <w:rPr>
          <w:spacing w:val="-26"/>
        </w:rPr>
        <w:t> </w:t>
      </w:r>
      <w:r>
        <w:rPr/>
        <w:t>Wormell</w:t>
      </w:r>
    </w:p>
    <w:p>
      <w:pPr>
        <w:pStyle w:val="BodyText"/>
        <w:tabs>
          <w:tab w:pos="5479" w:val="left" w:leader="none"/>
        </w:tabs>
        <w:spacing w:before="60"/>
        <w:ind w:left="330" w:right="503"/>
      </w:pPr>
      <w:r>
        <w:rPr/>
        <w:t>Audit</w:t>
      </w:r>
      <w:r>
        <w:rPr>
          <w:spacing w:val="-11"/>
        </w:rPr>
        <w:t> </w:t>
      </w:r>
      <w:r>
        <w:rPr/>
        <w:t>and</w:t>
      </w:r>
      <w:r>
        <w:rPr>
          <w:spacing w:val="-11"/>
        </w:rPr>
        <w:t> </w:t>
      </w:r>
      <w:r>
        <w:rPr/>
        <w:t>Risk</w:t>
        <w:tab/>
      </w:r>
      <w:r>
        <w:rPr>
          <w:position w:val="3"/>
        </w:rPr>
        <w:t>Ms Liz</w:t>
      </w:r>
      <w:r>
        <w:rPr>
          <w:spacing w:val="-20"/>
          <w:position w:val="3"/>
        </w:rPr>
        <w:t> </w:t>
      </w:r>
      <w:r>
        <w:rPr>
          <w:position w:val="3"/>
        </w:rPr>
        <w:t>Dibbs</w:t>
      </w:r>
    </w:p>
    <w:p>
      <w:pPr>
        <w:pStyle w:val="BodyText"/>
        <w:tabs>
          <w:tab w:pos="5479" w:val="left" w:leader="none"/>
        </w:tabs>
        <w:spacing w:before="69"/>
        <w:ind w:left="330" w:right="503"/>
      </w:pPr>
      <w:r>
        <w:rPr>
          <w:position w:val="-2"/>
        </w:rPr>
        <w:t>Board</w:t>
      </w:r>
      <w:r>
        <w:rPr>
          <w:spacing w:val="-11"/>
          <w:position w:val="-2"/>
        </w:rPr>
        <w:t> </w:t>
      </w:r>
      <w:r>
        <w:rPr>
          <w:position w:val="-2"/>
        </w:rPr>
        <w:t>Standing</w:t>
        <w:tab/>
      </w:r>
      <w:r>
        <w:rPr/>
        <w:t>Professor</w:t>
      </w:r>
      <w:r>
        <w:rPr>
          <w:spacing w:val="-14"/>
        </w:rPr>
        <w:t> </w:t>
      </w:r>
      <w:r>
        <w:rPr/>
        <w:t>Peter</w:t>
      </w:r>
      <w:r>
        <w:rPr>
          <w:spacing w:val="-14"/>
        </w:rPr>
        <w:t> </w:t>
      </w:r>
      <w:r>
        <w:rPr/>
        <w:t>Shergold,</w:t>
      </w:r>
      <w:r>
        <w:rPr>
          <w:spacing w:val="-14"/>
        </w:rPr>
        <w:t> </w:t>
      </w:r>
      <w:r>
        <w:rPr/>
        <w:t>AC</w:t>
      </w:r>
    </w:p>
    <w:p>
      <w:pPr>
        <w:pStyle w:val="BodyText"/>
        <w:tabs>
          <w:tab w:pos="5479" w:val="left" w:leader="none"/>
        </w:tabs>
        <w:spacing w:before="60"/>
        <w:ind w:left="330" w:right="503"/>
      </w:pPr>
      <w:r>
        <w:rPr/>
        <w:t>Finance</w:t>
      </w:r>
      <w:r>
        <w:rPr>
          <w:spacing w:val="-19"/>
        </w:rPr>
        <w:t> </w:t>
      </w:r>
      <w:r>
        <w:rPr/>
        <w:t>and</w:t>
      </w:r>
      <w:r>
        <w:rPr>
          <w:spacing w:val="-19"/>
        </w:rPr>
        <w:t> </w:t>
      </w:r>
      <w:r>
        <w:rPr/>
        <w:t>Investment</w:t>
        <w:tab/>
      </w:r>
      <w:r>
        <w:rPr>
          <w:position w:val="3"/>
        </w:rPr>
        <w:t>Ms Genevieve</w:t>
      </w:r>
      <w:r>
        <w:rPr>
          <w:spacing w:val="-38"/>
          <w:position w:val="3"/>
        </w:rPr>
        <w:t> </w:t>
      </w:r>
      <w:r>
        <w:rPr>
          <w:position w:val="3"/>
        </w:rPr>
        <w:t>Gregor</w:t>
      </w:r>
    </w:p>
    <w:p>
      <w:pPr>
        <w:pStyle w:val="BodyText"/>
        <w:tabs>
          <w:tab w:pos="5479" w:val="left" w:leader="none"/>
        </w:tabs>
        <w:spacing w:before="65"/>
        <w:ind w:left="330" w:right="503"/>
      </w:pPr>
      <w:r>
        <w:rPr/>
        <w:t>Remuneration</w:t>
      </w:r>
      <w:r>
        <w:rPr>
          <w:spacing w:val="-16"/>
        </w:rPr>
        <w:t> </w:t>
      </w:r>
      <w:r>
        <w:rPr/>
        <w:t>and</w:t>
      </w:r>
      <w:r>
        <w:rPr>
          <w:spacing w:val="-16"/>
        </w:rPr>
        <w:t> </w:t>
      </w:r>
      <w:r>
        <w:rPr/>
        <w:t>Nominations</w:t>
        <w:tab/>
      </w:r>
      <w:r>
        <w:rPr>
          <w:position w:val="3"/>
        </w:rPr>
        <w:t>Professor</w:t>
      </w:r>
      <w:r>
        <w:rPr>
          <w:spacing w:val="-14"/>
          <w:position w:val="3"/>
        </w:rPr>
        <w:t> </w:t>
      </w:r>
      <w:r>
        <w:rPr>
          <w:position w:val="3"/>
        </w:rPr>
        <w:t>Peter</w:t>
      </w:r>
      <w:r>
        <w:rPr>
          <w:spacing w:val="-14"/>
          <w:position w:val="3"/>
        </w:rPr>
        <w:t> </w:t>
      </w:r>
      <w:r>
        <w:rPr>
          <w:position w:val="3"/>
        </w:rPr>
        <w:t>Shergold,</w:t>
      </w:r>
      <w:r>
        <w:rPr>
          <w:spacing w:val="-14"/>
          <w:position w:val="3"/>
        </w:rPr>
        <w:t> </w:t>
      </w:r>
      <w:r>
        <w:rPr>
          <w:position w:val="3"/>
        </w:rPr>
        <w:t>AC</w:t>
      </w:r>
    </w:p>
    <w:p>
      <w:pPr>
        <w:pStyle w:val="BodyText"/>
        <w:tabs>
          <w:tab w:pos="5479" w:val="left" w:leader="none"/>
        </w:tabs>
        <w:spacing w:before="65"/>
        <w:ind w:left="330" w:right="503"/>
      </w:pPr>
      <w:r>
        <w:rPr/>
        <w:t>University</w:t>
      </w:r>
      <w:r>
        <w:rPr>
          <w:spacing w:val="-20"/>
        </w:rPr>
        <w:t> </w:t>
      </w:r>
      <w:r>
        <w:rPr/>
        <w:t>Infrastructure</w:t>
        <w:tab/>
      </w:r>
      <w:r>
        <w:rPr>
          <w:position w:val="3"/>
        </w:rPr>
        <w:t>Mr Michael</w:t>
      </w:r>
      <w:r>
        <w:rPr>
          <w:spacing w:val="-26"/>
          <w:position w:val="3"/>
        </w:rPr>
        <w:t> </w:t>
      </w:r>
      <w:r>
        <w:rPr>
          <w:position w:val="3"/>
        </w:rPr>
        <w:t>Pratt</w:t>
      </w:r>
    </w:p>
    <w:p>
      <w:pPr>
        <w:pStyle w:val="BodyText"/>
        <w:rPr>
          <w:sz w:val="20"/>
        </w:rPr>
      </w:pPr>
    </w:p>
    <w:p>
      <w:pPr>
        <w:pStyle w:val="BodyText"/>
        <w:spacing w:before="1"/>
        <w:rPr>
          <w:sz w:val="27"/>
        </w:rPr>
      </w:pPr>
    </w:p>
    <w:p>
      <w:pPr>
        <w:pStyle w:val="Heading7"/>
        <w:spacing w:before="72"/>
        <w:ind w:left="330" w:right="7611"/>
      </w:pPr>
      <w:r>
        <w:rPr>
          <w:w w:val="95"/>
        </w:rPr>
        <w:t>UNIVERSITY BODIES</w:t>
      </w:r>
    </w:p>
    <w:p>
      <w:pPr>
        <w:pStyle w:val="BodyText"/>
        <w:tabs>
          <w:tab w:pos="5479" w:val="left" w:leader="none"/>
        </w:tabs>
        <w:spacing w:before="128"/>
        <w:ind w:left="330" w:right="503"/>
      </w:pPr>
      <w:r>
        <w:rPr/>
        <w:t>Aboriginal</w:t>
      </w:r>
      <w:r>
        <w:rPr>
          <w:spacing w:val="-15"/>
        </w:rPr>
        <w:t> </w:t>
      </w:r>
      <w:r>
        <w:rPr/>
        <w:t>and</w:t>
      </w:r>
      <w:r>
        <w:rPr>
          <w:spacing w:val="-15"/>
        </w:rPr>
        <w:t> </w:t>
      </w:r>
      <w:r>
        <w:rPr/>
        <w:t>Torres</w:t>
      </w:r>
      <w:r>
        <w:rPr>
          <w:spacing w:val="-15"/>
        </w:rPr>
        <w:t> </w:t>
      </w:r>
      <w:r>
        <w:rPr/>
        <w:t>Strait</w:t>
      </w:r>
      <w:r>
        <w:rPr>
          <w:spacing w:val="-15"/>
        </w:rPr>
        <w:t> </w:t>
      </w:r>
      <w:r>
        <w:rPr/>
        <w:t>Islander</w:t>
      </w:r>
      <w:r>
        <w:rPr>
          <w:spacing w:val="-15"/>
        </w:rPr>
        <w:t> </w:t>
      </w:r>
      <w:r>
        <w:rPr/>
        <w:t>Advisory</w:t>
      </w:r>
      <w:r>
        <w:rPr>
          <w:spacing w:val="-15"/>
        </w:rPr>
        <w:t> </w:t>
      </w:r>
      <w:r>
        <w:rPr/>
        <w:t>Council</w:t>
        <w:tab/>
        <w:t>Professor Lisa Jackson</w:t>
      </w:r>
      <w:r>
        <w:rPr>
          <w:spacing w:val="-34"/>
        </w:rPr>
        <w:t> </w:t>
      </w:r>
      <w:r>
        <w:rPr/>
        <w:t>Pulver</w:t>
      </w:r>
    </w:p>
    <w:p>
      <w:pPr>
        <w:pStyle w:val="BodyText"/>
        <w:tabs>
          <w:tab w:pos="5479" w:val="left" w:leader="none"/>
        </w:tabs>
        <w:spacing w:before="105"/>
        <w:ind w:left="330" w:right="503"/>
      </w:pPr>
      <w:r>
        <w:rPr/>
        <w:t>Foundation</w:t>
      </w:r>
      <w:r>
        <w:rPr>
          <w:spacing w:val="-11"/>
        </w:rPr>
        <w:t> </w:t>
      </w:r>
      <w:r>
        <w:rPr/>
        <w:t>Council</w:t>
        <w:tab/>
        <w:t>Mr</w:t>
      </w:r>
      <w:r>
        <w:rPr>
          <w:spacing w:val="-16"/>
        </w:rPr>
        <w:t> </w:t>
      </w:r>
      <w:r>
        <w:rPr/>
        <w:t>Danny</w:t>
      </w:r>
      <w:r>
        <w:rPr>
          <w:spacing w:val="-16"/>
        </w:rPr>
        <w:t> </w:t>
      </w:r>
      <w:r>
        <w:rPr/>
        <w:t>Gilbert,</w:t>
      </w:r>
      <w:r>
        <w:rPr>
          <w:spacing w:val="-16"/>
        </w:rPr>
        <w:t> </w:t>
      </w:r>
      <w:r>
        <w:rPr/>
        <w:t>AM</w:t>
      </w:r>
    </w:p>
    <w:p>
      <w:pPr>
        <w:spacing w:after="0"/>
        <w:sectPr>
          <w:pgSz w:w="11910" w:h="16840"/>
          <w:pgMar w:header="496" w:footer="472" w:top="680" w:bottom="660" w:left="580" w:right="580"/>
        </w:sectPr>
      </w:pPr>
    </w:p>
    <w:p>
      <w:pPr>
        <w:pStyle w:val="BodyText"/>
        <w:spacing w:before="6"/>
        <w:rPr>
          <w:sz w:val="28"/>
        </w:rPr>
      </w:pPr>
    </w:p>
    <w:p>
      <w:pPr>
        <w:pStyle w:val="Heading1"/>
      </w:pPr>
      <w:bookmarkStart w:name="_TOC_250015" w:id="39"/>
      <w:bookmarkEnd w:id="39"/>
      <w:r>
        <w:rPr>
          <w:w w:val="95"/>
        </w:rPr>
        <w:t>APPENDIX 4</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spacing w:before="58"/>
        <w:ind w:left="327" w:right="503" w:firstLine="0"/>
        <w:jc w:val="left"/>
        <w:rPr>
          <w:rFonts w:ascii="Gotham Narrow Bold"/>
          <w:b/>
          <w:sz w:val="20"/>
        </w:rPr>
      </w:pPr>
      <w:r>
        <w:rPr>
          <w:rFonts w:ascii="Gotham Narrow Bold"/>
          <w:b/>
          <w:w w:val="95"/>
          <w:sz w:val="24"/>
        </w:rPr>
        <w:t>ACADEMIC SENATE MEMBERSHIP </w:t>
      </w:r>
      <w:r>
        <w:rPr>
          <w:rFonts w:ascii="Gotham Narrow Bold"/>
          <w:b/>
          <w:w w:val="95"/>
          <w:sz w:val="20"/>
        </w:rPr>
        <w:t>(as at 28 November, 2016)</w:t>
      </w:r>
    </w:p>
    <w:p>
      <w:pPr>
        <w:pStyle w:val="BodyText"/>
        <w:spacing w:before="6"/>
        <w:rPr>
          <w:rFonts w:ascii="Gotham Narrow Bold"/>
          <w:b/>
          <w:sz w:val="11"/>
        </w:rPr>
      </w:pPr>
    </w:p>
    <w:p>
      <w:pPr>
        <w:spacing w:after="0"/>
        <w:rPr>
          <w:rFonts w:ascii="Gotham Narrow Bold"/>
          <w:sz w:val="11"/>
        </w:rPr>
        <w:sectPr>
          <w:pgSz w:w="11910" w:h="16840"/>
          <w:pgMar w:header="496" w:footer="472" w:top="680" w:bottom="660" w:left="580" w:right="580"/>
        </w:sectPr>
      </w:pPr>
    </w:p>
    <w:p>
      <w:pPr>
        <w:pStyle w:val="Heading7"/>
        <w:spacing w:before="77"/>
        <w:ind w:left="327" w:right="-11"/>
      </w:pPr>
      <w:r>
        <w:rPr/>
        <w:t>EX-OFFICIO</w:t>
      </w:r>
    </w:p>
    <w:p>
      <w:pPr>
        <w:pStyle w:val="BodyText"/>
        <w:spacing w:before="85"/>
        <w:ind w:left="327" w:right="-11"/>
      </w:pPr>
      <w:r>
        <w:rPr>
          <w:rFonts w:ascii="Century Gothic" w:hAnsi="Century Gothic"/>
          <w:b/>
          <w:w w:val="105"/>
        </w:rPr>
        <w:t>≥ </w:t>
      </w:r>
      <w:r>
        <w:rPr>
          <w:w w:val="105"/>
        </w:rPr>
        <w:t>Professor Barney Glover,</w:t>
      </w:r>
    </w:p>
    <w:p>
      <w:pPr>
        <w:pStyle w:val="BodyText"/>
        <w:spacing w:before="4"/>
        <w:ind w:left="525" w:right="-11"/>
      </w:pPr>
      <w:r>
        <w:rPr/>
        <w:t>Vice-Chancellor and President</w:t>
      </w:r>
    </w:p>
    <w:p>
      <w:pPr>
        <w:pStyle w:val="BodyText"/>
        <w:spacing w:line="244" w:lineRule="auto" w:before="142"/>
        <w:ind w:left="525" w:right="-11" w:hanging="199"/>
      </w:pPr>
      <w:r>
        <w:rPr>
          <w:rFonts w:ascii="Century Gothic" w:hAnsi="Century Gothic"/>
          <w:b/>
          <w:w w:val="115"/>
        </w:rPr>
        <w:t>≥</w:t>
      </w:r>
      <w:r>
        <w:rPr>
          <w:rFonts w:ascii="Century Gothic" w:hAnsi="Century Gothic"/>
          <w:b/>
          <w:spacing w:val="-14"/>
          <w:w w:val="115"/>
        </w:rPr>
        <w:t> </w:t>
      </w:r>
      <w:r>
        <w:rPr>
          <w:w w:val="105"/>
        </w:rPr>
        <w:t>Professor</w:t>
      </w:r>
      <w:r>
        <w:rPr>
          <w:spacing w:val="-32"/>
          <w:w w:val="105"/>
        </w:rPr>
        <w:t> </w:t>
      </w:r>
      <w:r>
        <w:rPr>
          <w:w w:val="105"/>
        </w:rPr>
        <w:t>Denise</w:t>
      </w:r>
      <w:r>
        <w:rPr>
          <w:spacing w:val="-32"/>
          <w:w w:val="105"/>
        </w:rPr>
        <w:t> </w:t>
      </w:r>
      <w:r>
        <w:rPr>
          <w:w w:val="105"/>
        </w:rPr>
        <w:t>Kirkpatrick,</w:t>
      </w:r>
      <w:r>
        <w:rPr>
          <w:spacing w:val="-32"/>
          <w:w w:val="105"/>
        </w:rPr>
        <w:t> </w:t>
      </w:r>
      <w:r>
        <w:rPr>
          <w:w w:val="105"/>
        </w:rPr>
        <w:t>Deputy</w:t>
      </w:r>
      <w:r>
        <w:rPr>
          <w:spacing w:val="-32"/>
          <w:w w:val="105"/>
        </w:rPr>
        <w:t> </w:t>
      </w:r>
      <w:r>
        <w:rPr>
          <w:w w:val="105"/>
        </w:rPr>
        <w:t>Vice- </w:t>
      </w:r>
      <w:r>
        <w:rPr/>
        <w:t>Chancellor and Vice-President</w:t>
      </w:r>
      <w:r>
        <w:rPr>
          <w:spacing w:val="-24"/>
        </w:rPr>
        <w:t> </w:t>
      </w:r>
      <w:r>
        <w:rPr/>
        <w:t>(Academic)</w:t>
      </w:r>
    </w:p>
    <w:p>
      <w:pPr>
        <w:pStyle w:val="BodyText"/>
        <w:spacing w:line="247" w:lineRule="auto" w:before="138"/>
        <w:ind w:left="525" w:right="475" w:hanging="199"/>
      </w:pPr>
      <w:r>
        <w:rPr>
          <w:rFonts w:ascii="Century Gothic" w:hAnsi="Century Gothic"/>
          <w:b/>
          <w:w w:val="115"/>
        </w:rPr>
        <w:t>≥ </w:t>
      </w:r>
      <w:r>
        <w:rPr>
          <w:w w:val="105"/>
        </w:rPr>
        <w:t>Professor Scott Holmes, Deputy </w:t>
      </w:r>
      <w:r>
        <w:rPr/>
        <w:t>Vice-Chancellor and Vice-President (Research and Development)</w:t>
      </w:r>
    </w:p>
    <w:p>
      <w:pPr>
        <w:pStyle w:val="BodyText"/>
        <w:spacing w:line="247" w:lineRule="auto" w:before="136"/>
        <w:ind w:left="525" w:right="156" w:hanging="199"/>
        <w:jc w:val="both"/>
      </w:pPr>
      <w:r>
        <w:rPr>
          <w:rFonts w:ascii="Century Gothic" w:hAnsi="Century Gothic"/>
          <w:b/>
          <w:w w:val="115"/>
        </w:rPr>
        <w:t>≥ </w:t>
      </w:r>
      <w:r>
        <w:rPr/>
        <w:t>Professor Lisa Jackson Pulver, Pro Vice- Chancellor (Engagement and</w:t>
      </w:r>
      <w:r>
        <w:rPr>
          <w:spacing w:val="-28"/>
        </w:rPr>
        <w:t> </w:t>
      </w:r>
      <w:r>
        <w:rPr/>
        <w:t>Aboriginal and</w:t>
      </w:r>
      <w:r>
        <w:rPr>
          <w:spacing w:val="-30"/>
        </w:rPr>
        <w:t> </w:t>
      </w:r>
      <w:r>
        <w:rPr/>
        <w:t>Torres</w:t>
      </w:r>
      <w:r>
        <w:rPr>
          <w:spacing w:val="-30"/>
        </w:rPr>
        <w:t> </w:t>
      </w:r>
      <w:r>
        <w:rPr/>
        <w:t>Strait</w:t>
      </w:r>
      <w:r>
        <w:rPr>
          <w:spacing w:val="-30"/>
        </w:rPr>
        <w:t> </w:t>
      </w:r>
      <w:r>
        <w:rPr/>
        <w:t>Islander</w:t>
      </w:r>
      <w:r>
        <w:rPr>
          <w:spacing w:val="-30"/>
        </w:rPr>
        <w:t> </w:t>
      </w:r>
      <w:r>
        <w:rPr/>
        <w:t>Leadership)</w:t>
      </w:r>
    </w:p>
    <w:p>
      <w:pPr>
        <w:pStyle w:val="BodyText"/>
        <w:spacing w:line="244" w:lineRule="auto" w:before="136"/>
        <w:ind w:left="525" w:right="208" w:hanging="199"/>
      </w:pPr>
      <w:r>
        <w:rPr>
          <w:rFonts w:ascii="Century Gothic" w:hAnsi="Century Gothic"/>
          <w:b/>
          <w:w w:val="115"/>
        </w:rPr>
        <w:t>≥ </w:t>
      </w:r>
      <w:r>
        <w:rPr/>
        <w:t>Professor Simon Barrie, Pro Vice- Chancellor (Learning Transformations)</w:t>
      </w:r>
    </w:p>
    <w:p>
      <w:pPr>
        <w:pStyle w:val="BodyText"/>
        <w:spacing w:line="244" w:lineRule="auto" w:before="70"/>
        <w:ind w:left="458" w:right="528" w:hanging="199"/>
      </w:pPr>
      <w:r>
        <w:rPr/>
        <w:br w:type="column"/>
      </w:r>
      <w:r>
        <w:rPr>
          <w:rFonts w:ascii="Century Gothic" w:hAnsi="Century Gothic"/>
          <w:b/>
          <w:w w:val="115"/>
        </w:rPr>
        <w:t>≥ </w:t>
      </w:r>
      <w:r>
        <w:rPr/>
        <w:t>Professor James Arvanitakis, Dean of Graduate Studies</w:t>
      </w:r>
    </w:p>
    <w:p>
      <w:pPr>
        <w:pStyle w:val="BodyText"/>
        <w:spacing w:line="247" w:lineRule="auto" w:before="138"/>
        <w:ind w:left="458" w:right="197" w:hanging="199"/>
      </w:pPr>
      <w:r>
        <w:rPr>
          <w:rFonts w:ascii="Century Gothic" w:hAnsi="Century Gothic"/>
          <w:b/>
          <w:w w:val="115"/>
        </w:rPr>
        <w:t>≥ </w:t>
      </w:r>
      <w:r>
        <w:rPr/>
        <w:t>Mr Andrew Dawkins, Chief Executive Officer, Western Sydney University, The College</w:t>
      </w:r>
    </w:p>
    <w:p>
      <w:pPr>
        <w:pStyle w:val="BodyText"/>
        <w:spacing w:line="244" w:lineRule="auto" w:before="136"/>
        <w:ind w:left="458" w:right="197" w:hanging="199"/>
      </w:pPr>
      <w:r>
        <w:rPr>
          <w:rFonts w:ascii="Century Gothic" w:hAnsi="Century Gothic"/>
          <w:b/>
        </w:rPr>
        <w:t>≥ </w:t>
      </w:r>
      <w:r>
        <w:rPr/>
        <w:t>Vacant, University Research Institute, or nominee</w:t>
      </w:r>
    </w:p>
    <w:p>
      <w:pPr>
        <w:pStyle w:val="BodyText"/>
        <w:spacing w:line="244" w:lineRule="auto" w:before="138"/>
        <w:ind w:left="458" w:right="-11" w:hanging="199"/>
      </w:pPr>
      <w:r>
        <w:rPr>
          <w:rFonts w:ascii="Century Gothic" w:hAnsi="Century Gothic"/>
          <w:b/>
          <w:w w:val="115"/>
        </w:rPr>
        <w:t>≥ </w:t>
      </w:r>
      <w:r>
        <w:rPr/>
        <w:t>Professor Ian </w:t>
      </w:r>
      <w:r>
        <w:rPr>
          <w:spacing w:val="2"/>
        </w:rPr>
        <w:t>Anderson, </w:t>
      </w:r>
      <w:r>
        <w:rPr/>
        <w:t>Director, University</w:t>
      </w:r>
      <w:r>
        <w:rPr>
          <w:spacing w:val="-27"/>
        </w:rPr>
        <w:t> </w:t>
      </w:r>
      <w:r>
        <w:rPr/>
        <w:t>Research</w:t>
      </w:r>
      <w:r>
        <w:rPr>
          <w:spacing w:val="-27"/>
        </w:rPr>
        <w:t> </w:t>
      </w:r>
      <w:r>
        <w:rPr/>
        <w:t>Institute,</w:t>
      </w:r>
      <w:r>
        <w:rPr>
          <w:spacing w:val="-27"/>
        </w:rPr>
        <w:t> </w:t>
      </w:r>
      <w:r>
        <w:rPr/>
        <w:t>or</w:t>
      </w:r>
      <w:r>
        <w:rPr>
          <w:spacing w:val="-27"/>
        </w:rPr>
        <w:t> </w:t>
      </w:r>
      <w:r>
        <w:rPr/>
        <w:t>nominee</w:t>
      </w:r>
    </w:p>
    <w:p>
      <w:pPr>
        <w:pStyle w:val="BodyText"/>
        <w:spacing w:line="244" w:lineRule="auto" w:before="138"/>
        <w:ind w:left="458" w:right="341" w:hanging="199"/>
      </w:pPr>
      <w:r>
        <w:rPr>
          <w:rFonts w:ascii="Century Gothic" w:hAnsi="Century Gothic"/>
          <w:b/>
          <w:w w:val="115"/>
        </w:rPr>
        <w:t>≥</w:t>
      </w:r>
      <w:r>
        <w:rPr>
          <w:rFonts w:ascii="Century Gothic" w:hAnsi="Century Gothic"/>
          <w:b/>
          <w:spacing w:val="-8"/>
          <w:w w:val="115"/>
        </w:rPr>
        <w:t> </w:t>
      </w:r>
      <w:r>
        <w:rPr>
          <w:w w:val="105"/>
        </w:rPr>
        <w:t>Ms</w:t>
      </w:r>
      <w:r>
        <w:rPr>
          <w:spacing w:val="-29"/>
          <w:w w:val="105"/>
        </w:rPr>
        <w:t> </w:t>
      </w:r>
      <w:r>
        <w:rPr>
          <w:w w:val="105"/>
        </w:rPr>
        <w:t>Robyn</w:t>
      </w:r>
      <w:r>
        <w:rPr>
          <w:spacing w:val="-29"/>
          <w:w w:val="105"/>
        </w:rPr>
        <w:t> </w:t>
      </w:r>
      <w:r>
        <w:rPr>
          <w:w w:val="105"/>
        </w:rPr>
        <w:t>Causley,</w:t>
      </w:r>
      <w:r>
        <w:rPr>
          <w:spacing w:val="-29"/>
          <w:w w:val="105"/>
        </w:rPr>
        <w:t> </w:t>
      </w:r>
      <w:r>
        <w:rPr>
          <w:w w:val="105"/>
        </w:rPr>
        <w:t>Acting</w:t>
      </w:r>
      <w:r>
        <w:rPr>
          <w:spacing w:val="-29"/>
          <w:w w:val="105"/>
        </w:rPr>
        <w:t> </w:t>
      </w:r>
      <w:r>
        <w:rPr>
          <w:w w:val="105"/>
        </w:rPr>
        <w:t>Associate </w:t>
      </w:r>
      <w:r>
        <w:rPr/>
        <w:t>Director,</w:t>
      </w:r>
      <w:r>
        <w:rPr>
          <w:spacing w:val="-20"/>
        </w:rPr>
        <w:t> </w:t>
      </w:r>
      <w:r>
        <w:rPr/>
        <w:t>Admission</w:t>
      </w:r>
      <w:r>
        <w:rPr>
          <w:spacing w:val="-20"/>
        </w:rPr>
        <w:t> </w:t>
      </w:r>
      <w:r>
        <w:rPr/>
        <w:t>and</w:t>
      </w:r>
      <w:r>
        <w:rPr>
          <w:spacing w:val="-20"/>
        </w:rPr>
        <w:t> </w:t>
      </w:r>
      <w:r>
        <w:rPr/>
        <w:t>Enrolment</w:t>
      </w:r>
    </w:p>
    <w:p>
      <w:pPr>
        <w:pStyle w:val="BodyText"/>
        <w:spacing w:before="138"/>
        <w:ind w:left="260" w:right="-3"/>
      </w:pPr>
      <w:r>
        <w:rPr>
          <w:rFonts w:ascii="Century Gothic" w:hAnsi="Century Gothic"/>
          <w:b/>
          <w:w w:val="115"/>
        </w:rPr>
        <w:t>≥</w:t>
      </w:r>
      <w:r>
        <w:rPr>
          <w:rFonts w:ascii="Century Gothic" w:hAnsi="Century Gothic"/>
          <w:b/>
          <w:spacing w:val="-23"/>
          <w:w w:val="115"/>
        </w:rPr>
        <w:t> </w:t>
      </w:r>
      <w:r>
        <w:rPr>
          <w:w w:val="105"/>
        </w:rPr>
        <w:t>Mr</w:t>
      </w:r>
      <w:r>
        <w:rPr>
          <w:spacing w:val="-37"/>
          <w:w w:val="105"/>
        </w:rPr>
        <w:t> </w:t>
      </w:r>
      <w:r>
        <w:rPr>
          <w:w w:val="105"/>
        </w:rPr>
        <w:t>Michael</w:t>
      </w:r>
      <w:r>
        <w:rPr>
          <w:spacing w:val="-37"/>
          <w:w w:val="105"/>
        </w:rPr>
        <w:t> </w:t>
      </w:r>
      <w:r>
        <w:rPr>
          <w:w w:val="105"/>
        </w:rPr>
        <w:t>Gonzalez,</w:t>
      </w:r>
      <w:r>
        <w:rPr>
          <w:spacing w:val="-37"/>
          <w:w w:val="105"/>
        </w:rPr>
        <w:t> </w:t>
      </w:r>
      <w:r>
        <w:rPr>
          <w:w w:val="105"/>
        </w:rPr>
        <w:t>University</w:t>
      </w:r>
      <w:r>
        <w:rPr>
          <w:spacing w:val="-37"/>
          <w:w w:val="105"/>
        </w:rPr>
        <w:t> </w:t>
      </w:r>
      <w:r>
        <w:rPr>
          <w:w w:val="105"/>
        </w:rPr>
        <w:t>Librarian</w:t>
      </w:r>
    </w:p>
    <w:p>
      <w:pPr>
        <w:pStyle w:val="BodyText"/>
        <w:spacing w:line="244" w:lineRule="auto" w:before="70"/>
        <w:ind w:left="525" w:right="793" w:hanging="199"/>
      </w:pPr>
      <w:r>
        <w:rPr/>
        <w:br w:type="column"/>
      </w:r>
      <w:r>
        <w:rPr>
          <w:rFonts w:ascii="Century Gothic" w:hAnsi="Century Gothic"/>
          <w:b/>
          <w:w w:val="115"/>
        </w:rPr>
        <w:t>≥ </w:t>
      </w:r>
      <w:r>
        <w:rPr/>
        <w:t>Mr Ralph Melano Academic Staff, School of Law (Level A, B or C)</w:t>
      </w:r>
    </w:p>
    <w:p>
      <w:pPr>
        <w:pStyle w:val="BodyText"/>
        <w:spacing w:line="244" w:lineRule="auto" w:before="115"/>
        <w:ind w:left="525" w:right="59" w:hanging="199"/>
      </w:pPr>
      <w:r>
        <w:rPr>
          <w:rFonts w:ascii="Century Gothic" w:hAnsi="Century Gothic"/>
          <w:b/>
          <w:w w:val="115"/>
        </w:rPr>
        <w:t>≥ </w:t>
      </w:r>
      <w:r>
        <w:rPr/>
        <w:t>Associate Professor Alpana Roy, Academic Staff, School of Law (Level D or E)</w:t>
      </w:r>
    </w:p>
    <w:p>
      <w:pPr>
        <w:pStyle w:val="BodyText"/>
        <w:spacing w:line="244" w:lineRule="auto" w:before="115"/>
        <w:ind w:left="525" w:right="793" w:hanging="199"/>
      </w:pPr>
      <w:r>
        <w:rPr>
          <w:rFonts w:ascii="Century Gothic" w:hAnsi="Century Gothic"/>
          <w:b/>
          <w:w w:val="115"/>
        </w:rPr>
        <w:t>≥ </w:t>
      </w:r>
      <w:r>
        <w:rPr/>
        <w:t>Dr Vivek Thakkar, Academic Staff, School of Medicine (Level A, B or C)</w:t>
      </w:r>
    </w:p>
    <w:p>
      <w:pPr>
        <w:pStyle w:val="BodyText"/>
        <w:spacing w:line="244" w:lineRule="auto" w:before="115"/>
        <w:ind w:left="525" w:right="59" w:hanging="199"/>
      </w:pPr>
      <w:r>
        <w:rPr>
          <w:rFonts w:ascii="Century Gothic" w:hAnsi="Century Gothic"/>
          <w:b/>
          <w:w w:val="115"/>
        </w:rPr>
        <w:t>≥ </w:t>
      </w:r>
      <w:r>
        <w:rPr/>
        <w:t>Associate Professor Joanne Lind, Academic Staff, School of Medicine (Level D or E)</w:t>
      </w:r>
    </w:p>
    <w:p>
      <w:pPr>
        <w:pStyle w:val="BodyText"/>
        <w:spacing w:line="244" w:lineRule="auto" w:before="115"/>
        <w:ind w:left="525" w:right="345" w:hanging="199"/>
      </w:pPr>
      <w:r>
        <w:rPr>
          <w:rFonts w:ascii="Century Gothic" w:hAnsi="Century Gothic"/>
          <w:b/>
          <w:w w:val="115"/>
        </w:rPr>
        <w:t>≥ </w:t>
      </w:r>
      <w:r>
        <w:rPr/>
        <w:t>Dr Kathleen Dixon, Academic Staff, School of Nursing and Midwifery (Level A, B or C)</w:t>
      </w:r>
    </w:p>
    <w:p>
      <w:pPr>
        <w:pStyle w:val="BodyText"/>
        <w:spacing w:before="115"/>
        <w:ind w:left="327" w:right="59"/>
      </w:pPr>
      <w:r>
        <w:rPr>
          <w:rFonts w:ascii="Century Gothic" w:hAnsi="Century Gothic"/>
          <w:b/>
          <w:w w:val="115"/>
        </w:rPr>
        <w:t>≥ </w:t>
      </w:r>
      <w:r>
        <w:rPr>
          <w:w w:val="105"/>
        </w:rPr>
        <w:t>Professor Sheree Smith, Academic Staff,</w:t>
      </w:r>
    </w:p>
    <w:p>
      <w:pPr>
        <w:pStyle w:val="BodyText"/>
        <w:spacing w:line="249" w:lineRule="auto" w:before="4"/>
        <w:ind w:left="525" w:right="793"/>
      </w:pPr>
      <w:r>
        <w:rPr/>
        <w:t>School of Nursing and Midwifery (Level D or E)</w:t>
      </w:r>
    </w:p>
    <w:p>
      <w:pPr>
        <w:spacing w:after="0" w:line="249" w:lineRule="auto"/>
        <w:sectPr>
          <w:type w:val="continuous"/>
          <w:pgSz w:w="11910" w:h="16840"/>
          <w:pgMar w:top="1580" w:bottom="280" w:left="580" w:right="580"/>
          <w:cols w:num="3" w:equalWidth="0">
            <w:col w:w="3466" w:space="40"/>
            <w:col w:w="3298" w:space="75"/>
            <w:col w:w="3871"/>
          </w:cols>
        </w:sectPr>
      </w:pPr>
    </w:p>
    <w:p>
      <w:pPr>
        <w:pStyle w:val="BodyText"/>
        <w:tabs>
          <w:tab w:pos="3766" w:val="left" w:leader="none"/>
          <w:tab w:pos="6978" w:val="left" w:leader="none"/>
        </w:tabs>
        <w:spacing w:line="145" w:lineRule="exact" w:before="138"/>
        <w:ind w:left="327"/>
      </w:pPr>
      <w:r>
        <w:rPr>
          <w:rFonts w:ascii="Century Gothic" w:hAnsi="Century Gothic"/>
          <w:b/>
          <w:w w:val="115"/>
        </w:rPr>
        <w:t>≥</w:t>
      </w:r>
      <w:r>
        <w:rPr>
          <w:rFonts w:ascii="Century Gothic" w:hAnsi="Century Gothic"/>
          <w:b/>
          <w:spacing w:val="-15"/>
          <w:w w:val="115"/>
        </w:rPr>
        <w:t> </w:t>
      </w:r>
      <w:r>
        <w:rPr>
          <w:w w:val="105"/>
        </w:rPr>
        <w:t>Professor</w:t>
      </w:r>
      <w:r>
        <w:rPr>
          <w:spacing w:val="-33"/>
          <w:w w:val="105"/>
        </w:rPr>
        <w:t> </w:t>
      </w:r>
      <w:r>
        <w:rPr>
          <w:w w:val="105"/>
        </w:rPr>
        <w:t>Kevin</w:t>
      </w:r>
      <w:r>
        <w:rPr>
          <w:spacing w:val="-33"/>
          <w:w w:val="105"/>
        </w:rPr>
        <w:t> </w:t>
      </w:r>
      <w:r>
        <w:rPr>
          <w:w w:val="105"/>
        </w:rPr>
        <w:t>Bell,</w:t>
      </w:r>
      <w:r>
        <w:rPr>
          <w:spacing w:val="-33"/>
          <w:w w:val="105"/>
        </w:rPr>
        <w:t> </w:t>
      </w:r>
      <w:r>
        <w:rPr>
          <w:w w:val="105"/>
        </w:rPr>
        <w:t>Pro</w:t>
      </w:r>
      <w:r>
        <w:rPr>
          <w:spacing w:val="-33"/>
          <w:w w:val="105"/>
        </w:rPr>
        <w:t> </w:t>
      </w:r>
      <w:r>
        <w:rPr>
          <w:w w:val="105"/>
        </w:rPr>
        <w:t>Vice-Chancellor</w:t>
      </w:r>
      <w:r>
        <w:rPr/>
        <w:tab/>
      </w:r>
      <w:r>
        <w:rPr>
          <w:w w:val="76"/>
          <w:u w:val="thick"/>
        </w:rPr>
        <w:t> </w:t>
      </w:r>
      <w:r>
        <w:rPr>
          <w:u w:val="thick"/>
        </w:rPr>
        <w:tab/>
      </w:r>
    </w:p>
    <w:p>
      <w:pPr>
        <w:pStyle w:val="BodyText"/>
        <w:spacing w:before="53"/>
        <w:ind w:left="186"/>
      </w:pPr>
      <w:r>
        <w:rPr/>
        <w:br w:type="column"/>
      </w:r>
      <w:r>
        <w:rPr>
          <w:rFonts w:ascii="Century Gothic" w:hAnsi="Century Gothic"/>
          <w:b/>
          <w:w w:val="115"/>
        </w:rPr>
        <w:t>≥ </w:t>
      </w:r>
      <w:r>
        <w:rPr>
          <w:w w:val="105"/>
        </w:rPr>
        <w:t>Vacant, Academic Staff, School of Science</w:t>
      </w:r>
    </w:p>
    <w:p>
      <w:pPr>
        <w:spacing w:after="0"/>
        <w:sectPr>
          <w:type w:val="continuous"/>
          <w:pgSz w:w="11910" w:h="16840"/>
          <w:pgMar w:top="1580" w:bottom="280" w:left="580" w:right="580"/>
          <w:cols w:num="2" w:equalWidth="0">
            <w:col w:w="6980" w:space="40"/>
            <w:col w:w="3730"/>
          </w:cols>
        </w:sectPr>
      </w:pPr>
    </w:p>
    <w:p>
      <w:pPr>
        <w:pStyle w:val="BodyText"/>
        <w:spacing w:before="55"/>
        <w:ind w:left="525"/>
      </w:pPr>
      <w:r>
        <w:rPr/>
        <w:t>(Digital Futures)</w:t>
      </w:r>
    </w:p>
    <w:p>
      <w:pPr>
        <w:pStyle w:val="BodyText"/>
        <w:spacing w:line="244" w:lineRule="auto" w:before="142"/>
        <w:ind w:left="525" w:right="401" w:hanging="199"/>
      </w:pPr>
      <w:r>
        <w:rPr>
          <w:rFonts w:ascii="Century Gothic" w:hAnsi="Century Gothic"/>
          <w:b/>
          <w:w w:val="115"/>
        </w:rPr>
        <w:t>≥ </w:t>
      </w:r>
      <w:r>
        <w:rPr>
          <w:w w:val="105"/>
        </w:rPr>
        <w:t>Associate Professor Linda Taylor, </w:t>
      </w:r>
      <w:r>
        <w:rPr/>
        <w:t>Pro Vice-Chancellor (International)</w:t>
      </w:r>
    </w:p>
    <w:p>
      <w:pPr>
        <w:pStyle w:val="BodyText"/>
        <w:spacing w:line="244" w:lineRule="auto" w:before="138"/>
        <w:ind w:left="525" w:hanging="199"/>
      </w:pPr>
      <w:r>
        <w:rPr>
          <w:rFonts w:ascii="Century Gothic" w:hAnsi="Century Gothic"/>
          <w:b/>
          <w:w w:val="115"/>
        </w:rPr>
        <w:t>≥ </w:t>
      </w:r>
      <w:r>
        <w:rPr/>
        <w:t>Professor Deborah Sweeney, Pro Vice- Chancellor (Research &amp; Innovation)</w:t>
      </w:r>
    </w:p>
    <w:p>
      <w:pPr>
        <w:pStyle w:val="BodyText"/>
        <w:spacing w:line="244" w:lineRule="auto" w:before="138"/>
        <w:ind w:left="525" w:right="540" w:hanging="199"/>
      </w:pPr>
      <w:r>
        <w:rPr>
          <w:rFonts w:ascii="Century Gothic" w:hAnsi="Century Gothic"/>
          <w:b/>
          <w:w w:val="115"/>
        </w:rPr>
        <w:t>≥</w:t>
      </w:r>
      <w:r>
        <w:rPr>
          <w:rFonts w:ascii="Century Gothic" w:hAnsi="Century Gothic"/>
          <w:b/>
          <w:spacing w:val="-14"/>
          <w:w w:val="115"/>
        </w:rPr>
        <w:t> </w:t>
      </w:r>
      <w:r>
        <w:rPr>
          <w:w w:val="105"/>
        </w:rPr>
        <w:t>Mr</w:t>
      </w:r>
      <w:r>
        <w:rPr>
          <w:spacing w:val="-33"/>
          <w:w w:val="105"/>
        </w:rPr>
        <w:t> </w:t>
      </w:r>
      <w:r>
        <w:rPr>
          <w:w w:val="105"/>
        </w:rPr>
        <w:t>Michael</w:t>
      </w:r>
      <w:r>
        <w:rPr>
          <w:spacing w:val="-33"/>
          <w:w w:val="105"/>
        </w:rPr>
        <w:t> </w:t>
      </w:r>
      <w:r>
        <w:rPr>
          <w:w w:val="105"/>
        </w:rPr>
        <w:t>Burgess,</w:t>
      </w:r>
      <w:r>
        <w:rPr>
          <w:spacing w:val="-33"/>
          <w:w w:val="105"/>
        </w:rPr>
        <w:t> </w:t>
      </w:r>
      <w:r>
        <w:rPr>
          <w:w w:val="105"/>
        </w:rPr>
        <w:t>Chief</w:t>
      </w:r>
      <w:r>
        <w:rPr>
          <w:spacing w:val="-33"/>
          <w:w w:val="105"/>
        </w:rPr>
        <w:t> </w:t>
      </w:r>
      <w:r>
        <w:rPr>
          <w:w w:val="105"/>
        </w:rPr>
        <w:t>Student </w:t>
      </w:r>
      <w:r>
        <w:rPr/>
        <w:t>Experience</w:t>
      </w:r>
      <w:r>
        <w:rPr>
          <w:spacing w:val="-8"/>
        </w:rPr>
        <w:t> </w:t>
      </w:r>
      <w:r>
        <w:rPr/>
        <w:t>Officer</w:t>
      </w:r>
    </w:p>
    <w:p>
      <w:pPr>
        <w:pStyle w:val="BodyText"/>
        <w:spacing w:line="244" w:lineRule="auto" w:before="138"/>
        <w:ind w:left="525" w:right="1114" w:hanging="199"/>
      </w:pPr>
      <w:r>
        <w:rPr>
          <w:rFonts w:ascii="Century Gothic" w:hAnsi="Century Gothic"/>
          <w:b/>
          <w:w w:val="115"/>
        </w:rPr>
        <w:t>≥ </w:t>
      </w:r>
      <w:r>
        <w:rPr>
          <w:w w:val="105"/>
        </w:rPr>
        <w:t>Professor Scott Holmes, </w:t>
      </w:r>
      <w:r>
        <w:rPr/>
        <w:t>Dean, School of Business</w:t>
      </w:r>
    </w:p>
    <w:p>
      <w:pPr>
        <w:pStyle w:val="BodyText"/>
        <w:spacing w:line="244" w:lineRule="auto" w:before="138"/>
        <w:ind w:left="525" w:right="-16" w:hanging="199"/>
      </w:pPr>
      <w:r>
        <w:rPr>
          <w:rFonts w:ascii="Century Gothic" w:hAnsi="Century Gothic"/>
          <w:b/>
          <w:w w:val="115"/>
        </w:rPr>
        <w:t>≥ </w:t>
      </w:r>
      <w:r>
        <w:rPr/>
        <w:t>Professor Simeon Simoff, </w:t>
      </w:r>
      <w:r>
        <w:rPr>
          <w:spacing w:val="2"/>
        </w:rPr>
        <w:t>Dean, </w:t>
      </w:r>
      <w:r>
        <w:rPr/>
        <w:t>School of Computing,</w:t>
      </w:r>
      <w:r>
        <w:rPr>
          <w:spacing w:val="-18"/>
        </w:rPr>
        <w:t> </w:t>
      </w:r>
      <w:r>
        <w:rPr/>
        <w:t>Engineering</w:t>
      </w:r>
      <w:r>
        <w:rPr>
          <w:spacing w:val="-18"/>
        </w:rPr>
        <w:t> </w:t>
      </w:r>
      <w:r>
        <w:rPr/>
        <w:t>and</w:t>
      </w:r>
      <w:r>
        <w:rPr>
          <w:spacing w:val="-18"/>
        </w:rPr>
        <w:t> </w:t>
      </w:r>
      <w:r>
        <w:rPr/>
        <w:t>Mathematics</w:t>
      </w:r>
    </w:p>
    <w:p>
      <w:pPr>
        <w:pStyle w:val="BodyText"/>
        <w:spacing w:line="244" w:lineRule="auto" w:before="138"/>
        <w:ind w:left="525" w:right="1002" w:hanging="199"/>
      </w:pPr>
      <w:r>
        <w:rPr>
          <w:rFonts w:ascii="Century Gothic" w:hAnsi="Century Gothic"/>
          <w:b/>
          <w:w w:val="115"/>
        </w:rPr>
        <w:t>≥ </w:t>
      </w:r>
      <w:r>
        <w:rPr>
          <w:w w:val="105"/>
        </w:rPr>
        <w:t>Professor Michele Simons, </w:t>
      </w:r>
      <w:r>
        <w:rPr/>
        <w:t>Dean, School of Education</w:t>
      </w:r>
    </w:p>
    <w:p>
      <w:pPr>
        <w:pStyle w:val="BodyText"/>
        <w:spacing w:line="244" w:lineRule="auto" w:before="138"/>
        <w:ind w:left="525" w:hanging="199"/>
      </w:pPr>
      <w:r>
        <w:rPr>
          <w:rFonts w:ascii="Century Gothic" w:hAnsi="Century Gothic"/>
          <w:b/>
          <w:w w:val="115"/>
        </w:rPr>
        <w:t>≥ </w:t>
      </w:r>
      <w:r>
        <w:rPr/>
        <w:t>Professor Peter Hutchings, Dean, School of Humanities and Communication Arts</w:t>
      </w:r>
    </w:p>
    <w:p>
      <w:pPr>
        <w:pStyle w:val="BodyText"/>
        <w:spacing w:line="244" w:lineRule="auto" w:before="138"/>
        <w:ind w:left="525" w:right="1037" w:hanging="199"/>
      </w:pPr>
      <w:r>
        <w:rPr>
          <w:rFonts w:ascii="Century Gothic" w:hAnsi="Century Gothic"/>
          <w:b/>
          <w:w w:val="115"/>
        </w:rPr>
        <w:t>≥ </w:t>
      </w:r>
      <w:r>
        <w:rPr>
          <w:w w:val="105"/>
        </w:rPr>
        <w:t>Professor Michael Adams, </w:t>
      </w:r>
      <w:r>
        <w:rPr/>
        <w:t>Dean, School of Law</w:t>
      </w:r>
    </w:p>
    <w:p>
      <w:pPr>
        <w:pStyle w:val="BodyText"/>
        <w:spacing w:line="244" w:lineRule="auto" w:before="138"/>
        <w:ind w:left="525" w:right="693" w:hanging="199"/>
      </w:pPr>
      <w:r>
        <w:rPr>
          <w:rFonts w:ascii="Century Gothic" w:hAnsi="Century Gothic"/>
          <w:b/>
          <w:w w:val="115"/>
        </w:rPr>
        <w:t>≥</w:t>
      </w:r>
      <w:r>
        <w:rPr>
          <w:rFonts w:ascii="Century Gothic" w:hAnsi="Century Gothic"/>
          <w:b/>
          <w:spacing w:val="-28"/>
          <w:w w:val="115"/>
        </w:rPr>
        <w:t> </w:t>
      </w:r>
      <w:r>
        <w:rPr>
          <w:w w:val="105"/>
        </w:rPr>
        <w:t>Professor</w:t>
      </w:r>
      <w:r>
        <w:rPr>
          <w:spacing w:val="-40"/>
          <w:w w:val="105"/>
        </w:rPr>
        <w:t> </w:t>
      </w:r>
      <w:r>
        <w:rPr>
          <w:w w:val="105"/>
        </w:rPr>
        <w:t>Annemarie</w:t>
      </w:r>
      <w:r>
        <w:rPr>
          <w:spacing w:val="-40"/>
          <w:w w:val="105"/>
        </w:rPr>
        <w:t> </w:t>
      </w:r>
      <w:r>
        <w:rPr>
          <w:w w:val="105"/>
        </w:rPr>
        <w:t>Hennessy, </w:t>
      </w:r>
      <w:r>
        <w:rPr>
          <w:spacing w:val="2"/>
        </w:rPr>
        <w:t>Dean,</w:t>
      </w:r>
      <w:r>
        <w:rPr>
          <w:spacing w:val="-20"/>
        </w:rPr>
        <w:t> </w:t>
      </w:r>
      <w:r>
        <w:rPr/>
        <w:t>School</w:t>
      </w:r>
      <w:r>
        <w:rPr>
          <w:spacing w:val="-20"/>
        </w:rPr>
        <w:t> </w:t>
      </w:r>
      <w:r>
        <w:rPr/>
        <w:t>of</w:t>
      </w:r>
      <w:r>
        <w:rPr>
          <w:spacing w:val="-20"/>
        </w:rPr>
        <w:t> </w:t>
      </w:r>
      <w:r>
        <w:rPr/>
        <w:t>Medicine</w:t>
      </w:r>
    </w:p>
    <w:p>
      <w:pPr>
        <w:pStyle w:val="Heading7"/>
        <w:spacing w:before="60"/>
        <w:ind w:left="294" w:right="81"/>
      </w:pPr>
      <w:r>
        <w:rPr>
          <w:b w:val="0"/>
        </w:rPr>
        <w:br w:type="column"/>
      </w:r>
      <w:r>
        <w:rPr/>
        <w:t>ELECTED</w:t>
      </w:r>
    </w:p>
    <w:p>
      <w:pPr>
        <w:pStyle w:val="BodyText"/>
        <w:spacing w:line="249" w:lineRule="auto" w:before="1"/>
        <w:ind w:left="294" w:right="81"/>
      </w:pPr>
      <w:r>
        <w:rPr>
          <w:w w:val="97"/>
        </w:rPr>
        <w:t>(term </w:t>
      </w:r>
      <w:r>
        <w:rPr>
          <w:w w:val="101"/>
        </w:rPr>
        <w:t>to </w:t>
      </w:r>
      <w:r>
        <w:rPr>
          <w:w w:val="74"/>
        </w:rPr>
        <w:t>31 </w:t>
      </w:r>
      <w:r>
        <w:rPr>
          <w:w w:val="98"/>
        </w:rPr>
        <w:t>December </w:t>
      </w:r>
      <w:r>
        <w:rPr>
          <w:w w:val="83"/>
        </w:rPr>
        <w:t>2017, </w:t>
      </w:r>
      <w:r>
        <w:rPr>
          <w:w w:val="95"/>
        </w:rPr>
        <w:t>unless </w:t>
      </w:r>
      <w:r>
        <w:rPr>
          <w:w w:val="97"/>
        </w:rPr>
        <w:t>otherwise </w:t>
      </w:r>
      <w:r>
        <w:rPr/>
        <w:t>indicated)</w:t>
      </w:r>
    </w:p>
    <w:p>
      <w:pPr>
        <w:spacing w:line="244" w:lineRule="auto" w:before="83"/>
        <w:ind w:left="493" w:right="81" w:hanging="199"/>
        <w:jc w:val="left"/>
        <w:rPr>
          <w:sz w:val="16"/>
        </w:rPr>
      </w:pPr>
      <w:r>
        <w:rPr>
          <w:rFonts w:ascii="Century Gothic" w:hAnsi="Century Gothic"/>
          <w:b/>
          <w:w w:val="115"/>
          <w:sz w:val="16"/>
        </w:rPr>
        <w:t>≥ </w:t>
      </w:r>
      <w:r>
        <w:rPr>
          <w:sz w:val="16"/>
        </w:rPr>
        <w:t>Associate Professor Paul Wormell, Chair, </w:t>
      </w:r>
      <w:r>
        <w:rPr>
          <w:w w:val="95"/>
          <w:sz w:val="16"/>
        </w:rPr>
        <w:t>Academic Senate (</w:t>
      </w:r>
      <w:r>
        <w:rPr>
          <w:rFonts w:ascii="Century Gothic" w:hAnsi="Century Gothic"/>
          <w:i/>
          <w:w w:val="95"/>
          <w:sz w:val="16"/>
        </w:rPr>
        <w:t>31 January 2018</w:t>
      </w:r>
      <w:r>
        <w:rPr>
          <w:w w:val="95"/>
          <w:sz w:val="16"/>
        </w:rPr>
        <w:t>)</w:t>
      </w:r>
    </w:p>
    <w:p>
      <w:pPr>
        <w:spacing w:line="244" w:lineRule="auto" w:before="113"/>
        <w:ind w:left="493" w:right="81" w:hanging="199"/>
        <w:jc w:val="left"/>
        <w:rPr>
          <w:sz w:val="16"/>
        </w:rPr>
      </w:pPr>
      <w:r>
        <w:rPr>
          <w:rFonts w:ascii="Century Gothic" w:hAnsi="Century Gothic"/>
          <w:b/>
          <w:w w:val="115"/>
          <w:sz w:val="16"/>
        </w:rPr>
        <w:t>≥ </w:t>
      </w:r>
      <w:r>
        <w:rPr>
          <w:sz w:val="16"/>
        </w:rPr>
        <w:t>Dr Elfriede Sangkuhl, Deputy Chair, </w:t>
      </w:r>
      <w:r>
        <w:rPr>
          <w:w w:val="100"/>
          <w:sz w:val="16"/>
        </w:rPr>
        <w:t>Academic </w:t>
      </w:r>
      <w:r>
        <w:rPr>
          <w:w w:val="97"/>
          <w:sz w:val="16"/>
        </w:rPr>
        <w:t>Senate </w:t>
      </w:r>
      <w:r>
        <w:rPr>
          <w:w w:val="80"/>
          <w:sz w:val="16"/>
        </w:rPr>
        <w:t>(</w:t>
      </w:r>
      <w:r>
        <w:rPr>
          <w:rFonts w:ascii="Century Gothic" w:hAnsi="Century Gothic"/>
          <w:i/>
          <w:w w:val="80"/>
          <w:sz w:val="16"/>
        </w:rPr>
        <w:t>31 </w:t>
      </w:r>
      <w:r>
        <w:rPr>
          <w:rFonts w:ascii="Century Gothic" w:hAnsi="Century Gothic"/>
          <w:i/>
          <w:w w:val="86"/>
          <w:sz w:val="16"/>
        </w:rPr>
        <w:t>January </w:t>
      </w:r>
      <w:r>
        <w:rPr>
          <w:rFonts w:ascii="Century Gothic" w:hAnsi="Century Gothic"/>
          <w:i/>
          <w:w w:val="90"/>
          <w:sz w:val="16"/>
        </w:rPr>
        <w:t>20</w:t>
      </w:r>
      <w:r>
        <w:rPr>
          <w:w w:val="90"/>
          <w:sz w:val="16"/>
        </w:rPr>
        <w:t>18)</w:t>
      </w:r>
    </w:p>
    <w:p>
      <w:pPr>
        <w:pStyle w:val="BodyText"/>
        <w:spacing w:line="244" w:lineRule="auto" w:before="113"/>
        <w:ind w:left="493" w:right="411" w:hanging="199"/>
      </w:pPr>
      <w:r>
        <w:rPr>
          <w:rFonts w:ascii="Century Gothic" w:hAnsi="Century Gothic"/>
          <w:b/>
          <w:w w:val="115"/>
        </w:rPr>
        <w:t>≥ </w:t>
      </w:r>
      <w:r>
        <w:rPr/>
        <w:t>Dr Terri Mylett, Academic Staff, School of Business (Level A, B or C)</w:t>
      </w:r>
    </w:p>
    <w:p>
      <w:pPr>
        <w:pStyle w:val="BodyText"/>
        <w:spacing w:line="244" w:lineRule="auto" w:before="115"/>
        <w:ind w:left="493" w:right="-9" w:hanging="199"/>
      </w:pPr>
      <w:r>
        <w:rPr>
          <w:rFonts w:ascii="Century Gothic" w:hAnsi="Century Gothic"/>
          <w:b/>
          <w:w w:val="115"/>
        </w:rPr>
        <w:t>≥ </w:t>
      </w:r>
      <w:r>
        <w:rPr/>
        <w:t>Associate Professor Terry Sloan, Academic Staff, School of Business (Level D or E)</w:t>
      </w:r>
    </w:p>
    <w:p>
      <w:pPr>
        <w:pStyle w:val="BodyText"/>
        <w:spacing w:line="247" w:lineRule="auto" w:before="115"/>
        <w:ind w:left="493" w:right="281" w:hanging="199"/>
      </w:pPr>
      <w:r>
        <w:rPr>
          <w:rFonts w:ascii="Century Gothic" w:hAnsi="Century Gothic"/>
          <w:b/>
          <w:w w:val="115"/>
        </w:rPr>
        <w:t>≥  </w:t>
      </w:r>
      <w:r>
        <w:rPr/>
        <w:t>Dr Olivia Mirza, Academic Staff, School</w:t>
      </w:r>
      <w:r>
        <w:rPr>
          <w:spacing w:val="-13"/>
        </w:rPr>
        <w:t> </w:t>
      </w:r>
      <w:r>
        <w:rPr/>
        <w:t>of</w:t>
      </w:r>
      <w:r>
        <w:rPr>
          <w:spacing w:val="-13"/>
        </w:rPr>
        <w:t> </w:t>
      </w:r>
      <w:r>
        <w:rPr/>
        <w:t>Computing,</w:t>
      </w:r>
      <w:r>
        <w:rPr>
          <w:spacing w:val="-13"/>
        </w:rPr>
        <w:t> </w:t>
      </w:r>
      <w:r>
        <w:rPr/>
        <w:t>Engineering</w:t>
      </w:r>
      <w:r>
        <w:rPr>
          <w:spacing w:val="-13"/>
        </w:rPr>
        <w:t> </w:t>
      </w:r>
      <w:r>
        <w:rPr/>
        <w:t>and Mathematics</w:t>
      </w:r>
      <w:r>
        <w:rPr>
          <w:spacing w:val="-14"/>
        </w:rPr>
        <w:t> </w:t>
      </w:r>
      <w:r>
        <w:rPr/>
        <w:t>(Level</w:t>
      </w:r>
      <w:r>
        <w:rPr>
          <w:spacing w:val="-14"/>
        </w:rPr>
        <w:t> </w:t>
      </w:r>
      <w:r>
        <w:rPr>
          <w:spacing w:val="3"/>
        </w:rPr>
        <w:t>A,</w:t>
      </w:r>
      <w:r>
        <w:rPr>
          <w:spacing w:val="-14"/>
        </w:rPr>
        <w:t> </w:t>
      </w:r>
      <w:r>
        <w:rPr/>
        <w:t>B</w:t>
      </w:r>
      <w:r>
        <w:rPr>
          <w:spacing w:val="-14"/>
        </w:rPr>
        <w:t> </w:t>
      </w:r>
      <w:r>
        <w:rPr/>
        <w:t>or</w:t>
      </w:r>
      <w:r>
        <w:rPr>
          <w:spacing w:val="-14"/>
        </w:rPr>
        <w:t> </w:t>
      </w:r>
      <w:r>
        <w:rPr/>
        <w:t>C)</w:t>
      </w:r>
    </w:p>
    <w:p>
      <w:pPr>
        <w:pStyle w:val="BodyText"/>
        <w:spacing w:line="244" w:lineRule="auto" w:before="113"/>
        <w:ind w:left="493" w:right="213" w:hanging="199"/>
      </w:pPr>
      <w:r>
        <w:rPr>
          <w:rFonts w:ascii="Century Gothic" w:hAnsi="Century Gothic"/>
          <w:b/>
          <w:w w:val="115"/>
        </w:rPr>
        <w:t>≥ </w:t>
      </w:r>
      <w:r>
        <w:rPr/>
        <w:t>Associate Professor Surendra Shrestha, Academic Staff, School of Computing,</w:t>
      </w:r>
    </w:p>
    <w:p>
      <w:pPr>
        <w:pStyle w:val="BodyText"/>
        <w:spacing w:line="249" w:lineRule="auto" w:before="3"/>
        <w:ind w:left="493" w:right="467"/>
      </w:pPr>
      <w:r>
        <w:rPr/>
        <w:t>Engineering and Mathematics (Level D or E)</w:t>
      </w:r>
    </w:p>
    <w:p>
      <w:pPr>
        <w:pStyle w:val="BodyText"/>
        <w:spacing w:line="244" w:lineRule="auto" w:before="111"/>
        <w:ind w:left="493" w:right="328" w:hanging="199"/>
      </w:pPr>
      <w:r>
        <w:rPr>
          <w:rFonts w:ascii="Century Gothic" w:hAnsi="Century Gothic"/>
          <w:b/>
          <w:w w:val="115"/>
        </w:rPr>
        <w:t>≥ </w:t>
      </w:r>
      <w:r>
        <w:rPr/>
        <w:t>Dr Katina Zammit, Academic Staff, School of Education (Level A, B or C)</w:t>
      </w:r>
    </w:p>
    <w:p>
      <w:pPr>
        <w:pStyle w:val="BodyText"/>
        <w:spacing w:before="115"/>
        <w:ind w:left="294" w:right="81"/>
      </w:pPr>
      <w:r>
        <w:rPr>
          <w:rFonts w:ascii="Century Gothic" w:hAnsi="Century Gothic"/>
          <w:b/>
          <w:w w:val="115"/>
        </w:rPr>
        <w:t>≥ </w:t>
      </w:r>
      <w:r>
        <w:rPr>
          <w:w w:val="105"/>
        </w:rPr>
        <w:t>Professor Carol Reid, Academic Staff,</w:t>
      </w:r>
    </w:p>
    <w:p>
      <w:pPr>
        <w:pStyle w:val="BodyText"/>
        <w:spacing w:line="164" w:lineRule="exact"/>
        <w:ind w:left="392" w:right="1373"/>
        <w:jc w:val="center"/>
      </w:pPr>
      <w:r>
        <w:rPr/>
        <w:br w:type="column"/>
      </w:r>
      <w:r>
        <w:rPr/>
        <w:t>and Health (Level A, B or C)</w:t>
      </w:r>
    </w:p>
    <w:p>
      <w:pPr>
        <w:pStyle w:val="BodyText"/>
        <w:spacing w:line="247" w:lineRule="auto" w:before="119"/>
        <w:ind w:left="443" w:right="739" w:hanging="199"/>
      </w:pPr>
      <w:r>
        <w:rPr>
          <w:rFonts w:ascii="Century Gothic" w:hAnsi="Century Gothic"/>
          <w:b/>
          <w:w w:val="115"/>
        </w:rPr>
        <w:t>≥ </w:t>
      </w:r>
      <w:r>
        <w:rPr/>
        <w:t>Associate Professor Julie Old, Academic Staff, School of Science and Health (Level D or E)</w:t>
      </w:r>
    </w:p>
    <w:p>
      <w:pPr>
        <w:pStyle w:val="BodyText"/>
        <w:spacing w:before="113"/>
        <w:ind w:left="245" w:right="739"/>
      </w:pPr>
      <w:r>
        <w:rPr>
          <w:rFonts w:ascii="Century Gothic" w:hAnsi="Century Gothic"/>
          <w:b/>
          <w:w w:val="115"/>
        </w:rPr>
        <w:t>≥ </w:t>
      </w:r>
      <w:r>
        <w:rPr>
          <w:w w:val="105"/>
        </w:rPr>
        <w:t>Dr Kate Huppatz, Academic Staff,</w:t>
      </w:r>
    </w:p>
    <w:p>
      <w:pPr>
        <w:pStyle w:val="BodyText"/>
        <w:spacing w:line="249" w:lineRule="auto" w:before="4"/>
        <w:ind w:left="443" w:right="38"/>
      </w:pPr>
      <w:r>
        <w:rPr/>
        <w:t>School of Social Sciences and Psychology (Level A, B or C)</w:t>
      </w:r>
    </w:p>
    <w:p>
      <w:pPr>
        <w:pStyle w:val="BodyText"/>
        <w:spacing w:line="247" w:lineRule="auto" w:before="111"/>
        <w:ind w:left="443" w:right="551" w:hanging="199"/>
      </w:pPr>
      <w:r>
        <w:rPr>
          <w:rFonts w:ascii="Century Gothic" w:hAnsi="Century Gothic"/>
          <w:b/>
          <w:w w:val="115"/>
        </w:rPr>
        <w:t>≥ </w:t>
      </w:r>
      <w:r>
        <w:rPr/>
        <w:t>Associate Professor Jane Mears, Academic Staff, School of Social Sciences and Psychology (Level D or E)</w:t>
      </w:r>
    </w:p>
    <w:p>
      <w:pPr>
        <w:pStyle w:val="BodyText"/>
        <w:spacing w:line="244" w:lineRule="auto" w:before="113"/>
        <w:ind w:left="443" w:right="739" w:hanging="199"/>
      </w:pPr>
      <w:r>
        <w:rPr>
          <w:rFonts w:ascii="Century Gothic" w:hAnsi="Century Gothic"/>
          <w:b/>
          <w:w w:val="115"/>
        </w:rPr>
        <w:t>≥ </w:t>
      </w:r>
      <w:r>
        <w:rPr/>
        <w:t>Dr Mathias Boer, Academic Staff, University Research Institutes</w:t>
      </w:r>
    </w:p>
    <w:p>
      <w:pPr>
        <w:spacing w:line="244" w:lineRule="auto" w:before="115"/>
        <w:ind w:left="443" w:right="517" w:hanging="199"/>
        <w:jc w:val="left"/>
        <w:rPr>
          <w:sz w:val="16"/>
        </w:rPr>
      </w:pPr>
      <w:r>
        <w:rPr>
          <w:rFonts w:ascii="Century Gothic" w:hAnsi="Century Gothic"/>
          <w:b/>
          <w:w w:val="115"/>
          <w:sz w:val="16"/>
        </w:rPr>
        <w:t>≥ </w:t>
      </w:r>
      <w:r>
        <w:rPr>
          <w:sz w:val="16"/>
        </w:rPr>
        <w:t>Mr Jarrod Bradley, </w:t>
      </w:r>
      <w:r>
        <w:rPr>
          <w:w w:val="95"/>
          <w:sz w:val="16"/>
        </w:rPr>
        <w:t>1 </w:t>
      </w:r>
      <w:r>
        <w:rPr>
          <w:sz w:val="16"/>
        </w:rPr>
        <w:t>of 2 Undergraduate </w:t>
      </w:r>
      <w:r>
        <w:rPr>
          <w:w w:val="98"/>
          <w:sz w:val="16"/>
        </w:rPr>
        <w:t>Students </w:t>
      </w:r>
      <w:r>
        <w:rPr>
          <w:w w:val="93"/>
          <w:sz w:val="16"/>
        </w:rPr>
        <w:t>(</w:t>
      </w:r>
      <w:r>
        <w:rPr>
          <w:rFonts w:ascii="Century Gothic" w:hAnsi="Century Gothic"/>
          <w:i/>
          <w:w w:val="93"/>
          <w:sz w:val="16"/>
        </w:rPr>
        <w:t>to </w:t>
      </w:r>
      <w:r>
        <w:rPr>
          <w:rFonts w:ascii="Century Gothic" w:hAnsi="Century Gothic"/>
          <w:i/>
          <w:w w:val="73"/>
          <w:sz w:val="16"/>
        </w:rPr>
        <w:t>31 </w:t>
      </w:r>
      <w:r>
        <w:rPr>
          <w:rFonts w:ascii="Century Gothic" w:hAnsi="Century Gothic"/>
          <w:i/>
          <w:w w:val="80"/>
          <w:sz w:val="16"/>
        </w:rPr>
        <w:t>May, </w:t>
      </w:r>
      <w:r>
        <w:rPr>
          <w:rFonts w:ascii="Century Gothic" w:hAnsi="Century Gothic"/>
          <w:i/>
          <w:w w:val="85"/>
          <w:sz w:val="16"/>
        </w:rPr>
        <w:t>2017 </w:t>
      </w:r>
      <w:r>
        <w:rPr>
          <w:w w:val="96"/>
          <w:sz w:val="16"/>
        </w:rPr>
        <w:t>)</w:t>
      </w:r>
    </w:p>
    <w:p>
      <w:pPr>
        <w:spacing w:line="244" w:lineRule="auto" w:before="113"/>
        <w:ind w:left="443" w:right="551" w:hanging="199"/>
        <w:jc w:val="left"/>
        <w:rPr>
          <w:sz w:val="16"/>
        </w:rPr>
      </w:pPr>
      <w:r>
        <w:rPr>
          <w:rFonts w:ascii="Century Gothic" w:hAnsi="Century Gothic"/>
          <w:b/>
          <w:w w:val="115"/>
          <w:sz w:val="16"/>
        </w:rPr>
        <w:t>≥ </w:t>
      </w:r>
      <w:r>
        <w:rPr>
          <w:sz w:val="16"/>
        </w:rPr>
        <w:t>Vacant, 2 of 2 Undergraduate Students </w:t>
      </w:r>
      <w:r>
        <w:rPr>
          <w:w w:val="93"/>
          <w:sz w:val="16"/>
        </w:rPr>
        <w:t>(</w:t>
      </w:r>
      <w:r>
        <w:rPr>
          <w:rFonts w:ascii="Century Gothic" w:hAnsi="Century Gothic"/>
          <w:i/>
          <w:w w:val="93"/>
          <w:sz w:val="16"/>
        </w:rPr>
        <w:t>to </w:t>
      </w:r>
      <w:r>
        <w:rPr>
          <w:rFonts w:ascii="Century Gothic" w:hAnsi="Century Gothic"/>
          <w:i/>
          <w:w w:val="73"/>
          <w:sz w:val="16"/>
        </w:rPr>
        <w:t>31 </w:t>
      </w:r>
      <w:r>
        <w:rPr>
          <w:rFonts w:ascii="Century Gothic" w:hAnsi="Century Gothic"/>
          <w:i/>
          <w:w w:val="80"/>
          <w:sz w:val="16"/>
        </w:rPr>
        <w:t>May, </w:t>
      </w:r>
      <w:r>
        <w:rPr>
          <w:rFonts w:ascii="Century Gothic" w:hAnsi="Century Gothic"/>
          <w:i/>
          <w:w w:val="85"/>
          <w:sz w:val="16"/>
        </w:rPr>
        <w:t>2017 </w:t>
      </w:r>
      <w:r>
        <w:rPr>
          <w:w w:val="96"/>
          <w:sz w:val="16"/>
        </w:rPr>
        <w:t>)</w:t>
      </w:r>
    </w:p>
    <w:p>
      <w:pPr>
        <w:spacing w:line="244" w:lineRule="auto" w:before="113"/>
        <w:ind w:left="482" w:right="739" w:hanging="237"/>
        <w:jc w:val="left"/>
        <w:rPr>
          <w:sz w:val="16"/>
        </w:rPr>
      </w:pPr>
      <w:r>
        <w:rPr>
          <w:rFonts w:ascii="Century Gothic" w:hAnsi="Century Gothic"/>
          <w:b/>
          <w:w w:val="115"/>
          <w:sz w:val="16"/>
        </w:rPr>
        <w:t>≥ </w:t>
      </w:r>
      <w:r>
        <w:rPr>
          <w:sz w:val="16"/>
        </w:rPr>
        <w:t>Vacant, </w:t>
      </w:r>
      <w:r>
        <w:rPr>
          <w:w w:val="95"/>
          <w:sz w:val="16"/>
        </w:rPr>
        <w:t>1 </w:t>
      </w:r>
      <w:r>
        <w:rPr>
          <w:sz w:val="16"/>
        </w:rPr>
        <w:t>of 2 Postgraduate Students </w:t>
      </w:r>
      <w:r>
        <w:rPr>
          <w:w w:val="93"/>
          <w:sz w:val="16"/>
        </w:rPr>
        <w:t>(</w:t>
      </w:r>
      <w:r>
        <w:rPr>
          <w:rFonts w:ascii="Century Gothic" w:hAnsi="Century Gothic"/>
          <w:i/>
          <w:w w:val="93"/>
          <w:sz w:val="16"/>
        </w:rPr>
        <w:t>to </w:t>
      </w:r>
      <w:r>
        <w:rPr>
          <w:rFonts w:ascii="Century Gothic" w:hAnsi="Century Gothic"/>
          <w:i/>
          <w:w w:val="73"/>
          <w:sz w:val="16"/>
        </w:rPr>
        <w:t>31 </w:t>
      </w:r>
      <w:r>
        <w:rPr>
          <w:rFonts w:ascii="Century Gothic" w:hAnsi="Century Gothic"/>
          <w:i/>
          <w:w w:val="80"/>
          <w:sz w:val="16"/>
        </w:rPr>
        <w:t>May, </w:t>
      </w:r>
      <w:r>
        <w:rPr>
          <w:rFonts w:ascii="Century Gothic" w:hAnsi="Century Gothic"/>
          <w:i/>
          <w:w w:val="85"/>
          <w:sz w:val="16"/>
        </w:rPr>
        <w:t>2017 </w:t>
      </w:r>
      <w:r>
        <w:rPr>
          <w:w w:val="96"/>
          <w:sz w:val="16"/>
        </w:rPr>
        <w:t>)</w:t>
      </w:r>
    </w:p>
    <w:p>
      <w:pPr>
        <w:spacing w:line="244" w:lineRule="auto" w:before="113"/>
        <w:ind w:left="443" w:right="38" w:hanging="199"/>
        <w:jc w:val="left"/>
        <w:rPr>
          <w:sz w:val="16"/>
        </w:rPr>
      </w:pPr>
      <w:r>
        <w:rPr>
          <w:rFonts w:ascii="Century Gothic" w:hAnsi="Century Gothic"/>
          <w:b/>
          <w:w w:val="115"/>
          <w:sz w:val="16"/>
        </w:rPr>
        <w:t>≥ </w:t>
      </w:r>
      <w:r>
        <w:rPr>
          <w:sz w:val="16"/>
        </w:rPr>
        <w:t>Mr Jack Braithwaite, 2 of 2 Postgraduate </w:t>
      </w:r>
      <w:r>
        <w:rPr>
          <w:w w:val="98"/>
          <w:sz w:val="16"/>
        </w:rPr>
        <w:t>Students </w:t>
      </w:r>
      <w:r>
        <w:rPr>
          <w:w w:val="93"/>
          <w:sz w:val="16"/>
        </w:rPr>
        <w:t>(</w:t>
      </w:r>
      <w:r>
        <w:rPr>
          <w:rFonts w:ascii="Century Gothic" w:hAnsi="Century Gothic"/>
          <w:i/>
          <w:w w:val="93"/>
          <w:sz w:val="16"/>
        </w:rPr>
        <w:t>to </w:t>
      </w:r>
      <w:r>
        <w:rPr>
          <w:rFonts w:ascii="Century Gothic" w:hAnsi="Century Gothic"/>
          <w:i/>
          <w:w w:val="73"/>
          <w:sz w:val="16"/>
        </w:rPr>
        <w:t>31 </w:t>
      </w:r>
      <w:r>
        <w:rPr>
          <w:rFonts w:ascii="Century Gothic" w:hAnsi="Century Gothic"/>
          <w:i/>
          <w:w w:val="80"/>
          <w:sz w:val="16"/>
        </w:rPr>
        <w:t>May, </w:t>
      </w:r>
      <w:r>
        <w:rPr>
          <w:rFonts w:ascii="Century Gothic" w:hAnsi="Century Gothic"/>
          <w:i/>
          <w:w w:val="89"/>
          <w:sz w:val="16"/>
        </w:rPr>
        <w:t>2018</w:t>
      </w:r>
      <w:r>
        <w:rPr>
          <w:w w:val="89"/>
          <w:sz w:val="16"/>
        </w:rPr>
        <w:t>)</w:t>
      </w:r>
    </w:p>
    <w:p>
      <w:pPr>
        <w:spacing w:after="0" w:line="244" w:lineRule="auto"/>
        <w:jc w:val="left"/>
        <w:rPr>
          <w:sz w:val="16"/>
        </w:rPr>
        <w:sectPr>
          <w:type w:val="continuous"/>
          <w:pgSz w:w="11910" w:h="16840"/>
          <w:pgMar w:top="1580" w:bottom="280" w:left="580" w:right="580"/>
          <w:cols w:num="3" w:equalWidth="0">
            <w:col w:w="3432" w:space="40"/>
            <w:col w:w="3449" w:space="40"/>
            <w:col w:w="3789"/>
          </w:cols>
        </w:sectPr>
      </w:pPr>
    </w:p>
    <w:p>
      <w:pPr>
        <w:pStyle w:val="BodyText"/>
        <w:spacing w:line="182" w:lineRule="exact" w:before="86"/>
        <w:ind w:left="327" w:right="-3"/>
      </w:pPr>
      <w:r>
        <w:rPr>
          <w:rFonts w:ascii="Century Gothic" w:hAnsi="Century Gothic"/>
          <w:b/>
          <w:w w:val="115"/>
        </w:rPr>
        <w:t>≥</w:t>
      </w:r>
      <w:r>
        <w:rPr>
          <w:rFonts w:ascii="Century Gothic" w:hAnsi="Century Gothic"/>
          <w:b/>
          <w:spacing w:val="-28"/>
          <w:w w:val="115"/>
        </w:rPr>
        <w:t> </w:t>
      </w:r>
      <w:r>
        <w:rPr>
          <w:w w:val="105"/>
        </w:rPr>
        <w:t>Associate</w:t>
      </w:r>
      <w:r>
        <w:rPr>
          <w:spacing w:val="-40"/>
          <w:w w:val="105"/>
        </w:rPr>
        <w:t> </w:t>
      </w:r>
      <w:r>
        <w:rPr>
          <w:w w:val="105"/>
        </w:rPr>
        <w:t>Professor</w:t>
      </w:r>
      <w:r>
        <w:rPr>
          <w:spacing w:val="-40"/>
          <w:w w:val="105"/>
        </w:rPr>
        <w:t> </w:t>
      </w:r>
      <w:r>
        <w:rPr>
          <w:w w:val="105"/>
        </w:rPr>
        <w:t>Deborah</w:t>
      </w:r>
      <w:r>
        <w:rPr>
          <w:spacing w:val="-40"/>
          <w:w w:val="105"/>
        </w:rPr>
        <w:t> </w:t>
      </w:r>
      <w:r>
        <w:rPr>
          <w:w w:val="105"/>
        </w:rPr>
        <w:t>Hatcher,</w:t>
      </w:r>
    </w:p>
    <w:p>
      <w:pPr>
        <w:pStyle w:val="BodyText"/>
        <w:tabs>
          <w:tab w:pos="3567" w:val="left" w:leader="none"/>
          <w:tab w:pos="6780" w:val="left" w:leader="none"/>
        </w:tabs>
        <w:spacing w:before="4"/>
        <w:ind w:left="327"/>
      </w:pPr>
      <w:r>
        <w:rPr/>
        <w:br w:type="column"/>
      </w:r>
      <w:r>
        <w:rPr/>
        <w:t>School</w:t>
      </w:r>
      <w:r>
        <w:rPr>
          <w:spacing w:val="-12"/>
        </w:rPr>
        <w:t> </w:t>
      </w:r>
      <w:r>
        <w:rPr/>
        <w:t>of</w:t>
      </w:r>
      <w:r>
        <w:rPr>
          <w:spacing w:val="-12"/>
        </w:rPr>
        <w:t> </w:t>
      </w:r>
      <w:r>
        <w:rPr/>
        <w:t>Education</w:t>
      </w:r>
      <w:r>
        <w:rPr>
          <w:spacing w:val="-12"/>
        </w:rPr>
        <w:t> </w:t>
      </w:r>
      <w:r>
        <w:rPr/>
        <w:t>(Level</w:t>
      </w:r>
      <w:r>
        <w:rPr>
          <w:spacing w:val="-12"/>
        </w:rPr>
        <w:t> </w:t>
      </w:r>
      <w:r>
        <w:rPr/>
        <w:t>D</w:t>
      </w:r>
      <w:r>
        <w:rPr>
          <w:spacing w:val="-12"/>
        </w:rPr>
        <w:t> </w:t>
      </w:r>
      <w:r>
        <w:rPr/>
        <w:t>or</w:t>
      </w:r>
      <w:r>
        <w:rPr>
          <w:spacing w:val="-12"/>
        </w:rPr>
        <w:t> </w:t>
      </w:r>
      <w:r>
        <w:rPr/>
        <w:t>E)</w:t>
        <w:tab/>
      </w:r>
      <w:r>
        <w:rPr>
          <w:w w:val="76"/>
          <w:u w:val="thick"/>
        </w:rPr>
        <w:t> </w:t>
      </w:r>
      <w:r>
        <w:rPr>
          <w:u w:val="thick"/>
        </w:rPr>
        <w:tab/>
      </w:r>
    </w:p>
    <w:p>
      <w:pPr>
        <w:spacing w:after="0"/>
        <w:sectPr>
          <w:type w:val="continuous"/>
          <w:pgSz w:w="11910" w:h="16840"/>
          <w:pgMar w:top="1580" w:bottom="280" w:left="580" w:right="580"/>
          <w:cols w:num="2" w:equalWidth="0">
            <w:col w:w="3143" w:space="495"/>
            <w:col w:w="7112"/>
          </w:cols>
        </w:sectPr>
      </w:pPr>
    </w:p>
    <w:p>
      <w:pPr>
        <w:pStyle w:val="BodyText"/>
        <w:spacing w:before="18"/>
        <w:ind w:left="525" w:right="-1"/>
      </w:pPr>
      <w:r>
        <w:rPr/>
        <w:pict>
          <v:group style="position:absolute;margin-left:34.015999pt;margin-top:45.355015pt;width:527.25pt;height:751.2pt;mso-position-horizontal-relative:page;mso-position-vertical-relative:page;z-index:-334864" coordorigin="680,907" coordsize="10545,15024">
            <v:rect style="position:absolute;left:680;top:907;width:10545;height:15024" filled="true" fillcolor="#e9e9e9" stroked="false">
              <v:fill type="solid"/>
            </v:rect>
            <v:line style="position:absolute" from="907,5238" to="4120,5238" stroked="true" strokeweight="1.5pt" strokecolor="#000000"/>
            <w10:wrap type="none"/>
          </v:group>
        </w:pict>
      </w:r>
      <w:r>
        <w:rPr/>
        <w:t>Dean, School of Nursing and Midwifery</w:t>
      </w:r>
    </w:p>
    <w:p>
      <w:pPr>
        <w:pStyle w:val="BodyText"/>
        <w:spacing w:before="142"/>
        <w:ind w:left="327" w:right="-1"/>
      </w:pPr>
      <w:r>
        <w:rPr>
          <w:rFonts w:ascii="Century Gothic" w:hAnsi="Century Gothic"/>
          <w:b/>
          <w:w w:val="105"/>
        </w:rPr>
        <w:t>≥ </w:t>
      </w:r>
      <w:r>
        <w:rPr>
          <w:w w:val="105"/>
        </w:rPr>
        <w:t>Professor Gregory Kolt,</w:t>
      </w:r>
    </w:p>
    <w:p>
      <w:pPr>
        <w:pStyle w:val="BodyText"/>
        <w:spacing w:before="4"/>
        <w:ind w:left="525" w:right="-1"/>
      </w:pPr>
      <w:r>
        <w:rPr/>
        <w:t>Dean, School of Science and Health</w:t>
      </w:r>
    </w:p>
    <w:p>
      <w:pPr>
        <w:pStyle w:val="BodyText"/>
        <w:spacing w:before="142"/>
        <w:ind w:left="327" w:right="-1"/>
      </w:pPr>
      <w:r>
        <w:rPr>
          <w:rFonts w:ascii="Century Gothic" w:hAnsi="Century Gothic"/>
          <w:b/>
          <w:w w:val="115"/>
        </w:rPr>
        <w:t>≥ </w:t>
      </w:r>
      <w:r>
        <w:rPr>
          <w:w w:val="105"/>
        </w:rPr>
        <w:t>Professor Kevin Dunn, Dean,</w:t>
      </w:r>
    </w:p>
    <w:p>
      <w:pPr>
        <w:pStyle w:val="BodyText"/>
        <w:spacing w:before="4"/>
        <w:ind w:left="525" w:right="-1"/>
      </w:pPr>
      <w:r>
        <w:rPr/>
        <w:t>School</w:t>
      </w:r>
      <w:r>
        <w:rPr>
          <w:spacing w:val="-9"/>
        </w:rPr>
        <w:t> </w:t>
      </w:r>
      <w:r>
        <w:rPr/>
        <w:t>of</w:t>
      </w:r>
      <w:r>
        <w:rPr>
          <w:spacing w:val="-9"/>
        </w:rPr>
        <w:t> </w:t>
      </w:r>
      <w:r>
        <w:rPr/>
        <w:t>Social</w:t>
      </w:r>
      <w:r>
        <w:rPr>
          <w:spacing w:val="-9"/>
        </w:rPr>
        <w:t> </w:t>
      </w:r>
      <w:r>
        <w:rPr/>
        <w:t>Sciences</w:t>
      </w:r>
      <w:r>
        <w:rPr>
          <w:spacing w:val="-9"/>
        </w:rPr>
        <w:t> </w:t>
      </w:r>
      <w:r>
        <w:rPr/>
        <w:t>and</w:t>
      </w:r>
      <w:r>
        <w:rPr>
          <w:spacing w:val="-9"/>
        </w:rPr>
        <w:t> </w:t>
      </w:r>
      <w:r>
        <w:rPr/>
        <w:t>Psychology</w:t>
      </w:r>
    </w:p>
    <w:p>
      <w:pPr>
        <w:pStyle w:val="BodyText"/>
        <w:spacing w:line="247" w:lineRule="auto" w:before="49"/>
        <w:ind w:left="523" w:right="-1" w:hanging="199"/>
      </w:pPr>
      <w:r>
        <w:rPr/>
        <w:br w:type="column"/>
      </w:r>
      <w:r>
        <w:rPr>
          <w:rFonts w:ascii="Century Gothic" w:hAnsi="Century Gothic"/>
          <w:b/>
          <w:w w:val="115"/>
        </w:rPr>
        <w:t>≥ </w:t>
      </w:r>
      <w:r>
        <w:rPr/>
        <w:t>Dr Christopher Peterson, Academic Staff, School</w:t>
      </w:r>
      <w:r>
        <w:rPr>
          <w:spacing w:val="-15"/>
        </w:rPr>
        <w:t> </w:t>
      </w:r>
      <w:r>
        <w:rPr/>
        <w:t>of</w:t>
      </w:r>
      <w:r>
        <w:rPr>
          <w:spacing w:val="-15"/>
        </w:rPr>
        <w:t> </w:t>
      </w:r>
      <w:r>
        <w:rPr/>
        <w:t>Humanities</w:t>
      </w:r>
      <w:r>
        <w:rPr>
          <w:spacing w:val="-15"/>
        </w:rPr>
        <w:t> </w:t>
      </w:r>
      <w:r>
        <w:rPr/>
        <w:t>and</w:t>
      </w:r>
      <w:r>
        <w:rPr>
          <w:spacing w:val="-15"/>
        </w:rPr>
        <w:t> </w:t>
      </w:r>
      <w:r>
        <w:rPr/>
        <w:t>Communication </w:t>
      </w:r>
      <w:r>
        <w:rPr>
          <w:spacing w:val="2"/>
        </w:rPr>
        <w:t>Arts</w:t>
      </w:r>
      <w:r>
        <w:rPr>
          <w:spacing w:val="-11"/>
        </w:rPr>
        <w:t> </w:t>
      </w:r>
      <w:r>
        <w:rPr/>
        <w:t>(Level</w:t>
      </w:r>
      <w:r>
        <w:rPr>
          <w:spacing w:val="-11"/>
        </w:rPr>
        <w:t> </w:t>
      </w:r>
      <w:r>
        <w:rPr>
          <w:spacing w:val="3"/>
        </w:rPr>
        <w:t>A,</w:t>
      </w:r>
      <w:r>
        <w:rPr>
          <w:spacing w:val="-11"/>
        </w:rPr>
        <w:t> </w:t>
      </w:r>
      <w:r>
        <w:rPr/>
        <w:t>B</w:t>
      </w:r>
      <w:r>
        <w:rPr>
          <w:spacing w:val="-11"/>
        </w:rPr>
        <w:t> </w:t>
      </w:r>
      <w:r>
        <w:rPr/>
        <w:t>or</w:t>
      </w:r>
      <w:r>
        <w:rPr>
          <w:spacing w:val="-11"/>
        </w:rPr>
        <w:t> </w:t>
      </w:r>
      <w:r>
        <w:rPr/>
        <w:t>C)</w:t>
      </w:r>
    </w:p>
    <w:p>
      <w:pPr>
        <w:pStyle w:val="BodyText"/>
        <w:spacing w:line="247" w:lineRule="auto" w:before="113"/>
        <w:ind w:left="523" w:right="118" w:hanging="199"/>
      </w:pPr>
      <w:r>
        <w:rPr>
          <w:rFonts w:ascii="Century Gothic" w:hAnsi="Century Gothic"/>
          <w:b/>
          <w:w w:val="115"/>
        </w:rPr>
        <w:t>≥ </w:t>
      </w:r>
      <w:r>
        <w:rPr/>
        <w:t>Associate Professor Alana Lentin, Academic Staff, School of Humanities and Communication Arts (Level D or E)</w:t>
      </w:r>
    </w:p>
    <w:p>
      <w:pPr>
        <w:pStyle w:val="Heading7"/>
        <w:spacing w:line="164" w:lineRule="exact"/>
        <w:ind w:left="303" w:right="216"/>
      </w:pPr>
      <w:r>
        <w:rPr>
          <w:b w:val="0"/>
        </w:rPr>
        <w:br w:type="column"/>
      </w:r>
      <w:r>
        <w:rPr/>
        <w:t>APPOINTED</w:t>
      </w:r>
    </w:p>
    <w:p>
      <w:pPr>
        <w:pStyle w:val="BodyText"/>
        <w:spacing w:line="244" w:lineRule="auto" w:before="85"/>
        <w:ind w:left="501" w:right="216" w:hanging="199"/>
      </w:pPr>
      <w:r>
        <w:rPr>
          <w:rFonts w:ascii="Century Gothic" w:hAnsi="Century Gothic"/>
          <w:b/>
          <w:w w:val="115"/>
        </w:rPr>
        <w:t>≥ </w:t>
      </w:r>
      <w:r>
        <w:rPr/>
        <w:t>Professor Zhong Tao, Centre for </w:t>
      </w:r>
      <w:r>
        <w:rPr>
          <w:w w:val="95"/>
        </w:rPr>
        <w:t>Infrastructure  Engineering</w:t>
      </w:r>
    </w:p>
    <w:p>
      <w:pPr>
        <w:spacing w:after="0" w:line="244" w:lineRule="auto"/>
        <w:sectPr>
          <w:type w:val="continuous"/>
          <w:pgSz w:w="11910" w:h="16840"/>
          <w:pgMar w:top="1580" w:bottom="280" w:left="580" w:right="580"/>
          <w:cols w:num="3" w:equalWidth="0">
            <w:col w:w="3402" w:space="40"/>
            <w:col w:w="3422" w:space="40"/>
            <w:col w:w="3846"/>
          </w:cols>
        </w:sectPr>
      </w:pPr>
    </w:p>
    <w:p>
      <w:pPr>
        <w:pStyle w:val="BodyText"/>
        <w:spacing w:before="6"/>
        <w:rPr>
          <w:sz w:val="28"/>
        </w:rPr>
      </w:pPr>
    </w:p>
    <w:p>
      <w:pPr>
        <w:pStyle w:val="Heading1"/>
      </w:pPr>
      <w:bookmarkStart w:name="_TOC_250014" w:id="40"/>
      <w:bookmarkEnd w:id="40"/>
      <w:r>
        <w:rPr>
          <w:w w:val="95"/>
        </w:rPr>
        <w:t>APPENDIX 5</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6585"/>
      </w:pPr>
      <w:bookmarkStart w:name="_TOC_250013" w:id="41"/>
      <w:bookmarkEnd w:id="41"/>
      <w:r>
        <w:rPr>
          <w:w w:val="95"/>
        </w:rPr>
        <w:t>BOARD OF TRUSTEES REPORT</w:t>
      </w:r>
    </w:p>
    <w:p>
      <w:pPr>
        <w:spacing w:after="0"/>
        <w:sectPr>
          <w:pgSz w:w="11910" w:h="16840"/>
          <w:pgMar w:header="496" w:footer="472" w:top="680" w:bottom="660" w:left="580" w:right="580"/>
        </w:sectPr>
      </w:pPr>
    </w:p>
    <w:p>
      <w:pPr>
        <w:pStyle w:val="BodyText"/>
        <w:spacing w:before="2"/>
        <w:rPr>
          <w:rFonts w:ascii="Gotham Narrow Bold"/>
          <w:b/>
          <w:sz w:val="13"/>
        </w:rPr>
      </w:pPr>
      <w:r>
        <w:rPr/>
        <w:pict>
          <v:rect style="position:absolute;margin-left:34.015999pt;margin-top:45.355015pt;width:527.244pt;height:751.181pt;mso-position-horizontal-relative:page;mso-position-vertical-relative:page;z-index:-334840" filled="true" fillcolor="#e9e9e9" stroked="false">
            <v:fill type="solid"/>
            <w10:wrap type="none"/>
          </v:rect>
        </w:pict>
      </w:r>
    </w:p>
    <w:p>
      <w:pPr>
        <w:pStyle w:val="Heading7"/>
        <w:spacing w:before="1"/>
        <w:ind w:left="327"/>
      </w:pPr>
      <w:r>
        <w:rPr/>
        <w:t>MEMBERS</w:t>
      </w:r>
    </w:p>
    <w:p>
      <w:pPr>
        <w:pStyle w:val="BodyText"/>
        <w:spacing w:line="249" w:lineRule="auto" w:before="58"/>
        <w:ind w:left="327" w:right="296"/>
        <w:jc w:val="both"/>
      </w:pPr>
      <w:r>
        <w:rPr>
          <w:spacing w:val="2"/>
        </w:rPr>
        <w:t>The</w:t>
      </w:r>
      <w:r>
        <w:rPr>
          <w:spacing w:val="-15"/>
        </w:rPr>
        <w:t> </w:t>
      </w:r>
      <w:r>
        <w:rPr>
          <w:spacing w:val="3"/>
        </w:rPr>
        <w:t>members</w:t>
      </w:r>
      <w:r>
        <w:rPr>
          <w:spacing w:val="-15"/>
        </w:rPr>
        <w:t> </w:t>
      </w:r>
      <w:r>
        <w:rPr/>
        <w:t>of</w:t>
      </w:r>
      <w:r>
        <w:rPr>
          <w:spacing w:val="-15"/>
        </w:rPr>
        <w:t> </w:t>
      </w:r>
      <w:r>
        <w:rPr>
          <w:spacing w:val="2"/>
        </w:rPr>
        <w:t>the</w:t>
      </w:r>
      <w:r>
        <w:rPr>
          <w:spacing w:val="-15"/>
        </w:rPr>
        <w:t> </w:t>
      </w:r>
      <w:r>
        <w:rPr>
          <w:spacing w:val="2"/>
        </w:rPr>
        <w:t>Board</w:t>
      </w:r>
      <w:r>
        <w:rPr>
          <w:spacing w:val="-15"/>
        </w:rPr>
        <w:t> </w:t>
      </w:r>
      <w:r>
        <w:rPr/>
        <w:t>of</w:t>
      </w:r>
      <w:r>
        <w:rPr>
          <w:spacing w:val="-15"/>
        </w:rPr>
        <w:t> </w:t>
      </w:r>
      <w:r>
        <w:rPr/>
        <w:t>Trustees</w:t>
      </w:r>
      <w:r>
        <w:rPr>
          <w:spacing w:val="-15"/>
        </w:rPr>
        <w:t> </w:t>
      </w:r>
      <w:r>
        <w:rPr/>
        <w:t>of </w:t>
      </w:r>
      <w:r>
        <w:rPr>
          <w:spacing w:val="2"/>
        </w:rPr>
        <w:t>the</w:t>
      </w:r>
      <w:r>
        <w:rPr>
          <w:spacing w:val="-20"/>
        </w:rPr>
        <w:t> </w:t>
      </w:r>
      <w:r>
        <w:rPr>
          <w:spacing w:val="2"/>
        </w:rPr>
        <w:t>University</w:t>
      </w:r>
      <w:r>
        <w:rPr>
          <w:spacing w:val="-20"/>
        </w:rPr>
        <w:t> </w:t>
      </w:r>
      <w:r>
        <w:rPr/>
        <w:t>are</w:t>
      </w:r>
      <w:r>
        <w:rPr>
          <w:spacing w:val="-20"/>
        </w:rPr>
        <w:t> </w:t>
      </w:r>
      <w:r>
        <w:rPr>
          <w:spacing w:val="2"/>
        </w:rPr>
        <w:t>detailed</w:t>
      </w:r>
      <w:r>
        <w:rPr>
          <w:spacing w:val="-20"/>
        </w:rPr>
        <w:t> </w:t>
      </w:r>
      <w:r>
        <w:rPr/>
        <w:t>in</w:t>
      </w:r>
      <w:r>
        <w:rPr>
          <w:spacing w:val="-20"/>
        </w:rPr>
        <w:t> </w:t>
      </w:r>
      <w:r>
        <w:rPr>
          <w:spacing w:val="3"/>
        </w:rPr>
        <w:t>Appendix</w:t>
      </w:r>
      <w:r>
        <w:rPr>
          <w:spacing w:val="-20"/>
        </w:rPr>
        <w:t> </w:t>
      </w:r>
      <w:r>
        <w:rPr>
          <w:spacing w:val="3"/>
        </w:rPr>
        <w:t>1, </w:t>
      </w:r>
      <w:r>
        <w:rPr/>
        <w:t>on</w:t>
      </w:r>
      <w:r>
        <w:rPr>
          <w:spacing w:val="-23"/>
        </w:rPr>
        <w:t> </w:t>
      </w:r>
      <w:r>
        <w:rPr>
          <w:spacing w:val="2"/>
        </w:rPr>
        <w:t>page</w:t>
      </w:r>
      <w:r>
        <w:rPr>
          <w:spacing w:val="-23"/>
        </w:rPr>
        <w:t> </w:t>
      </w:r>
      <w:r>
        <w:rPr>
          <w:spacing w:val="2"/>
        </w:rPr>
        <w:t>72.</w:t>
      </w:r>
    </w:p>
    <w:p>
      <w:pPr>
        <w:pStyle w:val="BodyText"/>
        <w:spacing w:before="3"/>
        <w:rPr>
          <w:sz w:val="19"/>
        </w:rPr>
      </w:pPr>
    </w:p>
    <w:p>
      <w:pPr>
        <w:pStyle w:val="Heading7"/>
        <w:ind w:left="327"/>
      </w:pPr>
      <w:r>
        <w:rPr>
          <w:w w:val="95"/>
        </w:rPr>
        <w:t>MEETINGS OF MEMBERS</w:t>
      </w:r>
    </w:p>
    <w:p>
      <w:pPr>
        <w:pStyle w:val="BodyText"/>
        <w:spacing w:line="249" w:lineRule="auto" w:before="58"/>
        <w:ind w:left="327" w:right="-2"/>
      </w:pPr>
      <w:r>
        <w:rPr/>
        <w:t>Meetings</w:t>
      </w:r>
      <w:r>
        <w:rPr>
          <w:spacing w:val="-17"/>
        </w:rPr>
        <w:t> </w:t>
      </w:r>
      <w:r>
        <w:rPr/>
        <w:t>of</w:t>
      </w:r>
      <w:r>
        <w:rPr>
          <w:spacing w:val="-17"/>
        </w:rPr>
        <w:t> </w:t>
      </w:r>
      <w:r>
        <w:rPr/>
        <w:t>Members</w:t>
      </w:r>
      <w:r>
        <w:rPr>
          <w:spacing w:val="-17"/>
        </w:rPr>
        <w:t> </w:t>
      </w:r>
      <w:r>
        <w:rPr/>
        <w:t>of</w:t>
      </w:r>
      <w:r>
        <w:rPr>
          <w:spacing w:val="-17"/>
        </w:rPr>
        <w:t> </w:t>
      </w:r>
      <w:r>
        <w:rPr/>
        <w:t>the</w:t>
      </w:r>
      <w:r>
        <w:rPr>
          <w:spacing w:val="-17"/>
        </w:rPr>
        <w:t> </w:t>
      </w:r>
      <w:r>
        <w:rPr/>
        <w:t>Board</w:t>
      </w:r>
      <w:r>
        <w:rPr>
          <w:spacing w:val="-17"/>
        </w:rPr>
        <w:t> </w:t>
      </w:r>
      <w:r>
        <w:rPr/>
        <w:t>of</w:t>
      </w:r>
      <w:r>
        <w:rPr>
          <w:spacing w:val="-17"/>
        </w:rPr>
        <w:t> </w:t>
      </w:r>
      <w:r>
        <w:rPr/>
        <w:t>Trustees of the University are detailed in Appendix 2, on</w:t>
      </w:r>
      <w:r>
        <w:rPr>
          <w:spacing w:val="-25"/>
        </w:rPr>
        <w:t> </w:t>
      </w:r>
      <w:r>
        <w:rPr/>
        <w:t>page</w:t>
      </w:r>
      <w:r>
        <w:rPr>
          <w:spacing w:val="-25"/>
        </w:rPr>
        <w:t> </w:t>
      </w:r>
      <w:r>
        <w:rPr>
          <w:spacing w:val="2"/>
        </w:rPr>
        <w:t>73.</w:t>
      </w:r>
    </w:p>
    <w:p>
      <w:pPr>
        <w:pStyle w:val="BodyText"/>
        <w:spacing w:before="3"/>
        <w:rPr>
          <w:sz w:val="19"/>
        </w:rPr>
      </w:pPr>
    </w:p>
    <w:p>
      <w:pPr>
        <w:pStyle w:val="Heading7"/>
        <w:ind w:left="327"/>
      </w:pPr>
      <w:r>
        <w:rPr>
          <w:w w:val="95"/>
        </w:rPr>
        <w:t>PRINCIPAL ACTIVITIES</w:t>
      </w:r>
    </w:p>
    <w:p>
      <w:pPr>
        <w:pStyle w:val="BodyText"/>
        <w:spacing w:line="247" w:lineRule="auto" w:before="58"/>
        <w:ind w:left="327" w:right="3"/>
      </w:pPr>
      <w:r>
        <w:rPr/>
        <w:t>The principal activities of the University are the provision of university-level education and research through a wide range of undergraduate</w:t>
      </w:r>
      <w:r>
        <w:rPr>
          <w:spacing w:val="-17"/>
        </w:rPr>
        <w:t> </w:t>
      </w:r>
      <w:r>
        <w:rPr/>
        <w:t>and</w:t>
      </w:r>
      <w:r>
        <w:rPr>
          <w:spacing w:val="-17"/>
        </w:rPr>
        <w:t> </w:t>
      </w:r>
      <w:r>
        <w:rPr/>
        <w:t>postgraduate</w:t>
      </w:r>
      <w:r>
        <w:rPr>
          <w:spacing w:val="-17"/>
        </w:rPr>
        <w:t> </w:t>
      </w:r>
      <w:r>
        <w:rPr/>
        <w:t>courses</w:t>
      </w:r>
      <w:r>
        <w:rPr>
          <w:spacing w:val="-17"/>
        </w:rPr>
        <w:t> </w:t>
      </w:r>
      <w:r>
        <w:rPr/>
        <w:t>and research</w:t>
      </w:r>
      <w:r>
        <w:rPr>
          <w:spacing w:val="-17"/>
        </w:rPr>
        <w:t> </w:t>
      </w:r>
      <w:r>
        <w:rPr/>
        <w:t>programs,</w:t>
      </w:r>
      <w:r>
        <w:rPr>
          <w:spacing w:val="-17"/>
        </w:rPr>
        <w:t> </w:t>
      </w:r>
      <w:r>
        <w:rPr/>
        <w:t>with</w:t>
      </w:r>
      <w:r>
        <w:rPr>
          <w:spacing w:val="-17"/>
        </w:rPr>
        <w:t> </w:t>
      </w:r>
      <w:r>
        <w:rPr/>
        <w:t>a</w:t>
      </w:r>
      <w:r>
        <w:rPr>
          <w:spacing w:val="-17"/>
        </w:rPr>
        <w:t> </w:t>
      </w:r>
      <w:r>
        <w:rPr/>
        <w:t>particular</w:t>
      </w:r>
      <w:r>
        <w:rPr>
          <w:spacing w:val="-17"/>
        </w:rPr>
        <w:t> </w:t>
      </w:r>
      <w:r>
        <w:rPr/>
        <w:t>focus</w:t>
      </w:r>
      <w:r>
        <w:rPr>
          <w:spacing w:val="-17"/>
        </w:rPr>
        <w:t> </w:t>
      </w:r>
      <w:r>
        <w:rPr/>
        <w:t>on Western Sydney. The University’s functions and the authorities of the Board of Trustees are prescribed by the </w:t>
      </w:r>
      <w:r>
        <w:rPr>
          <w:rFonts w:ascii="Century Gothic" w:hAnsi="Century Gothic"/>
          <w:i/>
        </w:rPr>
        <w:t>Western Sydney </w:t>
      </w:r>
      <w:r>
        <w:rPr>
          <w:rFonts w:ascii="Century Gothic" w:hAnsi="Century Gothic"/>
          <w:i/>
          <w:w w:val="95"/>
        </w:rPr>
        <w:t>University</w:t>
      </w:r>
      <w:r>
        <w:rPr>
          <w:rFonts w:ascii="Century Gothic" w:hAnsi="Century Gothic"/>
          <w:i/>
          <w:spacing w:val="-13"/>
          <w:w w:val="95"/>
        </w:rPr>
        <w:t> </w:t>
      </w:r>
      <w:r>
        <w:rPr>
          <w:rFonts w:ascii="Century Gothic" w:hAnsi="Century Gothic"/>
          <w:i/>
          <w:w w:val="95"/>
        </w:rPr>
        <w:t>Act</w:t>
      </w:r>
      <w:r>
        <w:rPr>
          <w:rFonts w:ascii="Century Gothic" w:hAnsi="Century Gothic"/>
          <w:i/>
          <w:spacing w:val="-13"/>
          <w:w w:val="95"/>
        </w:rPr>
        <w:t> </w:t>
      </w:r>
      <w:r>
        <w:rPr>
          <w:rFonts w:ascii="Century Gothic" w:hAnsi="Century Gothic"/>
          <w:i/>
          <w:w w:val="95"/>
        </w:rPr>
        <w:t>1997</w:t>
      </w:r>
      <w:r>
        <w:rPr>
          <w:rFonts w:ascii="Century Gothic" w:hAnsi="Century Gothic"/>
          <w:i/>
          <w:spacing w:val="-13"/>
          <w:w w:val="95"/>
        </w:rPr>
        <w:t> </w:t>
      </w:r>
      <w:r>
        <w:rPr>
          <w:w w:val="95"/>
        </w:rPr>
        <w:t>(NSW).</w:t>
      </w:r>
    </w:p>
    <w:p>
      <w:pPr>
        <w:pStyle w:val="BodyText"/>
        <w:spacing w:before="12"/>
        <w:rPr>
          <w:sz w:val="13"/>
        </w:rPr>
      </w:pPr>
    </w:p>
    <w:p>
      <w:pPr>
        <w:pStyle w:val="BodyText"/>
        <w:spacing w:line="249" w:lineRule="auto"/>
        <w:ind w:left="327" w:right="-2"/>
      </w:pPr>
      <w:r>
        <w:rPr/>
        <w:t>The University also has a number of controlled entities that undertake specific activities aligned with the mission of the University. Details of these entities are provided on page 70.</w:t>
      </w:r>
    </w:p>
    <w:p>
      <w:pPr>
        <w:pStyle w:val="BodyText"/>
        <w:spacing w:before="3"/>
        <w:rPr>
          <w:sz w:val="19"/>
        </w:rPr>
      </w:pPr>
    </w:p>
    <w:p>
      <w:pPr>
        <w:pStyle w:val="Heading7"/>
        <w:ind w:left="327"/>
      </w:pPr>
      <w:r>
        <w:rPr>
          <w:w w:val="95"/>
        </w:rPr>
        <w:t>REVIEW OF OPERATIONS</w:t>
      </w:r>
    </w:p>
    <w:p>
      <w:pPr>
        <w:pStyle w:val="BodyText"/>
        <w:spacing w:line="249" w:lineRule="auto" w:before="58"/>
        <w:ind w:left="327" w:right="-2"/>
      </w:pPr>
      <w:r>
        <w:rPr/>
        <w:t>The</w:t>
      </w:r>
      <w:r>
        <w:rPr>
          <w:spacing w:val="-16"/>
        </w:rPr>
        <w:t> </w:t>
      </w:r>
      <w:r>
        <w:rPr/>
        <w:t>operations</w:t>
      </w:r>
      <w:r>
        <w:rPr>
          <w:spacing w:val="-16"/>
        </w:rPr>
        <w:t> </w:t>
      </w:r>
      <w:r>
        <w:rPr/>
        <w:t>and</w:t>
      </w:r>
      <w:r>
        <w:rPr>
          <w:spacing w:val="-16"/>
        </w:rPr>
        <w:t> </w:t>
      </w:r>
      <w:r>
        <w:rPr/>
        <w:t>activities</w:t>
      </w:r>
      <w:r>
        <w:rPr>
          <w:spacing w:val="-16"/>
        </w:rPr>
        <w:t> </w:t>
      </w:r>
      <w:r>
        <w:rPr/>
        <w:t>of</w:t>
      </w:r>
      <w:r>
        <w:rPr>
          <w:spacing w:val="-16"/>
        </w:rPr>
        <w:t> </w:t>
      </w:r>
      <w:r>
        <w:rPr/>
        <w:t>the</w:t>
      </w:r>
      <w:r>
        <w:rPr>
          <w:spacing w:val="-16"/>
        </w:rPr>
        <w:t> </w:t>
      </w:r>
      <w:r>
        <w:rPr/>
        <w:t>University are outlined in detail in this Annual Report and, in particular, in the sections Learning and</w:t>
      </w:r>
      <w:r>
        <w:rPr>
          <w:spacing w:val="-28"/>
        </w:rPr>
        <w:t> </w:t>
      </w:r>
      <w:r>
        <w:rPr/>
        <w:t>Teaching,</w:t>
      </w:r>
      <w:r>
        <w:rPr>
          <w:spacing w:val="-28"/>
        </w:rPr>
        <w:t> </w:t>
      </w:r>
      <w:r>
        <w:rPr/>
        <w:t>Research</w:t>
      </w:r>
      <w:r>
        <w:rPr>
          <w:spacing w:val="-28"/>
        </w:rPr>
        <w:t> </w:t>
      </w:r>
      <w:r>
        <w:rPr/>
        <w:t>and</w:t>
      </w:r>
      <w:r>
        <w:rPr>
          <w:spacing w:val="-28"/>
        </w:rPr>
        <w:t> </w:t>
      </w:r>
      <w:r>
        <w:rPr/>
        <w:t>Community,</w:t>
      </w:r>
    </w:p>
    <w:p>
      <w:pPr>
        <w:pStyle w:val="BodyText"/>
        <w:spacing w:line="192" w:lineRule="exact"/>
        <w:ind w:left="327" w:right="-2"/>
      </w:pPr>
      <w:r>
        <w:rPr/>
        <w:t>and Regional Engagement.</w:t>
      </w:r>
    </w:p>
    <w:p>
      <w:pPr>
        <w:pStyle w:val="BodyText"/>
        <w:spacing w:before="10"/>
        <w:rPr>
          <w:sz w:val="19"/>
        </w:rPr>
      </w:pPr>
    </w:p>
    <w:p>
      <w:pPr>
        <w:pStyle w:val="Heading7"/>
        <w:spacing w:line="249" w:lineRule="auto"/>
        <w:ind w:left="327" w:right="627"/>
      </w:pPr>
      <w:r>
        <w:rPr>
          <w:w w:val="95"/>
        </w:rPr>
        <w:t>SIGNIFICANT CHANGES IN STATE OF AFFAIRS</w:t>
      </w:r>
    </w:p>
    <w:p>
      <w:pPr>
        <w:pStyle w:val="BodyText"/>
        <w:spacing w:line="249" w:lineRule="auto" w:before="50"/>
        <w:ind w:left="327" w:right="-2"/>
      </w:pPr>
      <w:r>
        <w:rPr/>
        <w:t>There</w:t>
      </w:r>
      <w:r>
        <w:rPr>
          <w:spacing w:val="-19"/>
        </w:rPr>
        <w:t> </w:t>
      </w:r>
      <w:r>
        <w:rPr/>
        <w:t>were</w:t>
      </w:r>
      <w:r>
        <w:rPr>
          <w:spacing w:val="-19"/>
        </w:rPr>
        <w:t> </w:t>
      </w:r>
      <w:r>
        <w:rPr/>
        <w:t>no</w:t>
      </w:r>
      <w:r>
        <w:rPr>
          <w:spacing w:val="-19"/>
        </w:rPr>
        <w:t> </w:t>
      </w:r>
      <w:r>
        <w:rPr/>
        <w:t>significant</w:t>
      </w:r>
      <w:r>
        <w:rPr>
          <w:spacing w:val="-19"/>
        </w:rPr>
        <w:t> </w:t>
      </w:r>
      <w:r>
        <w:rPr/>
        <w:t>changes</w:t>
      </w:r>
      <w:r>
        <w:rPr>
          <w:spacing w:val="-19"/>
        </w:rPr>
        <w:t> </w:t>
      </w:r>
      <w:r>
        <w:rPr/>
        <w:t>in</w:t>
      </w:r>
      <w:r>
        <w:rPr>
          <w:spacing w:val="-19"/>
        </w:rPr>
        <w:t> </w:t>
      </w:r>
      <w:r>
        <w:rPr/>
        <w:t>the</w:t>
      </w:r>
      <w:r>
        <w:rPr>
          <w:spacing w:val="-19"/>
        </w:rPr>
        <w:t> </w:t>
      </w:r>
      <w:r>
        <w:rPr/>
        <w:t>state of</w:t>
      </w:r>
      <w:r>
        <w:rPr>
          <w:spacing w:val="-19"/>
        </w:rPr>
        <w:t> </w:t>
      </w:r>
      <w:r>
        <w:rPr/>
        <w:t>affairs</w:t>
      </w:r>
      <w:r>
        <w:rPr>
          <w:spacing w:val="-19"/>
        </w:rPr>
        <w:t> </w:t>
      </w:r>
      <w:r>
        <w:rPr/>
        <w:t>of</w:t>
      </w:r>
      <w:r>
        <w:rPr>
          <w:spacing w:val="-19"/>
        </w:rPr>
        <w:t> </w:t>
      </w:r>
      <w:r>
        <w:rPr/>
        <w:t>the</w:t>
      </w:r>
      <w:r>
        <w:rPr>
          <w:spacing w:val="-19"/>
        </w:rPr>
        <w:t> </w:t>
      </w:r>
      <w:r>
        <w:rPr/>
        <w:t>University</w:t>
      </w:r>
      <w:r>
        <w:rPr>
          <w:spacing w:val="-19"/>
        </w:rPr>
        <w:t> </w:t>
      </w:r>
      <w:r>
        <w:rPr/>
        <w:t>during</w:t>
      </w:r>
      <w:r>
        <w:rPr>
          <w:spacing w:val="-19"/>
        </w:rPr>
        <w:t> </w:t>
      </w:r>
      <w:r>
        <w:rPr/>
        <w:t>the</w:t>
      </w:r>
      <w:r>
        <w:rPr>
          <w:spacing w:val="-19"/>
        </w:rPr>
        <w:t> </w:t>
      </w:r>
      <w:r>
        <w:rPr/>
        <w:t>year.</w:t>
      </w:r>
    </w:p>
    <w:p>
      <w:pPr>
        <w:pStyle w:val="BodyText"/>
        <w:spacing w:before="1"/>
        <w:rPr>
          <w:sz w:val="13"/>
        </w:rPr>
      </w:pPr>
      <w:r>
        <w:rPr/>
        <w:br w:type="column"/>
      </w:r>
      <w:r>
        <w:rPr>
          <w:sz w:val="13"/>
        </w:rPr>
      </w:r>
    </w:p>
    <w:p>
      <w:pPr>
        <w:pStyle w:val="Heading7"/>
        <w:spacing w:line="249" w:lineRule="auto"/>
        <w:ind w:left="218" w:right="782"/>
      </w:pPr>
      <w:r>
        <w:rPr/>
        <w:t>MATTERS SUBSEQUENT TO THE END OF THE FINANCIAL YEAR</w:t>
      </w:r>
    </w:p>
    <w:p>
      <w:pPr>
        <w:pStyle w:val="BodyText"/>
        <w:spacing w:line="249" w:lineRule="auto" w:before="50"/>
        <w:ind w:left="218"/>
      </w:pPr>
      <w:r>
        <w:rPr/>
        <w:t>Other than the developments described in this</w:t>
      </w:r>
      <w:r>
        <w:rPr>
          <w:spacing w:val="-15"/>
        </w:rPr>
        <w:t> </w:t>
      </w:r>
      <w:r>
        <w:rPr/>
        <w:t>report,</w:t>
      </w:r>
      <w:r>
        <w:rPr>
          <w:spacing w:val="-15"/>
        </w:rPr>
        <w:t> </w:t>
      </w:r>
      <w:r>
        <w:rPr/>
        <w:t>the</w:t>
      </w:r>
      <w:r>
        <w:rPr>
          <w:spacing w:val="-15"/>
        </w:rPr>
        <w:t> </w:t>
      </w:r>
      <w:r>
        <w:rPr/>
        <w:t>Board</w:t>
      </w:r>
      <w:r>
        <w:rPr>
          <w:spacing w:val="-15"/>
        </w:rPr>
        <w:t> </w:t>
      </w:r>
      <w:r>
        <w:rPr/>
        <w:t>is</w:t>
      </w:r>
      <w:r>
        <w:rPr>
          <w:spacing w:val="-15"/>
        </w:rPr>
        <w:t> </w:t>
      </w:r>
      <w:r>
        <w:rPr/>
        <w:t>of</w:t>
      </w:r>
      <w:r>
        <w:rPr>
          <w:spacing w:val="-15"/>
        </w:rPr>
        <w:t> </w:t>
      </w:r>
      <w:r>
        <w:rPr/>
        <w:t>the</w:t>
      </w:r>
      <w:r>
        <w:rPr>
          <w:spacing w:val="-15"/>
        </w:rPr>
        <w:t> </w:t>
      </w:r>
      <w:r>
        <w:rPr/>
        <w:t>opinion</w:t>
      </w:r>
      <w:r>
        <w:rPr>
          <w:spacing w:val="-15"/>
        </w:rPr>
        <w:t> </w:t>
      </w:r>
      <w:r>
        <w:rPr/>
        <w:t>that</w:t>
      </w:r>
      <w:r>
        <w:rPr>
          <w:spacing w:val="-15"/>
        </w:rPr>
        <w:t> </w:t>
      </w:r>
      <w:r>
        <w:rPr/>
        <w:t>no other</w:t>
      </w:r>
      <w:r>
        <w:rPr>
          <w:spacing w:val="-16"/>
        </w:rPr>
        <w:t> </w:t>
      </w:r>
      <w:r>
        <w:rPr/>
        <w:t>matter</w:t>
      </w:r>
      <w:r>
        <w:rPr>
          <w:spacing w:val="-16"/>
        </w:rPr>
        <w:t> </w:t>
      </w:r>
      <w:r>
        <w:rPr/>
        <w:t>or</w:t>
      </w:r>
      <w:r>
        <w:rPr>
          <w:spacing w:val="-16"/>
        </w:rPr>
        <w:t> </w:t>
      </w:r>
      <w:r>
        <w:rPr/>
        <w:t>circumstance</w:t>
      </w:r>
      <w:r>
        <w:rPr>
          <w:spacing w:val="-16"/>
        </w:rPr>
        <w:t> </w:t>
      </w:r>
      <w:r>
        <w:rPr/>
        <w:t>will</w:t>
      </w:r>
      <w:r>
        <w:rPr>
          <w:spacing w:val="-16"/>
        </w:rPr>
        <w:t> </w:t>
      </w:r>
      <w:r>
        <w:rPr/>
        <w:t>significantly affect the operations or activities of the University.</w:t>
      </w:r>
    </w:p>
    <w:p>
      <w:pPr>
        <w:pStyle w:val="BodyText"/>
        <w:spacing w:before="3"/>
        <w:rPr>
          <w:sz w:val="19"/>
        </w:rPr>
      </w:pPr>
    </w:p>
    <w:p>
      <w:pPr>
        <w:pStyle w:val="Heading7"/>
        <w:spacing w:line="249" w:lineRule="auto"/>
        <w:ind w:left="218" w:right="250"/>
      </w:pPr>
      <w:r>
        <w:rPr/>
        <w:t>LIKELY DEVELOPMENTS AND </w:t>
      </w:r>
      <w:r>
        <w:rPr>
          <w:w w:val="95"/>
        </w:rPr>
        <w:t>EXPECTED RESULTS OF  OPERATIONS</w:t>
      </w:r>
    </w:p>
    <w:p>
      <w:pPr>
        <w:pStyle w:val="BodyText"/>
        <w:spacing w:line="249" w:lineRule="auto" w:before="50"/>
        <w:ind w:left="218" w:right="197"/>
      </w:pPr>
      <w:r>
        <w:rPr>
          <w:w w:val="80"/>
        </w:rPr>
        <w:t>In </w:t>
      </w:r>
      <w:r>
        <w:rPr>
          <w:w w:val="85"/>
        </w:rPr>
        <w:t>2016, </w:t>
      </w:r>
      <w:r>
        <w:rPr>
          <w:w w:val="98"/>
        </w:rPr>
        <w:t>work </w:t>
      </w:r>
      <w:r>
        <w:rPr>
          <w:w w:val="98"/>
        </w:rPr>
        <w:t>continued </w:t>
      </w:r>
      <w:r>
        <w:rPr>
          <w:w w:val="98"/>
        </w:rPr>
        <w:t>on </w:t>
      </w:r>
      <w:r>
        <w:rPr>
          <w:w w:val="97"/>
        </w:rPr>
        <w:t>the </w:t>
      </w:r>
      <w:r>
        <w:rPr>
          <w:w w:val="95"/>
        </w:rPr>
        <w:t>sale </w:t>
      </w:r>
      <w:r>
        <w:rPr>
          <w:w w:val="99"/>
        </w:rPr>
        <w:t>of </w:t>
      </w:r>
      <w:r>
        <w:rPr>
          <w:w w:val="97"/>
        </w:rPr>
        <w:t>the </w:t>
      </w:r>
      <w:r>
        <w:rPr/>
        <w:t>residential lots on the Westmead campus. </w:t>
      </w:r>
      <w:r>
        <w:rPr>
          <w:w w:val="99"/>
        </w:rPr>
        <w:t>Work </w:t>
      </w:r>
      <w:r>
        <w:rPr>
          <w:w w:val="97"/>
        </w:rPr>
        <w:t>will </w:t>
      </w:r>
      <w:r>
        <w:rPr>
          <w:w w:val="98"/>
        </w:rPr>
        <w:t>continue </w:t>
      </w:r>
      <w:r>
        <w:rPr>
          <w:w w:val="98"/>
        </w:rPr>
        <w:t>throughout </w:t>
      </w:r>
      <w:r>
        <w:rPr>
          <w:w w:val="87"/>
        </w:rPr>
        <w:t>2017 </w:t>
      </w:r>
      <w:r>
        <w:rPr>
          <w:w w:val="101"/>
        </w:rPr>
        <w:t>to </w:t>
      </w:r>
      <w:r>
        <w:rPr/>
        <w:t>finalise this transaction and to implement the strategic plan for the remaining lots on the Westmead campus.</w:t>
      </w:r>
    </w:p>
    <w:p>
      <w:pPr>
        <w:pStyle w:val="BodyText"/>
        <w:spacing w:before="3"/>
        <w:rPr>
          <w:sz w:val="19"/>
        </w:rPr>
      </w:pPr>
    </w:p>
    <w:p>
      <w:pPr>
        <w:pStyle w:val="Heading7"/>
        <w:spacing w:line="249" w:lineRule="auto"/>
        <w:ind w:left="218" w:right="0"/>
        <w:jc w:val="both"/>
      </w:pPr>
      <w:r>
        <w:rPr/>
        <w:t>COMPLIANCE</w:t>
      </w:r>
      <w:r>
        <w:rPr>
          <w:spacing w:val="-27"/>
        </w:rPr>
        <w:t> </w:t>
      </w:r>
      <w:r>
        <w:rPr/>
        <w:t>WITH</w:t>
      </w:r>
      <w:r>
        <w:rPr>
          <w:spacing w:val="-27"/>
        </w:rPr>
        <w:t> </w:t>
      </w:r>
      <w:r>
        <w:rPr>
          <w:spacing w:val="2"/>
        </w:rPr>
        <w:t>THE</w:t>
      </w:r>
      <w:r>
        <w:rPr>
          <w:spacing w:val="-27"/>
        </w:rPr>
        <w:t> </w:t>
      </w:r>
      <w:r>
        <w:rPr/>
        <w:t>VOLUNTARY</w:t>
      </w:r>
      <w:r>
        <w:rPr>
          <w:spacing w:val="-27"/>
        </w:rPr>
        <w:t> </w:t>
      </w:r>
      <w:r>
        <w:rPr/>
        <w:t>CODE OF</w:t>
      </w:r>
      <w:r>
        <w:rPr>
          <w:spacing w:val="-27"/>
        </w:rPr>
        <w:t> </w:t>
      </w:r>
      <w:r>
        <w:rPr>
          <w:spacing w:val="2"/>
        </w:rPr>
        <w:t>BEST</w:t>
      </w:r>
      <w:r>
        <w:rPr>
          <w:spacing w:val="-27"/>
        </w:rPr>
        <w:t> </w:t>
      </w:r>
      <w:r>
        <w:rPr>
          <w:spacing w:val="2"/>
        </w:rPr>
        <w:t>PRACTICE</w:t>
      </w:r>
      <w:r>
        <w:rPr>
          <w:spacing w:val="-27"/>
        </w:rPr>
        <w:t> </w:t>
      </w:r>
      <w:r>
        <w:rPr/>
        <w:t>FOR</w:t>
      </w:r>
      <w:r>
        <w:rPr>
          <w:spacing w:val="-27"/>
        </w:rPr>
        <w:t> </w:t>
      </w:r>
      <w:r>
        <w:rPr>
          <w:spacing w:val="2"/>
        </w:rPr>
        <w:t>THE</w:t>
      </w:r>
      <w:r>
        <w:rPr>
          <w:spacing w:val="-27"/>
        </w:rPr>
        <w:t> </w:t>
      </w:r>
      <w:r>
        <w:rPr>
          <w:spacing w:val="2"/>
        </w:rPr>
        <w:t>GOVERNANCE </w:t>
      </w:r>
      <w:r>
        <w:rPr>
          <w:w w:val="95"/>
        </w:rPr>
        <w:t>OF </w:t>
      </w:r>
      <w:r>
        <w:rPr>
          <w:spacing w:val="2"/>
          <w:w w:val="95"/>
        </w:rPr>
        <w:t>AUSTRALIAN</w:t>
      </w:r>
      <w:r>
        <w:rPr>
          <w:spacing w:val="15"/>
          <w:w w:val="95"/>
        </w:rPr>
        <w:t> </w:t>
      </w:r>
      <w:r>
        <w:rPr>
          <w:spacing w:val="2"/>
          <w:w w:val="95"/>
        </w:rPr>
        <w:t>UNIVERSITIES</w:t>
      </w:r>
    </w:p>
    <w:p>
      <w:pPr>
        <w:pStyle w:val="BodyText"/>
        <w:spacing w:line="249" w:lineRule="auto" w:before="50"/>
        <w:ind w:left="218" w:right="103"/>
      </w:pPr>
      <w:r>
        <w:rPr/>
        <w:t>The Board of Trustees adopted the code </w:t>
      </w:r>
      <w:r>
        <w:rPr>
          <w:w w:val="98"/>
        </w:rPr>
        <w:t>from </w:t>
      </w:r>
      <w:r>
        <w:rPr>
          <w:w w:val="97"/>
        </w:rPr>
        <w:t>the </w:t>
      </w:r>
      <w:r>
        <w:rPr>
          <w:w w:val="97"/>
        </w:rPr>
        <w:t>beginning </w:t>
      </w:r>
      <w:r>
        <w:rPr>
          <w:w w:val="99"/>
        </w:rPr>
        <w:t>of </w:t>
      </w:r>
      <w:r>
        <w:rPr>
          <w:w w:val="88"/>
        </w:rPr>
        <w:t>2012 </w:t>
      </w:r>
      <w:r>
        <w:rPr>
          <w:w w:val="97"/>
        </w:rPr>
        <w:t>and </w:t>
      </w:r>
      <w:r>
        <w:rPr>
          <w:w w:val="97"/>
        </w:rPr>
        <w:t>resolved </w:t>
      </w:r>
      <w:r>
        <w:rPr>
          <w:w w:val="101"/>
        </w:rPr>
        <w:t>to </w:t>
      </w:r>
      <w:r>
        <w:rPr/>
        <w:t>review the University’s compliance with the </w:t>
      </w:r>
      <w:r>
        <w:rPr>
          <w:w w:val="100"/>
        </w:rPr>
        <w:t>code </w:t>
      </w:r>
      <w:r>
        <w:rPr>
          <w:w w:val="98"/>
        </w:rPr>
        <w:t>at </w:t>
      </w:r>
      <w:r>
        <w:rPr>
          <w:w w:val="97"/>
        </w:rPr>
        <w:t>its </w:t>
      </w:r>
      <w:r>
        <w:rPr>
          <w:w w:val="97"/>
        </w:rPr>
        <w:t>first </w:t>
      </w:r>
      <w:r>
        <w:rPr>
          <w:w w:val="98"/>
        </w:rPr>
        <w:t>meeting </w:t>
      </w:r>
      <w:r>
        <w:rPr>
          <w:w w:val="97"/>
        </w:rPr>
        <w:t>each </w:t>
      </w:r>
      <w:r>
        <w:rPr>
          <w:w w:val="91"/>
        </w:rPr>
        <w:t>year. </w:t>
      </w:r>
      <w:r>
        <w:rPr>
          <w:w w:val="80"/>
        </w:rPr>
        <w:t>In </w:t>
      </w:r>
      <w:r>
        <w:rPr>
          <w:w w:val="85"/>
        </w:rPr>
        <w:t>2016,</w:t>
      </w:r>
    </w:p>
    <w:p>
      <w:pPr>
        <w:pStyle w:val="BodyText"/>
        <w:spacing w:line="249" w:lineRule="auto"/>
        <w:ind w:left="218" w:right="3"/>
        <w:jc w:val="both"/>
      </w:pPr>
      <w:r>
        <w:rPr/>
        <w:t>The</w:t>
      </w:r>
      <w:r>
        <w:rPr>
          <w:spacing w:val="-17"/>
        </w:rPr>
        <w:t> </w:t>
      </w:r>
      <w:r>
        <w:rPr/>
        <w:t>University</w:t>
      </w:r>
      <w:r>
        <w:rPr>
          <w:spacing w:val="-17"/>
        </w:rPr>
        <w:t> </w:t>
      </w:r>
      <w:r>
        <w:rPr/>
        <w:t>Secretary</w:t>
      </w:r>
      <w:r>
        <w:rPr>
          <w:spacing w:val="-17"/>
        </w:rPr>
        <w:t> </w:t>
      </w:r>
      <w:r>
        <w:rPr/>
        <w:t>and</w:t>
      </w:r>
      <w:r>
        <w:rPr>
          <w:spacing w:val="-17"/>
        </w:rPr>
        <w:t> </w:t>
      </w:r>
      <w:r>
        <w:rPr/>
        <w:t>General</w:t>
      </w:r>
      <w:r>
        <w:rPr>
          <w:spacing w:val="-17"/>
        </w:rPr>
        <w:t> </w:t>
      </w:r>
      <w:r>
        <w:rPr/>
        <w:t>Counsel provided</w:t>
      </w:r>
      <w:r>
        <w:rPr>
          <w:spacing w:val="-11"/>
        </w:rPr>
        <w:t> </w:t>
      </w:r>
      <w:r>
        <w:rPr/>
        <w:t>a</w:t>
      </w:r>
      <w:r>
        <w:rPr>
          <w:spacing w:val="-11"/>
        </w:rPr>
        <w:t> </w:t>
      </w:r>
      <w:r>
        <w:rPr/>
        <w:t>report</w:t>
      </w:r>
      <w:r>
        <w:rPr>
          <w:spacing w:val="-11"/>
        </w:rPr>
        <w:t> </w:t>
      </w:r>
      <w:r>
        <w:rPr/>
        <w:t>confirming</w:t>
      </w:r>
      <w:r>
        <w:rPr>
          <w:spacing w:val="-11"/>
        </w:rPr>
        <w:t> </w:t>
      </w:r>
      <w:r>
        <w:rPr/>
        <w:t>compliance</w:t>
      </w:r>
      <w:r>
        <w:rPr>
          <w:spacing w:val="-11"/>
        </w:rPr>
        <w:t> </w:t>
      </w:r>
      <w:r>
        <w:rPr/>
        <w:t>with the</w:t>
      </w:r>
      <w:r>
        <w:rPr>
          <w:spacing w:val="-23"/>
        </w:rPr>
        <w:t> </w:t>
      </w:r>
      <w:r>
        <w:rPr/>
        <w:t>Code.</w:t>
      </w:r>
    </w:p>
    <w:p>
      <w:pPr>
        <w:pStyle w:val="BodyText"/>
        <w:spacing w:before="3"/>
        <w:rPr>
          <w:sz w:val="19"/>
        </w:rPr>
      </w:pPr>
    </w:p>
    <w:p>
      <w:pPr>
        <w:pStyle w:val="Heading7"/>
        <w:ind w:left="218" w:right="782"/>
      </w:pPr>
      <w:r>
        <w:rPr>
          <w:w w:val="95"/>
        </w:rPr>
        <w:t>ENVIRONMENTAL  REGULATION</w:t>
      </w:r>
    </w:p>
    <w:p>
      <w:pPr>
        <w:pStyle w:val="BodyText"/>
        <w:spacing w:line="249" w:lineRule="auto" w:before="58"/>
        <w:ind w:left="218"/>
      </w:pPr>
      <w:r>
        <w:rPr/>
        <w:t>The University is subject to various Commonwealth, state and local government statutes and requirements related to environmental matters. The University </w:t>
      </w:r>
      <w:r>
        <w:rPr>
          <w:spacing w:val="2"/>
        </w:rPr>
        <w:t>has </w:t>
      </w:r>
      <w:r>
        <w:rPr/>
        <w:t>not incurred any significant environmental liabilities</w:t>
      </w:r>
      <w:r>
        <w:rPr>
          <w:spacing w:val="-26"/>
        </w:rPr>
        <w:t> </w:t>
      </w:r>
      <w:r>
        <w:rPr/>
        <w:t>under</w:t>
      </w:r>
      <w:r>
        <w:rPr>
          <w:spacing w:val="-26"/>
        </w:rPr>
        <w:t> </w:t>
      </w:r>
      <w:r>
        <w:rPr/>
        <w:t>any</w:t>
      </w:r>
      <w:r>
        <w:rPr>
          <w:spacing w:val="-26"/>
        </w:rPr>
        <w:t> </w:t>
      </w:r>
      <w:r>
        <w:rPr/>
        <w:t>environmental</w:t>
      </w:r>
      <w:r>
        <w:rPr>
          <w:spacing w:val="-26"/>
        </w:rPr>
        <w:t> </w:t>
      </w:r>
      <w:r>
        <w:rPr/>
        <w:t>legislation.</w:t>
      </w:r>
    </w:p>
    <w:p>
      <w:pPr>
        <w:pStyle w:val="BodyText"/>
        <w:spacing w:before="1"/>
        <w:rPr>
          <w:sz w:val="13"/>
        </w:rPr>
      </w:pPr>
      <w:r>
        <w:rPr/>
        <w:br w:type="column"/>
      </w:r>
      <w:r>
        <w:rPr>
          <w:sz w:val="13"/>
        </w:rPr>
      </w:r>
    </w:p>
    <w:p>
      <w:pPr>
        <w:pStyle w:val="Heading7"/>
        <w:ind w:left="227" w:right="424"/>
      </w:pPr>
      <w:r>
        <w:rPr>
          <w:w w:val="95"/>
        </w:rPr>
        <w:t>INSURANCE OF OFFICERS</w:t>
      </w:r>
    </w:p>
    <w:p>
      <w:pPr>
        <w:spacing w:line="247" w:lineRule="auto" w:before="57"/>
        <w:ind w:left="227" w:right="424" w:firstLine="0"/>
        <w:jc w:val="left"/>
        <w:rPr>
          <w:sz w:val="16"/>
        </w:rPr>
      </w:pPr>
      <w:r>
        <w:rPr>
          <w:sz w:val="16"/>
        </w:rPr>
        <w:t>Clause</w:t>
      </w:r>
      <w:r>
        <w:rPr>
          <w:spacing w:val="-32"/>
          <w:sz w:val="16"/>
        </w:rPr>
        <w:t> </w:t>
      </w:r>
      <w:r>
        <w:rPr>
          <w:sz w:val="16"/>
        </w:rPr>
        <w:t>5</w:t>
      </w:r>
      <w:r>
        <w:rPr>
          <w:spacing w:val="-32"/>
          <w:sz w:val="16"/>
        </w:rPr>
        <w:t> </w:t>
      </w:r>
      <w:r>
        <w:rPr>
          <w:sz w:val="16"/>
        </w:rPr>
        <w:t>of</w:t>
      </w:r>
      <w:r>
        <w:rPr>
          <w:spacing w:val="-32"/>
          <w:sz w:val="16"/>
        </w:rPr>
        <w:t> </w:t>
      </w:r>
      <w:r>
        <w:rPr>
          <w:sz w:val="16"/>
        </w:rPr>
        <w:t>Schedule</w:t>
      </w:r>
      <w:r>
        <w:rPr>
          <w:spacing w:val="-32"/>
          <w:sz w:val="16"/>
        </w:rPr>
        <w:t> </w:t>
      </w:r>
      <w:r>
        <w:rPr>
          <w:w w:val="95"/>
          <w:sz w:val="16"/>
        </w:rPr>
        <w:t>1</w:t>
      </w:r>
      <w:r>
        <w:rPr>
          <w:spacing w:val="-29"/>
          <w:w w:val="95"/>
          <w:sz w:val="16"/>
        </w:rPr>
        <w:t> </w:t>
      </w:r>
      <w:r>
        <w:rPr>
          <w:sz w:val="16"/>
        </w:rPr>
        <w:t>of</w:t>
      </w:r>
      <w:r>
        <w:rPr>
          <w:spacing w:val="-32"/>
          <w:sz w:val="16"/>
        </w:rPr>
        <w:t> </w:t>
      </w:r>
      <w:r>
        <w:rPr>
          <w:sz w:val="16"/>
        </w:rPr>
        <w:t>the</w:t>
      </w:r>
      <w:r>
        <w:rPr>
          <w:spacing w:val="-32"/>
          <w:sz w:val="16"/>
        </w:rPr>
        <w:t> </w:t>
      </w:r>
      <w:r>
        <w:rPr>
          <w:rFonts w:ascii="Century Gothic"/>
          <w:i/>
          <w:sz w:val="16"/>
        </w:rPr>
        <w:t>Western</w:t>
      </w:r>
      <w:r>
        <w:rPr>
          <w:rFonts w:ascii="Century Gothic"/>
          <w:i/>
          <w:spacing w:val="-27"/>
          <w:sz w:val="16"/>
        </w:rPr>
        <w:t> </w:t>
      </w:r>
      <w:r>
        <w:rPr>
          <w:rFonts w:ascii="Century Gothic"/>
          <w:i/>
          <w:sz w:val="16"/>
        </w:rPr>
        <w:t>Sydney </w:t>
      </w:r>
      <w:r>
        <w:rPr>
          <w:rFonts w:ascii="Century Gothic"/>
          <w:i/>
          <w:sz w:val="16"/>
        </w:rPr>
        <w:t>University Act 1997 </w:t>
      </w:r>
      <w:r>
        <w:rPr>
          <w:sz w:val="16"/>
        </w:rPr>
        <w:t>provides a degree of protection from personal liability for Board members</w:t>
      </w:r>
      <w:r>
        <w:rPr>
          <w:spacing w:val="-20"/>
          <w:sz w:val="16"/>
        </w:rPr>
        <w:t> </w:t>
      </w:r>
      <w:r>
        <w:rPr>
          <w:sz w:val="16"/>
        </w:rPr>
        <w:t>and</w:t>
      </w:r>
      <w:r>
        <w:rPr>
          <w:spacing w:val="-20"/>
          <w:sz w:val="16"/>
        </w:rPr>
        <w:t> </w:t>
      </w:r>
      <w:r>
        <w:rPr>
          <w:sz w:val="16"/>
        </w:rPr>
        <w:t>officers</w:t>
      </w:r>
      <w:r>
        <w:rPr>
          <w:spacing w:val="-20"/>
          <w:sz w:val="16"/>
        </w:rPr>
        <w:t> </w:t>
      </w:r>
      <w:r>
        <w:rPr>
          <w:sz w:val="16"/>
        </w:rPr>
        <w:t>of</w:t>
      </w:r>
      <w:r>
        <w:rPr>
          <w:spacing w:val="-20"/>
          <w:sz w:val="16"/>
        </w:rPr>
        <w:t> </w:t>
      </w:r>
      <w:r>
        <w:rPr>
          <w:sz w:val="16"/>
        </w:rPr>
        <w:t>the</w:t>
      </w:r>
      <w:r>
        <w:rPr>
          <w:spacing w:val="-20"/>
          <w:sz w:val="16"/>
        </w:rPr>
        <w:t> </w:t>
      </w:r>
      <w:r>
        <w:rPr>
          <w:sz w:val="16"/>
        </w:rPr>
        <w:t>University.</w:t>
      </w:r>
    </w:p>
    <w:p>
      <w:pPr>
        <w:pStyle w:val="BodyText"/>
        <w:spacing w:line="249" w:lineRule="auto" w:before="1"/>
        <w:ind w:left="227" w:right="309"/>
      </w:pPr>
      <w:r>
        <w:rPr/>
        <w:t>The University also has Directors and Officers Liability insurance with Unimutual.</w:t>
      </w:r>
    </w:p>
    <w:p>
      <w:pPr>
        <w:pStyle w:val="BodyText"/>
        <w:spacing w:before="3"/>
        <w:rPr>
          <w:sz w:val="19"/>
        </w:rPr>
      </w:pPr>
    </w:p>
    <w:p>
      <w:pPr>
        <w:pStyle w:val="Heading7"/>
        <w:spacing w:line="249" w:lineRule="auto"/>
        <w:ind w:left="227" w:right="822"/>
      </w:pPr>
      <w:r>
        <w:rPr>
          <w:w w:val="95"/>
        </w:rPr>
        <w:t>LEGAL PROCEEDINGS COMMENCED </w:t>
      </w:r>
      <w:r>
        <w:rPr/>
        <w:t>BY OR AGAINST THE UNIVERSITY</w:t>
      </w:r>
    </w:p>
    <w:p>
      <w:pPr>
        <w:pStyle w:val="BodyText"/>
        <w:spacing w:line="249" w:lineRule="auto" w:before="50"/>
        <w:ind w:left="227" w:right="236"/>
      </w:pPr>
      <w:r>
        <w:rPr/>
        <w:t>There were no significant legal proceedings by </w:t>
      </w:r>
      <w:r>
        <w:rPr>
          <w:w w:val="98"/>
        </w:rPr>
        <w:t>or </w:t>
      </w:r>
      <w:r>
        <w:rPr>
          <w:w w:val="97"/>
        </w:rPr>
        <w:t>against </w:t>
      </w:r>
      <w:r>
        <w:rPr>
          <w:w w:val="97"/>
        </w:rPr>
        <w:t>the </w:t>
      </w:r>
      <w:r>
        <w:rPr>
          <w:w w:val="97"/>
        </w:rPr>
        <w:t>University </w:t>
      </w:r>
      <w:r>
        <w:rPr>
          <w:w w:val="95"/>
        </w:rPr>
        <w:t>in </w:t>
      </w:r>
      <w:r>
        <w:rPr>
          <w:w w:val="85"/>
        </w:rPr>
        <w:t>2016.</w:t>
      </w:r>
    </w:p>
    <w:p>
      <w:pPr>
        <w:pStyle w:val="BodyText"/>
        <w:rPr>
          <w:sz w:val="14"/>
        </w:rPr>
      </w:pPr>
    </w:p>
    <w:p>
      <w:pPr>
        <w:pStyle w:val="BodyText"/>
        <w:spacing w:line="249" w:lineRule="auto"/>
        <w:ind w:left="227" w:right="821"/>
      </w:pPr>
      <w:r>
        <w:rPr/>
        <w:t>This</w:t>
      </w:r>
      <w:r>
        <w:rPr>
          <w:spacing w:val="-15"/>
        </w:rPr>
        <w:t> </w:t>
      </w:r>
      <w:r>
        <w:rPr/>
        <w:t>report</w:t>
      </w:r>
      <w:r>
        <w:rPr>
          <w:spacing w:val="-15"/>
        </w:rPr>
        <w:t> </w:t>
      </w:r>
      <w:r>
        <w:rPr/>
        <w:t>is</w:t>
      </w:r>
      <w:r>
        <w:rPr>
          <w:spacing w:val="-15"/>
        </w:rPr>
        <w:t> </w:t>
      </w:r>
      <w:r>
        <w:rPr/>
        <w:t>made</w:t>
      </w:r>
      <w:r>
        <w:rPr>
          <w:spacing w:val="-15"/>
        </w:rPr>
        <w:t> </w:t>
      </w:r>
      <w:r>
        <w:rPr/>
        <w:t>in</w:t>
      </w:r>
      <w:r>
        <w:rPr>
          <w:spacing w:val="-15"/>
        </w:rPr>
        <w:t> </w:t>
      </w:r>
      <w:r>
        <w:rPr/>
        <w:t>accordance</w:t>
      </w:r>
      <w:r>
        <w:rPr>
          <w:spacing w:val="-15"/>
        </w:rPr>
        <w:t> </w:t>
      </w:r>
      <w:r>
        <w:rPr/>
        <w:t>with a</w:t>
      </w:r>
      <w:r>
        <w:rPr>
          <w:spacing w:val="-17"/>
        </w:rPr>
        <w:t> </w:t>
      </w:r>
      <w:r>
        <w:rPr/>
        <w:t>resolution</w:t>
      </w:r>
      <w:r>
        <w:rPr>
          <w:spacing w:val="-17"/>
        </w:rPr>
        <w:t> </w:t>
      </w:r>
      <w:r>
        <w:rPr/>
        <w:t>of</w:t>
      </w:r>
      <w:r>
        <w:rPr>
          <w:spacing w:val="-17"/>
        </w:rPr>
        <w:t> </w:t>
      </w:r>
      <w:r>
        <w:rPr/>
        <w:t>the</w:t>
      </w:r>
      <w:r>
        <w:rPr>
          <w:spacing w:val="-17"/>
        </w:rPr>
        <w:t> </w:t>
      </w:r>
      <w:r>
        <w:rPr/>
        <w:t>Board</w:t>
      </w:r>
      <w:r>
        <w:rPr>
          <w:spacing w:val="-17"/>
        </w:rPr>
        <w:t> </w:t>
      </w:r>
      <w:r>
        <w:rPr/>
        <w:t>of</w:t>
      </w:r>
      <w:r>
        <w:rPr>
          <w:spacing w:val="-17"/>
        </w:rPr>
        <w:t> </w:t>
      </w:r>
      <w:r>
        <w:rPr/>
        <w:t>Trustees</w:t>
      </w:r>
      <w:r>
        <w:rPr>
          <w:spacing w:val="-17"/>
        </w:rPr>
        <w:t> </w:t>
      </w:r>
      <w:r>
        <w:rPr/>
        <w:t>on </w:t>
      </w:r>
      <w:r>
        <w:rPr>
          <w:w w:val="95"/>
        </w:rPr>
        <w:t>5 </w:t>
      </w:r>
      <w:r>
        <w:rPr>
          <w:spacing w:val="1"/>
          <w:w w:val="100"/>
        </w:rPr>
        <w:t>April</w:t>
      </w:r>
      <w:r>
        <w:rPr>
          <w:spacing w:val="-6"/>
          <w:w w:val="100"/>
        </w:rPr>
        <w:t> </w:t>
      </w:r>
      <w:r>
        <w:rPr>
          <w:spacing w:val="-2"/>
          <w:w w:val="83"/>
        </w:rPr>
        <w:t>2017.</w:t>
      </w:r>
    </w:p>
    <w:p>
      <w:pPr>
        <w:pStyle w:val="BodyText"/>
        <w:spacing w:before="7"/>
        <w:rPr>
          <w:sz w:val="14"/>
        </w:rPr>
      </w:pPr>
    </w:p>
    <w:p>
      <w:pPr>
        <w:pStyle w:val="BodyText"/>
        <w:spacing w:line="194" w:lineRule="exact" w:before="1"/>
        <w:ind w:left="227" w:right="424"/>
        <w:rPr>
          <w:rFonts w:ascii="Calibri"/>
        </w:rPr>
      </w:pPr>
      <w:r>
        <w:rPr>
          <w:rFonts w:ascii="Calibri"/>
          <w:w w:val="110"/>
        </w:rPr>
        <w:t>Professor Peter Shergold, AC</w:t>
      </w:r>
    </w:p>
    <w:p>
      <w:pPr>
        <w:pStyle w:val="BodyText"/>
        <w:spacing w:line="192" w:lineRule="exact"/>
        <w:ind w:left="227" w:right="424"/>
      </w:pPr>
      <w:r>
        <w:rPr/>
        <w:t>Chancellor</w:t>
      </w:r>
    </w:p>
    <w:p>
      <w:pPr>
        <w:spacing w:after="0" w:line="192" w:lineRule="exact"/>
        <w:sectPr>
          <w:type w:val="continuous"/>
          <w:pgSz w:w="11910" w:h="16840"/>
          <w:pgMar w:top="1580" w:bottom="280" w:left="580" w:right="580"/>
          <w:cols w:num="3" w:equalWidth="0">
            <w:col w:w="3508" w:space="40"/>
            <w:col w:w="3391" w:space="40"/>
            <w:col w:w="3771"/>
          </w:cols>
        </w:sectPr>
      </w:pPr>
    </w:p>
    <w:p>
      <w:pPr>
        <w:pStyle w:val="BodyText"/>
        <w:spacing w:before="6"/>
        <w:rPr>
          <w:sz w:val="28"/>
        </w:rPr>
      </w:pPr>
    </w:p>
    <w:p>
      <w:pPr>
        <w:pStyle w:val="Heading1"/>
      </w:pPr>
      <w:bookmarkStart w:name="_TOC_250012" w:id="42"/>
      <w:bookmarkEnd w:id="42"/>
      <w:r>
        <w:rPr>
          <w:w w:val="95"/>
        </w:rPr>
        <w:t>APPENDIX 6</w:t>
      </w: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spacing w:before="4"/>
        <w:rPr>
          <w:rFonts w:ascii="Gotham Narrow Bold"/>
          <w:b/>
          <w:sz w:val="30"/>
        </w:rPr>
      </w:pPr>
    </w:p>
    <w:p>
      <w:pPr>
        <w:pStyle w:val="Heading5"/>
        <w:spacing w:before="1"/>
        <w:ind w:left="327" w:right="503"/>
      </w:pPr>
      <w:r>
        <w:rPr>
          <w:spacing w:val="-3"/>
          <w:w w:val="95"/>
        </w:rPr>
        <w:t>EXECUTIVE REMUNERATION </w:t>
      </w:r>
      <w:r>
        <w:rPr>
          <w:w w:val="95"/>
        </w:rPr>
        <w:t>AND </w:t>
      </w:r>
      <w:r>
        <w:rPr>
          <w:spacing w:val="-3"/>
          <w:w w:val="95"/>
        </w:rPr>
        <w:t>PERFORMANCE </w:t>
      </w:r>
      <w:r>
        <w:rPr>
          <w:spacing w:val="-12"/>
          <w:w w:val="95"/>
        </w:rPr>
        <w:t>DATA</w:t>
      </w:r>
    </w:p>
    <w:p>
      <w:pPr>
        <w:pStyle w:val="BodyText"/>
        <w:spacing w:before="5"/>
        <w:rPr>
          <w:rFonts w:ascii="Gotham Narrow Bold"/>
          <w:b/>
          <w:sz w:val="11"/>
        </w:rPr>
      </w:pPr>
    </w:p>
    <w:p>
      <w:pPr>
        <w:spacing w:after="0"/>
        <w:rPr>
          <w:rFonts w:ascii="Gotham Narrow Bold"/>
          <w:sz w:val="11"/>
        </w:rPr>
        <w:sectPr>
          <w:pgSz w:w="11910" w:h="16840"/>
          <w:pgMar w:header="496" w:footer="472" w:top="680" w:bottom="660" w:left="580" w:right="580"/>
        </w:sectPr>
      </w:pPr>
    </w:p>
    <w:p>
      <w:pPr>
        <w:pStyle w:val="Heading7"/>
        <w:spacing w:before="78"/>
        <w:ind w:left="327" w:right="0"/>
      </w:pPr>
      <w:r>
        <w:rPr>
          <w:w w:val="95"/>
        </w:rPr>
        <w:t>PROFESSOR BARNEY GLOVER</w:t>
      </w:r>
    </w:p>
    <w:p>
      <w:pPr>
        <w:pStyle w:val="BodyText"/>
        <w:tabs>
          <w:tab w:pos="3766" w:val="left" w:leader="none"/>
        </w:tabs>
        <w:spacing w:before="94"/>
        <w:ind w:left="327"/>
      </w:pPr>
      <w:r>
        <w:rPr/>
        <w:t>POSITION</w:t>
        <w:tab/>
        <w:t>Vice-Chancellor and</w:t>
      </w:r>
      <w:r>
        <w:rPr>
          <w:spacing w:val="-16"/>
        </w:rPr>
        <w:t> </w:t>
      </w:r>
      <w:r>
        <w:rPr/>
        <w:t>President</w:t>
      </w:r>
    </w:p>
    <w:p>
      <w:pPr>
        <w:pStyle w:val="BodyText"/>
        <w:tabs>
          <w:tab w:pos="3766" w:val="left" w:leader="none"/>
        </w:tabs>
        <w:spacing w:before="95"/>
        <w:ind w:left="327"/>
      </w:pPr>
      <w:r>
        <w:rPr>
          <w:spacing w:val="-4"/>
          <w:w w:val="92"/>
        </w:rPr>
        <w:t>T</w:t>
      </w:r>
      <w:r>
        <w:rPr>
          <w:spacing w:val="-4"/>
          <w:w w:val="100"/>
        </w:rPr>
        <w:t>O</w:t>
      </w:r>
      <w:r>
        <w:rPr>
          <w:spacing w:val="-9"/>
          <w:w w:val="92"/>
        </w:rPr>
        <w:t>T</w:t>
      </w:r>
      <w:r>
        <w:rPr>
          <w:spacing w:val="2"/>
          <w:w w:val="112"/>
        </w:rPr>
        <w:t>A</w:t>
      </w:r>
      <w:r>
        <w:rPr>
          <w:w w:val="103"/>
        </w:rPr>
        <w:t>L</w:t>
      </w:r>
      <w:r>
        <w:rPr>
          <w:spacing w:val="-12"/>
        </w:rPr>
        <w:t> </w:t>
      </w:r>
      <w:r>
        <w:rPr>
          <w:spacing w:val="3"/>
          <w:w w:val="99"/>
        </w:rPr>
        <w:t>R</w:t>
      </w:r>
      <w:r>
        <w:rPr>
          <w:spacing w:val="1"/>
          <w:w w:val="100"/>
        </w:rPr>
        <w:t>E</w:t>
      </w:r>
      <w:r>
        <w:rPr>
          <w:spacing w:val="4"/>
          <w:w w:val="97"/>
        </w:rPr>
        <w:t>M</w:t>
      </w:r>
      <w:r>
        <w:rPr>
          <w:spacing w:val="4"/>
          <w:w w:val="99"/>
        </w:rPr>
        <w:t>U</w:t>
      </w:r>
      <w:r>
        <w:rPr>
          <w:spacing w:val="4"/>
          <w:w w:val="101"/>
        </w:rPr>
        <w:t>N</w:t>
      </w:r>
      <w:r>
        <w:rPr>
          <w:spacing w:val="1"/>
          <w:w w:val="100"/>
        </w:rPr>
        <w:t>E</w:t>
      </w:r>
      <w:r>
        <w:rPr>
          <w:spacing w:val="6"/>
          <w:w w:val="99"/>
        </w:rPr>
        <w:t>R</w:t>
      </w:r>
      <w:r>
        <w:rPr>
          <w:spacing w:val="-9"/>
          <w:w w:val="112"/>
        </w:rPr>
        <w:t>A</w:t>
      </w:r>
      <w:r>
        <w:rPr>
          <w:spacing w:val="2"/>
          <w:w w:val="92"/>
        </w:rPr>
        <w:t>T</w:t>
      </w:r>
      <w:r>
        <w:rPr>
          <w:spacing w:val="3"/>
          <w:w w:val="64"/>
        </w:rPr>
        <w:t>I</w:t>
      </w:r>
      <w:r>
        <w:rPr>
          <w:spacing w:val="3"/>
          <w:w w:val="100"/>
        </w:rPr>
        <w:t>O</w:t>
      </w:r>
      <w:r>
        <w:rPr>
          <w:w w:val="101"/>
        </w:rPr>
        <w:t>N</w:t>
      </w:r>
      <w:r>
        <w:rPr>
          <w:spacing w:val="-12"/>
        </w:rPr>
        <w:t> </w:t>
      </w:r>
      <w:r>
        <w:rPr>
          <w:spacing w:val="-6"/>
          <w:w w:val="104"/>
        </w:rPr>
        <w:t>P</w:t>
      </w:r>
      <w:r>
        <w:rPr>
          <w:spacing w:val="-3"/>
          <w:w w:val="112"/>
        </w:rPr>
        <w:t>A</w:t>
      </w:r>
      <w:r>
        <w:rPr>
          <w:spacing w:val="3"/>
          <w:w w:val="102"/>
        </w:rPr>
        <w:t>C</w:t>
      </w:r>
      <w:r>
        <w:rPr>
          <w:spacing w:val="7"/>
          <w:w w:val="103"/>
        </w:rPr>
        <w:t>K</w:t>
      </w:r>
      <w:r>
        <w:rPr>
          <w:spacing w:val="-2"/>
          <w:w w:val="112"/>
        </w:rPr>
        <w:t>A</w:t>
      </w:r>
      <w:r>
        <w:rPr>
          <w:spacing w:val="3"/>
          <w:w w:val="99"/>
        </w:rPr>
        <w:t>G</w:t>
      </w:r>
      <w:r>
        <w:rPr>
          <w:w w:val="100"/>
        </w:rPr>
        <w:t>E</w:t>
      </w:r>
      <w:r>
        <w:rPr/>
        <w:tab/>
      </w:r>
      <w:r>
        <w:rPr>
          <w:spacing w:val="4"/>
          <w:w w:val="99"/>
        </w:rPr>
        <w:t>$</w:t>
      </w:r>
      <w:r>
        <w:rPr>
          <w:w w:val="95"/>
        </w:rPr>
        <w:t>8</w:t>
      </w:r>
      <w:r>
        <w:rPr>
          <w:spacing w:val="6"/>
          <w:w w:val="95"/>
        </w:rPr>
        <w:t>7</w:t>
      </w:r>
      <w:r>
        <w:rPr>
          <w:spacing w:val="4"/>
          <w:w w:val="54"/>
        </w:rPr>
        <w:t>1</w:t>
      </w:r>
      <w:r>
        <w:rPr>
          <w:spacing w:val="6"/>
          <w:w w:val="68"/>
        </w:rPr>
        <w:t>,</w:t>
      </w:r>
      <w:r>
        <w:rPr>
          <w:spacing w:val="3"/>
          <w:w w:val="95"/>
        </w:rPr>
        <w:t>5</w:t>
      </w:r>
      <w:r>
        <w:rPr>
          <w:spacing w:val="4"/>
          <w:w w:val="111"/>
        </w:rPr>
        <w:t>0</w:t>
      </w:r>
      <w:r>
        <w:rPr>
          <w:w w:val="111"/>
        </w:rPr>
        <w:t>0</w:t>
      </w:r>
    </w:p>
    <w:p>
      <w:pPr>
        <w:pStyle w:val="BodyText"/>
        <w:tabs>
          <w:tab w:pos="3766" w:val="left" w:leader="none"/>
        </w:tabs>
        <w:spacing w:before="95"/>
        <w:ind w:left="327"/>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pPr>
      <w:r>
        <w:rPr/>
        <w:t>RESULTS</w:t>
        <w:tab/>
        <w:t>Met all</w:t>
      </w:r>
      <w:r>
        <w:rPr>
          <w:spacing w:val="-35"/>
        </w:rPr>
        <w:t> </w:t>
      </w:r>
      <w:r>
        <w:rPr/>
        <w:t>objectives</w:t>
      </w:r>
    </w:p>
    <w:p>
      <w:pPr>
        <w:pStyle w:val="Heading7"/>
        <w:spacing w:line="249" w:lineRule="auto" w:before="72"/>
        <w:ind w:left="327" w:right="1204"/>
      </w:pPr>
      <w:r>
        <w:rPr>
          <w:b w:val="0"/>
        </w:rPr>
        <w:br w:type="column"/>
      </w:r>
      <w:r>
        <w:rPr>
          <w:w w:val="95"/>
        </w:rPr>
        <w:t>SENIOR EXECUTIVES EMPLOYED AND GENDER</w:t>
      </w:r>
    </w:p>
    <w:p>
      <w:pPr>
        <w:tabs>
          <w:tab w:pos="1933" w:val="left" w:leader="none"/>
        </w:tabs>
        <w:spacing w:before="93"/>
        <w:ind w:left="327" w:right="793" w:firstLine="0"/>
        <w:jc w:val="left"/>
        <w:rPr>
          <w:rFonts w:ascii="Gotham Narrow Bold"/>
          <w:b/>
          <w:sz w:val="16"/>
        </w:rPr>
      </w:pPr>
      <w:r>
        <w:rPr>
          <w:rFonts w:ascii="Gotham Narrow Bold"/>
          <w:b/>
          <w:sz w:val="16"/>
        </w:rPr>
        <w:t>2015</w:t>
        <w:tab/>
        <w:t>2016</w:t>
      </w:r>
    </w:p>
    <w:p>
      <w:pPr>
        <w:pStyle w:val="BodyText"/>
        <w:tabs>
          <w:tab w:pos="1933" w:val="left" w:leader="none"/>
        </w:tabs>
        <w:spacing w:before="89"/>
        <w:ind w:left="327" w:right="793"/>
      </w:pPr>
      <w:r>
        <w:rPr/>
        <w:t>Males:</w:t>
      </w:r>
      <w:r>
        <w:rPr>
          <w:spacing w:val="-21"/>
        </w:rPr>
        <w:t> </w:t>
      </w:r>
      <w:r>
        <w:rPr/>
        <w:t>5</w:t>
        <w:tab/>
        <w:t>Males:</w:t>
      </w:r>
      <w:r>
        <w:rPr>
          <w:spacing w:val="-37"/>
        </w:rPr>
        <w:t> </w:t>
      </w:r>
      <w:r>
        <w:rPr/>
        <w:t>4</w:t>
      </w:r>
    </w:p>
    <w:p>
      <w:pPr>
        <w:pStyle w:val="BodyText"/>
        <w:tabs>
          <w:tab w:pos="1933" w:val="left" w:leader="none"/>
        </w:tabs>
        <w:spacing w:before="95"/>
        <w:ind w:left="327" w:right="793"/>
      </w:pPr>
      <w:r>
        <w:rPr>
          <w:w w:val="90"/>
        </w:rPr>
        <w:t>Females:</w:t>
      </w:r>
      <w:r>
        <w:rPr>
          <w:spacing w:val="-5"/>
          <w:w w:val="90"/>
        </w:rPr>
        <w:t> </w:t>
      </w:r>
      <w:r>
        <w:rPr>
          <w:w w:val="90"/>
        </w:rPr>
        <w:t>1</w:t>
        <w:tab/>
        <w:t>Females:</w:t>
      </w:r>
      <w:r>
        <w:rPr>
          <w:spacing w:val="2"/>
          <w:w w:val="90"/>
        </w:rPr>
        <w:t> </w:t>
      </w:r>
      <w:r>
        <w:rPr>
          <w:w w:val="90"/>
        </w:rPr>
        <w:t>1</w:t>
      </w:r>
    </w:p>
    <w:p>
      <w:pPr>
        <w:spacing w:after="0"/>
        <w:sectPr>
          <w:type w:val="continuous"/>
          <w:pgSz w:w="11910" w:h="16840"/>
          <w:pgMar w:top="1580" w:bottom="280" w:left="580" w:right="580"/>
          <w:cols w:num="2" w:equalWidth="0">
            <w:col w:w="5863" w:space="1016"/>
            <w:col w:w="3871"/>
          </w:cols>
        </w:sectPr>
      </w:pPr>
    </w:p>
    <w:p>
      <w:pPr>
        <w:pStyle w:val="BodyText"/>
        <w:spacing w:before="4"/>
        <w:rPr>
          <w:sz w:val="25"/>
        </w:rPr>
      </w:pPr>
    </w:p>
    <w:p>
      <w:pPr>
        <w:spacing w:after="0"/>
        <w:rPr>
          <w:sz w:val="25"/>
        </w:rPr>
        <w:sectPr>
          <w:type w:val="continuous"/>
          <w:pgSz w:w="11910" w:h="16840"/>
          <w:pgMar w:top="1580" w:bottom="280" w:left="580" w:right="580"/>
        </w:sectPr>
      </w:pPr>
    </w:p>
    <w:p>
      <w:pPr>
        <w:pStyle w:val="Heading7"/>
        <w:spacing w:before="85"/>
        <w:ind w:left="327" w:right="0"/>
      </w:pPr>
      <w:r>
        <w:rPr>
          <w:w w:val="95"/>
        </w:rPr>
        <w:t>PROFESSOR SCOTT HOLMES</w:t>
      </w:r>
    </w:p>
    <w:p>
      <w:pPr>
        <w:pStyle w:val="BodyText"/>
        <w:tabs>
          <w:tab w:pos="3766" w:val="left" w:leader="none"/>
        </w:tabs>
        <w:spacing w:line="249" w:lineRule="auto" w:before="89"/>
        <w:ind w:left="3766" w:hanging="3440"/>
      </w:pPr>
      <w:r>
        <w:rPr/>
        <w:t>POSITION</w:t>
        <w:tab/>
        <w:t>Deputy Vice-Chancellor</w:t>
      </w:r>
      <w:r>
        <w:rPr>
          <w:spacing w:val="-3"/>
        </w:rPr>
        <w:t> </w:t>
      </w:r>
      <w:r>
        <w:rPr/>
        <w:t>and</w:t>
      </w:r>
      <w:r>
        <w:rPr>
          <w:spacing w:val="-2"/>
        </w:rPr>
        <w:t> </w:t>
      </w:r>
      <w:r>
        <w:rPr/>
        <w:t>Vice-President</w:t>
      </w:r>
      <w:r>
        <w:rPr>
          <w:w w:val="102"/>
        </w:rPr>
        <w:t> </w:t>
      </w:r>
      <w:r>
        <w:rPr/>
        <w:t>(Research</w:t>
      </w:r>
      <w:r>
        <w:rPr>
          <w:spacing w:val="-23"/>
        </w:rPr>
        <w:t> </w:t>
      </w:r>
      <w:r>
        <w:rPr/>
        <w:t>and</w:t>
      </w:r>
      <w:r>
        <w:rPr>
          <w:spacing w:val="-23"/>
        </w:rPr>
        <w:t> </w:t>
      </w:r>
      <w:r>
        <w:rPr/>
        <w:t>Development)</w:t>
      </w:r>
    </w:p>
    <w:p>
      <w:pPr>
        <w:pStyle w:val="BodyText"/>
        <w:tabs>
          <w:tab w:pos="3766" w:val="left" w:leader="none"/>
        </w:tabs>
        <w:spacing w:before="87"/>
        <w:ind w:left="327"/>
      </w:pPr>
      <w:r>
        <w:rPr>
          <w:spacing w:val="-3"/>
        </w:rPr>
        <w:t>TOTAL </w:t>
      </w:r>
      <w:r>
        <w:rPr/>
        <w:t>REMUNERATION</w:t>
      </w:r>
      <w:r>
        <w:rPr>
          <w:spacing w:val="-3"/>
        </w:rPr>
        <w:t> </w:t>
      </w:r>
      <w:r>
        <w:rPr/>
        <w:t>PACKAGE</w:t>
        <w:tab/>
      </w:r>
      <w:r>
        <w:rPr>
          <w:spacing w:val="3"/>
        </w:rPr>
        <w:t>$534,820</w:t>
      </w:r>
    </w:p>
    <w:p>
      <w:pPr>
        <w:pStyle w:val="BodyText"/>
        <w:tabs>
          <w:tab w:pos="3766" w:val="left" w:leader="none"/>
        </w:tabs>
        <w:spacing w:before="95"/>
        <w:ind w:left="327"/>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pPr>
      <w:r>
        <w:rPr/>
        <w:t>RESULTS</w:t>
        <w:tab/>
        <w:t>Met all</w:t>
      </w:r>
      <w:r>
        <w:rPr>
          <w:spacing w:val="-35"/>
        </w:rPr>
        <w:t> </w:t>
      </w:r>
      <w:r>
        <w:rPr/>
        <w:t>objectives</w:t>
      </w:r>
    </w:p>
    <w:p>
      <w:pPr>
        <w:pStyle w:val="Heading7"/>
        <w:spacing w:line="249" w:lineRule="auto" w:before="72"/>
        <w:ind w:left="327" w:right="351"/>
      </w:pPr>
      <w:r>
        <w:rPr>
          <w:b w:val="0"/>
        </w:rPr>
        <w:br w:type="column"/>
      </w:r>
      <w:r>
        <w:rPr>
          <w:w w:val="95"/>
        </w:rPr>
        <w:t>AVERAGE TOTAL REMUNERATION PACKAGE OF EXECUTIVES</w:t>
      </w:r>
    </w:p>
    <w:p>
      <w:pPr>
        <w:tabs>
          <w:tab w:pos="1933" w:val="left" w:leader="none"/>
        </w:tabs>
        <w:spacing w:before="82"/>
        <w:ind w:left="327" w:right="351" w:firstLine="0"/>
        <w:jc w:val="left"/>
        <w:rPr>
          <w:sz w:val="16"/>
        </w:rPr>
      </w:pPr>
      <w:r>
        <w:rPr>
          <w:rFonts w:ascii="Gotham Narrow Bold"/>
          <w:b/>
          <w:sz w:val="16"/>
        </w:rPr>
        <w:t>2015:</w:t>
      </w:r>
      <w:r>
        <w:rPr>
          <w:rFonts w:ascii="Gotham Narrow Bold"/>
          <w:b/>
          <w:spacing w:val="-14"/>
          <w:sz w:val="16"/>
        </w:rPr>
        <w:t> </w:t>
      </w:r>
      <w:r>
        <w:rPr>
          <w:spacing w:val="2"/>
          <w:sz w:val="16"/>
        </w:rPr>
        <w:t>$492,922</w:t>
        <w:tab/>
      </w:r>
      <w:r>
        <w:rPr>
          <w:rFonts w:ascii="Gotham Narrow Bold"/>
          <w:b/>
          <w:w w:val="95"/>
          <w:sz w:val="16"/>
        </w:rPr>
        <w:t>2016:</w:t>
      </w:r>
      <w:r>
        <w:rPr>
          <w:rFonts w:ascii="Gotham Narrow Bold"/>
          <w:b/>
          <w:spacing w:val="26"/>
          <w:w w:val="95"/>
          <w:sz w:val="16"/>
        </w:rPr>
        <w:t> </w:t>
      </w:r>
      <w:r>
        <w:rPr>
          <w:spacing w:val="3"/>
          <w:w w:val="95"/>
          <w:sz w:val="16"/>
        </w:rPr>
        <w:t>$580,294</w:t>
      </w:r>
    </w:p>
    <w:p>
      <w:pPr>
        <w:pStyle w:val="BodyText"/>
      </w:pPr>
    </w:p>
    <w:p>
      <w:pPr>
        <w:pStyle w:val="BodyText"/>
        <w:spacing w:before="10"/>
      </w:pPr>
    </w:p>
    <w:p>
      <w:pPr>
        <w:pStyle w:val="Heading7"/>
        <w:spacing w:line="249" w:lineRule="auto" w:before="1"/>
        <w:ind w:left="327" w:right="351"/>
      </w:pPr>
      <w:r>
        <w:rPr>
          <w:w w:val="95"/>
        </w:rPr>
        <w:t>PERCENTAGE OF TOTAL EMPLOYEE- RELATED EXPENDITURE</w:t>
      </w:r>
    </w:p>
    <w:p>
      <w:pPr>
        <w:tabs>
          <w:tab w:pos="1933" w:val="left" w:leader="none"/>
        </w:tabs>
        <w:spacing w:before="82"/>
        <w:ind w:left="327" w:right="351" w:firstLine="0"/>
        <w:jc w:val="left"/>
        <w:rPr>
          <w:sz w:val="16"/>
        </w:rPr>
      </w:pPr>
      <w:r>
        <w:rPr>
          <w:rFonts w:ascii="Gotham Narrow Bold"/>
          <w:b/>
          <w:w w:val="95"/>
          <w:sz w:val="16"/>
        </w:rPr>
        <w:t>2015: </w:t>
      </w:r>
      <w:r>
        <w:rPr>
          <w:w w:val="95"/>
          <w:sz w:val="16"/>
        </w:rPr>
        <w:t>&lt; 1</w:t>
      </w:r>
      <w:r>
        <w:rPr>
          <w:spacing w:val="-34"/>
          <w:w w:val="95"/>
          <w:sz w:val="16"/>
        </w:rPr>
        <w:t> </w:t>
      </w:r>
      <w:r>
        <w:rPr>
          <w:w w:val="95"/>
          <w:sz w:val="16"/>
        </w:rPr>
        <w:t>per</w:t>
      </w:r>
      <w:r>
        <w:rPr>
          <w:spacing w:val="-14"/>
          <w:w w:val="95"/>
          <w:sz w:val="16"/>
        </w:rPr>
        <w:t> </w:t>
      </w:r>
      <w:r>
        <w:rPr>
          <w:w w:val="95"/>
          <w:sz w:val="16"/>
        </w:rPr>
        <w:t>cent</w:t>
        <w:tab/>
      </w:r>
      <w:r>
        <w:rPr>
          <w:rFonts w:ascii="Gotham Narrow Bold"/>
          <w:b/>
          <w:w w:val="95"/>
          <w:sz w:val="16"/>
        </w:rPr>
        <w:t>2016:</w:t>
      </w:r>
      <w:r>
        <w:rPr>
          <w:rFonts w:ascii="Gotham Narrow Bold"/>
          <w:b/>
          <w:spacing w:val="-12"/>
          <w:w w:val="95"/>
          <w:sz w:val="16"/>
        </w:rPr>
        <w:t> </w:t>
      </w:r>
      <w:r>
        <w:rPr>
          <w:w w:val="95"/>
          <w:sz w:val="16"/>
        </w:rPr>
        <w:t>&lt;1</w:t>
      </w:r>
      <w:r>
        <w:rPr>
          <w:spacing w:val="-20"/>
          <w:w w:val="95"/>
          <w:sz w:val="16"/>
        </w:rPr>
        <w:t> </w:t>
      </w:r>
      <w:r>
        <w:rPr>
          <w:w w:val="95"/>
          <w:sz w:val="16"/>
        </w:rPr>
        <w:t>per</w:t>
      </w:r>
      <w:r>
        <w:rPr>
          <w:spacing w:val="-20"/>
          <w:w w:val="95"/>
          <w:sz w:val="16"/>
        </w:rPr>
        <w:t> </w:t>
      </w:r>
      <w:r>
        <w:rPr>
          <w:w w:val="95"/>
          <w:sz w:val="16"/>
        </w:rPr>
        <w:t>cent</w:t>
      </w:r>
    </w:p>
    <w:p>
      <w:pPr>
        <w:spacing w:after="0"/>
        <w:jc w:val="left"/>
        <w:rPr>
          <w:sz w:val="16"/>
        </w:rPr>
        <w:sectPr>
          <w:type w:val="continuous"/>
          <w:pgSz w:w="11910" w:h="16840"/>
          <w:pgMar w:top="1580" w:bottom="280" w:left="580" w:right="580"/>
          <w:cols w:num="2" w:equalWidth="0">
            <w:col w:w="6780" w:space="98"/>
            <w:col w:w="3872"/>
          </w:cols>
        </w:sectPr>
      </w:pPr>
    </w:p>
    <w:p>
      <w:pPr>
        <w:pStyle w:val="BodyText"/>
        <w:spacing w:before="5"/>
        <w:rPr>
          <w:sz w:val="9"/>
        </w:rPr>
      </w:pPr>
      <w:r>
        <w:rPr/>
        <w:pict>
          <v:group style="position:absolute;margin-left:34.015999pt;margin-top:45.355015pt;width:527.25pt;height:751.2pt;mso-position-horizontal-relative:page;mso-position-vertical-relative:page;z-index:-334816" coordorigin="680,907" coordsize="10545,15024">
            <v:rect style="position:absolute;left:680;top:907;width:10545;height:15024" filled="true" fillcolor="#e9e9e9" stroked="false">
              <v:fill type="solid"/>
            </v:rect>
            <v:line style="position:absolute" from="907,5238" to="7559,5238" stroked="true" strokeweight="1.5pt" strokecolor="#000000"/>
            <v:line style="position:absolute" from="907,7267" to="4346,7267" stroked="true" strokeweight=".5pt" strokecolor="#949290"/>
            <v:line style="position:absolute" from="4346,7267" to="7559,7267" stroked="true" strokeweight=".5pt" strokecolor="#949290"/>
            <v:line style="position:absolute" from="907,7755" to="4346,7755" stroked="true" strokeweight=".5pt" strokecolor="#949290"/>
            <v:line style="position:absolute" from="4346,7755" to="7559,7755" stroked="true" strokeweight=".5pt" strokecolor="#949290"/>
            <v:line style="position:absolute" from="907,8043" to="4346,8043" stroked="true" strokeweight=".5pt" strokecolor="#949290"/>
            <v:line style="position:absolute" from="4346,8043" to="7559,8043" stroked="true" strokeweight=".5pt" strokecolor="#949290"/>
            <v:line style="position:absolute" from="907,8331" to="4346,8331" stroked="true" strokeweight=".5pt" strokecolor="#949290"/>
            <v:line style="position:absolute" from="4346,8331" to="7559,8331" stroked="true" strokeweight=".5pt" strokecolor="#949290"/>
            <v:line style="position:absolute" from="907,8619" to="4346,8619" stroked="true" strokeweight=".5pt" strokecolor="#949290"/>
            <v:line style="position:absolute" from="4346,8619" to="7559,8619" stroked="true" strokeweight=".5pt" strokecolor="#949290"/>
            <v:line style="position:absolute" from="907,9197" to="4346,9197" stroked="true" strokeweight=".5pt" strokecolor="#949290"/>
            <v:line style="position:absolute" from="4346,9197" to="7559,9197" stroked="true" strokeweight=".5pt" strokecolor="#949290"/>
            <v:line style="position:absolute" from="907,9685" to="4346,9685" stroked="true" strokeweight=".5pt" strokecolor="#949290"/>
            <v:line style="position:absolute" from="4346,9685" to="7559,9685" stroked="true" strokeweight=".5pt" strokecolor="#949290"/>
            <v:line style="position:absolute" from="907,9973" to="4346,9973" stroked="true" strokeweight=".5pt" strokecolor="#949290"/>
            <v:line style="position:absolute" from="4346,9973" to="7559,9973" stroked="true" strokeweight=".5pt" strokecolor="#949290"/>
            <v:line style="position:absolute" from="907,11127" to="4346,11127" stroked="true" strokeweight=".5pt" strokecolor="#949290"/>
            <v:line style="position:absolute" from="4346,11127" to="7559,11127" stroked="true" strokeweight=".5pt" strokecolor="#949290"/>
            <v:line style="position:absolute" from="907,11415" to="4346,11415" stroked="true" strokeweight=".5pt" strokecolor="#949290"/>
            <v:line style="position:absolute" from="4346,11415" to="7559,11415" stroked="true" strokeweight=".5pt" strokecolor="#949290"/>
            <v:line style="position:absolute" from="907,11703" to="4346,11703" stroked="true" strokeweight=".5pt" strokecolor="#949290"/>
            <v:line style="position:absolute" from="4346,11703" to="7559,11703" stroked="true" strokeweight=".5pt" strokecolor="#949290"/>
            <v:line style="position:absolute" from="907,12857" to="4346,12857" stroked="true" strokeweight=".5pt" strokecolor="#949290"/>
            <v:line style="position:absolute" from="4346,12857" to="7559,12857" stroked="true" strokeweight=".5pt" strokecolor="#949290"/>
            <v:line style="position:absolute" from="907,13145" to="4346,13145" stroked="true" strokeweight=".5pt" strokecolor="#949290"/>
            <v:line style="position:absolute" from="4346,13145" to="7559,13145" stroked="true" strokeweight=".5pt" strokecolor="#949290"/>
            <v:line style="position:absolute" from="907,13433" to="4346,13433" stroked="true" strokeweight=".5pt" strokecolor="#949290"/>
            <v:line style="position:absolute" from="4346,13433" to="7559,13433" stroked="true" strokeweight=".5pt" strokecolor="#949290"/>
            <v:line style="position:absolute" from="907,13721" to="4346,13721" stroked="true" strokeweight=".5pt" strokecolor="#949290"/>
            <v:line style="position:absolute" from="4346,13721" to="7559,13721" stroked="true" strokeweight=".5pt" strokecolor="#949290"/>
            <v:line style="position:absolute" from="907,5537" to="4346,5537" stroked="true" strokeweight=".5pt" strokecolor="#949290"/>
            <v:line style="position:absolute" from="4346,5537" to="7559,5537" stroked="true" strokeweight=".5pt" strokecolor="#949290"/>
            <v:line style="position:absolute" from="907,5825" to="4346,5825" stroked="true" strokeweight=".5pt" strokecolor="#949290"/>
            <v:line style="position:absolute" from="4346,5825" to="7559,5825" stroked="true" strokeweight=".5pt" strokecolor="#949290"/>
            <v:line style="position:absolute" from="907,6113" to="4346,6113" stroked="true" strokeweight=".5pt" strokecolor="#949290"/>
            <v:line style="position:absolute" from="4346,6113" to="7559,6113" stroked="true" strokeweight=".5pt" strokecolor="#949290"/>
            <v:line style="position:absolute" from="907,6401" to="4346,6401" stroked="true" strokeweight=".5pt" strokecolor="#949290"/>
            <v:line style="position:absolute" from="4346,6401" to="7559,6401" stroked="true" strokeweight=".5pt" strokecolor="#949290"/>
            <v:line style="position:absolute" from="907,6689" to="4346,6689" stroked="true" strokeweight=".5pt" strokecolor="#949290"/>
            <v:line style="position:absolute" from="4346,6689" to="7559,6689" stroked="true" strokeweight=".5pt" strokecolor="#949290"/>
            <v:line style="position:absolute" from="907,10261" to="4346,10261" stroked="true" strokeweight=".5pt" strokecolor="#949290"/>
            <v:line style="position:absolute" from="4346,10261" to="7559,10261" stroked="true" strokeweight=".5pt" strokecolor="#949290"/>
            <v:line style="position:absolute" from="907,10549" to="4346,10549" stroked="true" strokeweight=".5pt" strokecolor="#949290"/>
            <v:line style="position:absolute" from="4346,10549" to="7559,10549" stroked="true" strokeweight=".5pt" strokecolor="#949290"/>
            <v:line style="position:absolute" from="907,11991" to="4346,11991" stroked="true" strokeweight=".5pt" strokecolor="#949290"/>
            <v:line style="position:absolute" from="4346,11991" to="7559,11991" stroked="true" strokeweight=".5pt" strokecolor="#949290"/>
            <v:line style="position:absolute" from="907,12279" to="4346,12279" stroked="true" strokeweight=".5pt" strokecolor="#949290"/>
            <v:line style="position:absolute" from="4346,12279" to="7559,12279" stroked="true" strokeweight=".5pt" strokecolor="#949290"/>
            <v:line style="position:absolute" from="907,14009" to="4346,14009" stroked="true" strokeweight=".5pt" strokecolor="#949290"/>
            <v:line style="position:absolute" from="4346,14009" to="7559,14009" stroked="true" strokeweight=".5pt" strokecolor="#949290"/>
            <v:line style="position:absolute" from="907,6973" to="7559,6973" stroked="true" strokeweight="1.5pt" strokecolor="#000000"/>
            <v:line style="position:absolute" from="907,8904" to="7559,8904" stroked="true" strokeweight="1.5pt" strokecolor="#000000"/>
            <v:line style="position:absolute" from="907,10834" to="7559,10834" stroked="true" strokeweight="1.5pt" strokecolor="#000000"/>
            <v:line style="position:absolute" from="907,12564" to="7559,12564" stroked="true" strokeweight="1.5pt" strokecolor="#000000"/>
            <v:line style="position:absolute" from="7786,5232" to="10998,5232" stroked="true" strokeweight="1.5pt" strokecolor="#000000"/>
            <v:line style="position:absolute" from="7786,6966" to="9392,6966" stroked="true" strokeweight=".5pt" strokecolor="#000000"/>
            <v:line style="position:absolute" from="9392,6966" to="10998,6966" stroked="true" strokeweight=".5pt" strokecolor="#000000"/>
            <v:line style="position:absolute" from="7786,8043" to="9392,8043" stroked="true" strokeweight=".5pt" strokecolor="#000000"/>
            <v:line style="position:absolute" from="9392,8043" to="10998,8043" stroked="true" strokeweight=".5pt" strokecolor="#000000"/>
            <v:line style="position:absolute" from="7786,5731" to="9392,5731" stroked="true" strokeweight=".5pt" strokecolor="#949290"/>
            <v:line style="position:absolute" from="9392,5731" to="10998,5731" stroked="true" strokeweight=".5pt" strokecolor="#949290"/>
            <v:line style="position:absolute" from="7786,6019" to="9392,6019" stroked="true" strokeweight=".5pt" strokecolor="#949290"/>
            <v:line style="position:absolute" from="9392,6019" to="10998,6019" stroked="true" strokeweight=".5pt" strokecolor="#949290"/>
            <v:line style="position:absolute" from="7786,6307" to="9392,6307" stroked="true" strokeweight=".5pt" strokecolor="#949290"/>
            <v:line style="position:absolute" from="9392,6307" to="10998,6307" stroked="true" strokeweight=".5pt" strokecolor="#949290"/>
            <v:line style="position:absolute" from="7786,6595" to="9392,6595" stroked="true" strokeweight=".5pt" strokecolor="#949290"/>
            <v:line style="position:absolute" from="9392,6595" to="10998,6595" stroked="true" strokeweight=".5pt" strokecolor="#949290"/>
            <v:line style="position:absolute" from="7786,7454" to="9392,7454" stroked="true" strokeweight=".5pt" strokecolor="#949290"/>
            <v:line style="position:absolute" from="9392,7454" to="10998,7454" stroked="true" strokeweight=".5pt" strokecolor="#949290"/>
            <v:line style="position:absolute" from="7786,7742" to="9392,7742" stroked="true" strokeweight=".5pt" strokecolor="#949290"/>
            <v:line style="position:absolute" from="9392,7742" to="10998,7742" stroked="true" strokeweight=".5pt" strokecolor="#949290"/>
            <v:line style="position:absolute" from="7786,8531" to="9392,8531" stroked="true" strokeweight=".5pt" strokecolor="#949290"/>
            <v:line style="position:absolute" from="9392,8531" to="10998,8531" stroked="true" strokeweight=".5pt" strokecolor="#949290"/>
            <v:line style="position:absolute" from="7786,8819" to="9392,8819" stroked="true" strokeweight=".5pt" strokecolor="#949290"/>
            <v:line style="position:absolute" from="9392,8819" to="10998,8819" stroked="true" strokeweight=".5pt" strokecolor="#949290"/>
            <v:line style="position:absolute" from="7786,6960" to="10998,6960" stroked="true" strokeweight="1.5pt" strokecolor="#000000"/>
            <v:line style="position:absolute" from="7786,8037" to="10998,8037" stroked="true" strokeweight="1.5pt" strokecolor="#000000"/>
            <w10:wrap type="none"/>
          </v:group>
        </w:pict>
      </w:r>
    </w:p>
    <w:p>
      <w:pPr>
        <w:pStyle w:val="Heading7"/>
        <w:spacing w:before="72"/>
        <w:ind w:left="327" w:right="7611"/>
      </w:pPr>
      <w:r>
        <w:rPr>
          <w:w w:val="95"/>
        </w:rPr>
        <w:t>PROFESSOR DENISE KIRKPATRICK</w:t>
      </w:r>
    </w:p>
    <w:p>
      <w:pPr>
        <w:pStyle w:val="BodyText"/>
        <w:tabs>
          <w:tab w:pos="3766" w:val="left" w:leader="none"/>
        </w:tabs>
        <w:spacing w:line="249" w:lineRule="auto" w:before="89"/>
        <w:ind w:left="3766" w:right="3963" w:hanging="3440"/>
      </w:pPr>
      <w:r>
        <w:rPr/>
        <w:t>POSITION</w:t>
        <w:tab/>
        <w:t>Deputy Vice-Chancellor</w:t>
      </w:r>
      <w:r>
        <w:rPr>
          <w:spacing w:val="-3"/>
        </w:rPr>
        <w:t> </w:t>
      </w:r>
      <w:r>
        <w:rPr/>
        <w:t>and</w:t>
      </w:r>
      <w:r>
        <w:rPr>
          <w:spacing w:val="-2"/>
        </w:rPr>
        <w:t> </w:t>
      </w:r>
      <w:r>
        <w:rPr/>
        <w:t>Vice-President</w:t>
      </w:r>
      <w:r>
        <w:rPr>
          <w:w w:val="102"/>
        </w:rPr>
        <w:t> </w:t>
      </w:r>
      <w:r>
        <w:rPr/>
        <w:t>(Academic)</w:t>
      </w:r>
    </w:p>
    <w:p>
      <w:pPr>
        <w:pStyle w:val="BodyText"/>
        <w:tabs>
          <w:tab w:pos="3766" w:val="left" w:leader="none"/>
        </w:tabs>
        <w:spacing w:before="87"/>
        <w:ind w:left="327" w:right="5978"/>
      </w:pPr>
      <w:r>
        <w:rPr>
          <w:spacing w:val="-3"/>
        </w:rPr>
        <w:t>TOTAL </w:t>
      </w:r>
      <w:r>
        <w:rPr/>
        <w:t>REMUNERATION</w:t>
      </w:r>
      <w:r>
        <w:rPr>
          <w:spacing w:val="-3"/>
        </w:rPr>
        <w:t> </w:t>
      </w:r>
      <w:r>
        <w:rPr/>
        <w:t>PACKAGE</w:t>
        <w:tab/>
        <w:t>$529,726</w:t>
      </w:r>
    </w:p>
    <w:p>
      <w:pPr>
        <w:pStyle w:val="BodyText"/>
        <w:tabs>
          <w:tab w:pos="3766" w:val="left" w:leader="none"/>
        </w:tabs>
        <w:spacing w:before="95"/>
        <w:ind w:left="327" w:right="5978"/>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right="503"/>
      </w:pPr>
      <w:r>
        <w:rPr/>
        <w:t>RESULTS</w:t>
        <w:tab/>
        <w:t>Met all</w:t>
      </w:r>
      <w:r>
        <w:rPr>
          <w:spacing w:val="-35"/>
        </w:rPr>
        <w:t> </w:t>
      </w:r>
      <w:r>
        <w:rPr/>
        <w:t>objectives</w:t>
      </w:r>
    </w:p>
    <w:p>
      <w:pPr>
        <w:pStyle w:val="BodyText"/>
        <w:spacing w:before="5"/>
        <w:rPr>
          <w:sz w:val="26"/>
        </w:rPr>
      </w:pPr>
    </w:p>
    <w:p>
      <w:pPr>
        <w:pStyle w:val="Heading7"/>
        <w:spacing w:before="72"/>
        <w:ind w:left="327" w:right="7611"/>
      </w:pPr>
      <w:r>
        <w:rPr>
          <w:w w:val="95"/>
        </w:rPr>
        <w:t>MR PETER PICKERING</w:t>
      </w:r>
    </w:p>
    <w:p>
      <w:pPr>
        <w:pStyle w:val="BodyText"/>
        <w:tabs>
          <w:tab w:pos="3766" w:val="left" w:leader="none"/>
        </w:tabs>
        <w:spacing w:before="89"/>
        <w:ind w:left="327" w:right="503"/>
      </w:pPr>
      <w:r>
        <w:rPr/>
        <w:t>POSITION</w:t>
        <w:tab/>
        <w:t>Vice-President</w:t>
      </w:r>
      <w:r>
        <w:rPr>
          <w:spacing w:val="-16"/>
        </w:rPr>
        <w:t> </w:t>
      </w:r>
      <w:r>
        <w:rPr/>
        <w:t>(Finance</w:t>
      </w:r>
      <w:r>
        <w:rPr>
          <w:spacing w:val="-16"/>
        </w:rPr>
        <w:t> </w:t>
      </w:r>
      <w:r>
        <w:rPr/>
        <w:t>and</w:t>
      </w:r>
      <w:r>
        <w:rPr>
          <w:spacing w:val="-16"/>
        </w:rPr>
        <w:t> </w:t>
      </w:r>
      <w:r>
        <w:rPr/>
        <w:t>Resources)</w:t>
      </w:r>
    </w:p>
    <w:p>
      <w:pPr>
        <w:pStyle w:val="BodyText"/>
        <w:tabs>
          <w:tab w:pos="3766" w:val="left" w:leader="none"/>
        </w:tabs>
        <w:spacing w:before="95"/>
        <w:ind w:left="327" w:right="5978"/>
      </w:pPr>
      <w:r>
        <w:rPr>
          <w:spacing w:val="-3"/>
        </w:rPr>
        <w:t>TOTAL </w:t>
      </w:r>
      <w:r>
        <w:rPr/>
        <w:t>REMUNERATION</w:t>
      </w:r>
      <w:r>
        <w:rPr>
          <w:spacing w:val="-3"/>
        </w:rPr>
        <w:t> </w:t>
      </w:r>
      <w:r>
        <w:rPr/>
        <w:t>PACKAGE</w:t>
        <w:tab/>
      </w:r>
      <w:r>
        <w:rPr>
          <w:spacing w:val="2"/>
        </w:rPr>
        <w:t>$495,090</w:t>
      </w:r>
    </w:p>
    <w:p>
      <w:pPr>
        <w:pStyle w:val="BodyText"/>
        <w:tabs>
          <w:tab w:pos="3766" w:val="left" w:leader="none"/>
        </w:tabs>
        <w:spacing w:before="95"/>
        <w:ind w:left="327" w:right="5978"/>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right="503"/>
      </w:pPr>
      <w:r>
        <w:rPr/>
        <w:t>RESULTS</w:t>
        <w:tab/>
        <w:t>Met all</w:t>
      </w:r>
      <w:r>
        <w:rPr>
          <w:spacing w:val="-35"/>
        </w:rPr>
        <w:t> </w:t>
      </w:r>
      <w:r>
        <w:rPr/>
        <w:t>objectives</w:t>
      </w:r>
    </w:p>
    <w:p>
      <w:pPr>
        <w:pStyle w:val="BodyText"/>
        <w:spacing w:before="5"/>
        <w:rPr>
          <w:sz w:val="26"/>
        </w:rPr>
      </w:pPr>
    </w:p>
    <w:p>
      <w:pPr>
        <w:pStyle w:val="Heading7"/>
        <w:spacing w:before="72"/>
        <w:ind w:left="327" w:right="7611"/>
      </w:pPr>
      <w:r>
        <w:rPr>
          <w:w w:val="95"/>
        </w:rPr>
        <w:t>MR ANGELO KOURTIS</w:t>
      </w:r>
    </w:p>
    <w:p>
      <w:pPr>
        <w:pStyle w:val="BodyText"/>
        <w:tabs>
          <w:tab w:pos="3766" w:val="left" w:leader="none"/>
        </w:tabs>
        <w:spacing w:before="89"/>
        <w:ind w:left="327" w:right="503"/>
      </w:pPr>
      <w:r>
        <w:rPr/>
        <w:t>POSITION</w:t>
        <w:tab/>
        <w:t>Vice-President (People and</w:t>
      </w:r>
      <w:r>
        <w:rPr>
          <w:spacing w:val="-15"/>
        </w:rPr>
        <w:t> </w:t>
      </w:r>
      <w:r>
        <w:rPr/>
        <w:t>Advancement)</w:t>
      </w:r>
    </w:p>
    <w:p>
      <w:pPr>
        <w:pStyle w:val="BodyText"/>
        <w:tabs>
          <w:tab w:pos="3766" w:val="left" w:leader="none"/>
        </w:tabs>
        <w:spacing w:before="95"/>
        <w:ind w:left="327" w:right="5978"/>
      </w:pPr>
      <w:r>
        <w:rPr>
          <w:spacing w:val="-3"/>
        </w:rPr>
        <w:t>TOTAL </w:t>
      </w:r>
      <w:r>
        <w:rPr/>
        <w:t>REMUNERATION</w:t>
      </w:r>
      <w:r>
        <w:rPr>
          <w:spacing w:val="-3"/>
        </w:rPr>
        <w:t> </w:t>
      </w:r>
      <w:r>
        <w:rPr/>
        <w:t>PACKAGE</w:t>
        <w:tab/>
        <w:t>$470,335</w:t>
      </w:r>
    </w:p>
    <w:p>
      <w:pPr>
        <w:pStyle w:val="BodyText"/>
        <w:tabs>
          <w:tab w:pos="3766" w:val="left" w:leader="none"/>
        </w:tabs>
        <w:spacing w:before="95"/>
        <w:ind w:left="327" w:right="5978"/>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right="503"/>
      </w:pPr>
      <w:r>
        <w:rPr/>
        <w:t>RESULTS</w:t>
        <w:tab/>
        <w:t>Met all</w:t>
      </w:r>
      <w:r>
        <w:rPr>
          <w:spacing w:val="-35"/>
        </w:rPr>
        <w:t> </w:t>
      </w:r>
      <w:r>
        <w:rPr/>
        <w:t>objectives</w:t>
      </w:r>
    </w:p>
    <w:p>
      <w:pPr>
        <w:spacing w:after="0"/>
        <w:sectPr>
          <w:type w:val="continuous"/>
          <w:pgSz w:w="11910" w:h="16840"/>
          <w:pgMar w:top="1580" w:bottom="280" w:left="580" w:right="580"/>
        </w:sectPr>
      </w:pPr>
    </w:p>
    <w:p>
      <w:pPr>
        <w:pStyle w:val="BodyText"/>
        <w:spacing w:before="6"/>
        <w:rPr>
          <w:sz w:val="28"/>
        </w:rPr>
      </w:pPr>
    </w:p>
    <w:p>
      <w:pPr>
        <w:pStyle w:val="Heading1"/>
      </w:pPr>
      <w:bookmarkStart w:name="_TOC_250011" w:id="43"/>
      <w:bookmarkEnd w:id="43"/>
      <w:r>
        <w:rPr>
          <w:w w:val="95"/>
        </w:rPr>
        <w:t>APPENDIX 7</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503"/>
      </w:pPr>
      <w:bookmarkStart w:name="_TOC_250010" w:id="44"/>
      <w:bookmarkEnd w:id="44"/>
      <w:r>
        <w:rPr>
          <w:w w:val="95"/>
        </w:rPr>
        <w:t>PRINCIPAL OFFICERS OF THE UNIVERSITY</w:t>
      </w:r>
    </w:p>
    <w:p>
      <w:pPr>
        <w:pStyle w:val="BodyText"/>
        <w:spacing w:before="11"/>
        <w:rPr>
          <w:rFonts w:ascii="Gotham Narrow Bold"/>
          <w:b/>
          <w:sz w:val="11"/>
        </w:rPr>
      </w:pPr>
    </w:p>
    <w:p>
      <w:pPr>
        <w:spacing w:after="0"/>
        <w:rPr>
          <w:rFonts w:ascii="Gotham Narrow Bold"/>
          <w:sz w:val="11"/>
        </w:rPr>
        <w:sectPr>
          <w:pgSz w:w="11910" w:h="16840"/>
          <w:pgMar w:header="496" w:footer="472" w:top="680" w:bottom="660" w:left="580" w:right="580"/>
        </w:sectPr>
      </w:pPr>
    </w:p>
    <w:p>
      <w:pPr>
        <w:pStyle w:val="Heading7"/>
        <w:spacing w:before="72"/>
        <w:ind w:left="327" w:right="-4"/>
      </w:pPr>
      <w:r>
        <w:rPr/>
        <w:t>CHANCELLOR</w:t>
      </w:r>
    </w:p>
    <w:p>
      <w:pPr>
        <w:pStyle w:val="BodyText"/>
        <w:spacing w:before="94"/>
        <w:ind w:left="327" w:right="-4"/>
        <w:rPr>
          <w:rFonts w:ascii="Calibri"/>
        </w:rPr>
      </w:pPr>
      <w:r>
        <w:rPr>
          <w:rFonts w:ascii="Calibri"/>
          <w:w w:val="110"/>
        </w:rPr>
        <w:t>Professor Peter Shergold AC</w:t>
      </w:r>
    </w:p>
    <w:p>
      <w:pPr>
        <w:pStyle w:val="BodyText"/>
        <w:spacing w:line="244" w:lineRule="auto" w:before="24"/>
        <w:ind w:left="525" w:right="180" w:hanging="199"/>
      </w:pPr>
      <w:r>
        <w:rPr>
          <w:rFonts w:ascii="Century Gothic" w:hAnsi="Century Gothic"/>
          <w:b/>
          <w:w w:val="115"/>
        </w:rPr>
        <w:t>≥</w:t>
      </w:r>
      <w:r>
        <w:rPr>
          <w:rFonts w:ascii="Century Gothic" w:hAnsi="Century Gothic"/>
          <w:b/>
          <w:spacing w:val="-5"/>
          <w:w w:val="115"/>
        </w:rPr>
        <w:t> </w:t>
      </w:r>
      <w:r>
        <w:rPr>
          <w:w w:val="105"/>
        </w:rPr>
        <w:t>PhD,</w:t>
      </w:r>
      <w:r>
        <w:rPr>
          <w:spacing w:val="-28"/>
          <w:w w:val="105"/>
        </w:rPr>
        <w:t> </w:t>
      </w:r>
      <w:r>
        <w:rPr>
          <w:w w:val="105"/>
        </w:rPr>
        <w:t>London</w:t>
      </w:r>
      <w:r>
        <w:rPr>
          <w:spacing w:val="-28"/>
          <w:w w:val="105"/>
        </w:rPr>
        <w:t> </w:t>
      </w:r>
      <w:r>
        <w:rPr>
          <w:w w:val="105"/>
        </w:rPr>
        <w:t>School</w:t>
      </w:r>
      <w:r>
        <w:rPr>
          <w:spacing w:val="-28"/>
          <w:w w:val="105"/>
        </w:rPr>
        <w:t> </w:t>
      </w:r>
      <w:r>
        <w:rPr>
          <w:w w:val="105"/>
        </w:rPr>
        <w:t>of</w:t>
      </w:r>
      <w:r>
        <w:rPr>
          <w:spacing w:val="-28"/>
          <w:w w:val="105"/>
        </w:rPr>
        <w:t> </w:t>
      </w:r>
      <w:r>
        <w:rPr>
          <w:w w:val="105"/>
        </w:rPr>
        <w:t>Economics</w:t>
      </w:r>
      <w:r>
        <w:rPr>
          <w:spacing w:val="-28"/>
          <w:w w:val="105"/>
        </w:rPr>
        <w:t> </w:t>
      </w:r>
      <w:r>
        <w:rPr>
          <w:w w:val="105"/>
        </w:rPr>
        <w:t>and </w:t>
      </w:r>
      <w:r>
        <w:rPr/>
        <w:t>Political</w:t>
      </w:r>
      <w:r>
        <w:rPr>
          <w:spacing w:val="-7"/>
        </w:rPr>
        <w:t> </w:t>
      </w:r>
      <w:r>
        <w:rPr/>
        <w:t>Science</w:t>
      </w:r>
    </w:p>
    <w:p>
      <w:pPr>
        <w:pStyle w:val="BodyText"/>
        <w:spacing w:before="58"/>
        <w:ind w:left="327" w:right="-4"/>
      </w:pPr>
      <w:r>
        <w:rPr>
          <w:rFonts w:ascii="Century Gothic" w:hAnsi="Century Gothic"/>
          <w:b/>
          <w:w w:val="115"/>
        </w:rPr>
        <w:t>≥ </w:t>
      </w:r>
      <w:r>
        <w:rPr>
          <w:w w:val="105"/>
        </w:rPr>
        <w:t>MA, University of Illinois</w:t>
      </w:r>
    </w:p>
    <w:p>
      <w:pPr>
        <w:pStyle w:val="BodyText"/>
        <w:spacing w:before="60"/>
        <w:ind w:left="327" w:right="-4"/>
      </w:pPr>
      <w:r>
        <w:rPr>
          <w:rFonts w:ascii="Century Gothic" w:hAnsi="Century Gothic"/>
          <w:b/>
          <w:w w:val="115"/>
        </w:rPr>
        <w:t>≥ </w:t>
      </w:r>
      <w:r>
        <w:rPr>
          <w:w w:val="105"/>
        </w:rPr>
        <w:t>BA (Hons), University of Hull</w:t>
      </w:r>
    </w:p>
    <w:p>
      <w:pPr>
        <w:pStyle w:val="BodyText"/>
        <w:spacing w:line="244" w:lineRule="auto" w:before="60"/>
        <w:ind w:left="525" w:right="-6" w:hanging="199"/>
      </w:pPr>
      <w:r>
        <w:rPr>
          <w:rFonts w:ascii="Century Gothic" w:hAnsi="Century Gothic"/>
          <w:b/>
          <w:w w:val="115"/>
        </w:rPr>
        <w:t>≥</w:t>
      </w:r>
      <w:r>
        <w:rPr>
          <w:rFonts w:ascii="Century Gothic" w:hAnsi="Century Gothic"/>
          <w:b/>
          <w:spacing w:val="-2"/>
          <w:w w:val="115"/>
        </w:rPr>
        <w:t> </w:t>
      </w:r>
      <w:r>
        <w:rPr>
          <w:w w:val="105"/>
        </w:rPr>
        <w:t>Fellow</w:t>
      </w:r>
      <w:r>
        <w:rPr>
          <w:spacing w:val="-26"/>
          <w:w w:val="105"/>
        </w:rPr>
        <w:t> </w:t>
      </w:r>
      <w:r>
        <w:rPr>
          <w:w w:val="105"/>
        </w:rPr>
        <w:t>of</w:t>
      </w:r>
      <w:r>
        <w:rPr>
          <w:spacing w:val="-26"/>
          <w:w w:val="105"/>
        </w:rPr>
        <w:t> </w:t>
      </w:r>
      <w:r>
        <w:rPr>
          <w:w w:val="105"/>
        </w:rPr>
        <w:t>the</w:t>
      </w:r>
      <w:r>
        <w:rPr>
          <w:spacing w:val="-26"/>
          <w:w w:val="105"/>
        </w:rPr>
        <w:t> </w:t>
      </w:r>
      <w:r>
        <w:rPr>
          <w:w w:val="105"/>
        </w:rPr>
        <w:t>Academy</w:t>
      </w:r>
      <w:r>
        <w:rPr>
          <w:spacing w:val="-26"/>
          <w:w w:val="105"/>
        </w:rPr>
        <w:t> </w:t>
      </w:r>
      <w:r>
        <w:rPr>
          <w:w w:val="105"/>
        </w:rPr>
        <w:t>of</w:t>
      </w:r>
      <w:r>
        <w:rPr>
          <w:spacing w:val="-26"/>
          <w:w w:val="105"/>
        </w:rPr>
        <w:t> </w:t>
      </w:r>
      <w:r>
        <w:rPr>
          <w:w w:val="105"/>
        </w:rPr>
        <w:t>Social</w:t>
      </w:r>
      <w:r>
        <w:rPr>
          <w:spacing w:val="-26"/>
          <w:w w:val="105"/>
        </w:rPr>
        <w:t> </w:t>
      </w:r>
      <w:r>
        <w:rPr>
          <w:w w:val="105"/>
        </w:rPr>
        <w:t>Sciences </w:t>
      </w:r>
      <w:r>
        <w:rPr/>
        <w:t>in</w:t>
      </w:r>
      <w:r>
        <w:rPr>
          <w:spacing w:val="-16"/>
        </w:rPr>
        <w:t> </w:t>
      </w:r>
      <w:r>
        <w:rPr/>
        <w:t>Australia</w:t>
      </w:r>
    </w:p>
    <w:p>
      <w:pPr>
        <w:pStyle w:val="Heading7"/>
        <w:spacing w:line="249" w:lineRule="auto" w:before="72"/>
        <w:ind w:left="327" w:right="631"/>
      </w:pPr>
      <w:r>
        <w:rPr>
          <w:b w:val="0"/>
        </w:rPr>
        <w:br w:type="column"/>
      </w:r>
      <w:r>
        <w:rPr>
          <w:w w:val="95"/>
        </w:rPr>
        <w:t>DEPUTY VICE-CHANCELLOR AND VICE-PRESIDENT (ACADEMIC)</w:t>
      </w:r>
    </w:p>
    <w:p>
      <w:pPr>
        <w:pStyle w:val="BodyText"/>
        <w:spacing w:before="86"/>
        <w:ind w:left="327" w:right="631"/>
        <w:rPr>
          <w:rFonts w:ascii="Calibri"/>
        </w:rPr>
      </w:pPr>
      <w:r>
        <w:rPr>
          <w:rFonts w:ascii="Calibri"/>
          <w:w w:val="110"/>
        </w:rPr>
        <w:t>Professor Denise Kirkpatrick</w:t>
      </w:r>
    </w:p>
    <w:p>
      <w:pPr>
        <w:pStyle w:val="BodyText"/>
        <w:spacing w:before="24"/>
        <w:ind w:left="327" w:right="631"/>
      </w:pPr>
      <w:r>
        <w:rPr>
          <w:rFonts w:ascii="Century Gothic" w:hAnsi="Century Gothic"/>
          <w:b/>
          <w:w w:val="115"/>
        </w:rPr>
        <w:t>≥ </w:t>
      </w:r>
      <w:r>
        <w:rPr>
          <w:w w:val="105"/>
        </w:rPr>
        <w:t>PhD, Edith Cowan University</w:t>
      </w:r>
    </w:p>
    <w:p>
      <w:pPr>
        <w:pStyle w:val="BodyText"/>
        <w:spacing w:before="60"/>
        <w:ind w:left="327" w:right="-4"/>
      </w:pPr>
      <w:r>
        <w:rPr>
          <w:rFonts w:ascii="Century Gothic" w:hAnsi="Century Gothic"/>
          <w:b/>
          <w:w w:val="115"/>
        </w:rPr>
        <w:t>≥ </w:t>
      </w:r>
      <w:r>
        <w:rPr>
          <w:w w:val="105"/>
        </w:rPr>
        <w:t>MEd, University of Western Australia</w:t>
      </w:r>
    </w:p>
    <w:p>
      <w:pPr>
        <w:pStyle w:val="BodyText"/>
        <w:spacing w:line="244" w:lineRule="auto" w:before="60"/>
        <w:ind w:left="525" w:right="553" w:hanging="199"/>
      </w:pPr>
      <w:r>
        <w:rPr>
          <w:rFonts w:ascii="Century Gothic" w:hAnsi="Century Gothic"/>
          <w:b/>
          <w:w w:val="115"/>
        </w:rPr>
        <w:t>≥</w:t>
      </w:r>
      <w:r>
        <w:rPr>
          <w:rFonts w:ascii="Century Gothic" w:hAnsi="Century Gothic"/>
          <w:b/>
          <w:spacing w:val="-10"/>
          <w:w w:val="115"/>
        </w:rPr>
        <w:t> </w:t>
      </w:r>
      <w:r>
        <w:rPr>
          <w:w w:val="105"/>
        </w:rPr>
        <w:t>BEd,</w:t>
      </w:r>
      <w:r>
        <w:rPr>
          <w:spacing w:val="-30"/>
          <w:w w:val="105"/>
        </w:rPr>
        <w:t> </w:t>
      </w:r>
      <w:r>
        <w:rPr>
          <w:w w:val="105"/>
        </w:rPr>
        <w:t>Western</w:t>
      </w:r>
      <w:r>
        <w:rPr>
          <w:spacing w:val="-30"/>
          <w:w w:val="105"/>
        </w:rPr>
        <w:t> </w:t>
      </w:r>
      <w:r>
        <w:rPr>
          <w:w w:val="105"/>
        </w:rPr>
        <w:t>Australian</w:t>
      </w:r>
      <w:r>
        <w:rPr>
          <w:spacing w:val="-30"/>
          <w:w w:val="105"/>
        </w:rPr>
        <w:t> </w:t>
      </w:r>
      <w:r>
        <w:rPr>
          <w:w w:val="105"/>
        </w:rPr>
        <w:t>College </w:t>
      </w:r>
      <w:r>
        <w:rPr/>
        <w:t>of Advanced</w:t>
      </w:r>
      <w:r>
        <w:rPr>
          <w:spacing w:val="-7"/>
        </w:rPr>
        <w:t> </w:t>
      </w:r>
      <w:r>
        <w:rPr/>
        <w:t>Education</w:t>
      </w:r>
    </w:p>
    <w:p>
      <w:pPr>
        <w:pStyle w:val="BodyText"/>
        <w:spacing w:line="244" w:lineRule="auto" w:before="58"/>
        <w:ind w:left="525" w:right="-4" w:hanging="199"/>
      </w:pPr>
      <w:r>
        <w:rPr>
          <w:rFonts w:ascii="Century Gothic" w:hAnsi="Century Gothic"/>
          <w:b/>
          <w:w w:val="115"/>
        </w:rPr>
        <w:t>≥ </w:t>
      </w:r>
      <w:r>
        <w:rPr/>
        <w:t>DipTeaching, Western Australian</w:t>
      </w:r>
      <w:r>
        <w:rPr>
          <w:spacing w:val="-29"/>
        </w:rPr>
        <w:t> </w:t>
      </w:r>
      <w:r>
        <w:rPr/>
        <w:t>College of Advanced</w:t>
      </w:r>
      <w:r>
        <w:rPr>
          <w:spacing w:val="-7"/>
        </w:rPr>
        <w:t> </w:t>
      </w:r>
      <w:r>
        <w:rPr/>
        <w:t>Education</w:t>
      </w:r>
    </w:p>
    <w:p>
      <w:pPr>
        <w:pStyle w:val="Heading7"/>
        <w:spacing w:before="72"/>
        <w:ind w:left="327" w:right="793"/>
      </w:pPr>
      <w:r>
        <w:rPr>
          <w:b w:val="0"/>
        </w:rPr>
        <w:br w:type="column"/>
      </w:r>
      <w:r>
        <w:rPr/>
        <w:t>VICE-PRESIDENT</w:t>
      </w:r>
    </w:p>
    <w:p>
      <w:pPr>
        <w:spacing w:before="8"/>
        <w:ind w:left="327" w:right="793" w:firstLine="0"/>
        <w:jc w:val="left"/>
        <w:rPr>
          <w:rFonts w:ascii="Gotham Narrow Bold"/>
          <w:b/>
          <w:sz w:val="16"/>
        </w:rPr>
      </w:pPr>
      <w:r>
        <w:rPr>
          <w:rFonts w:ascii="Gotham Narrow Bold"/>
          <w:b/>
          <w:w w:val="95"/>
          <w:sz w:val="16"/>
        </w:rPr>
        <w:t>(FINANCE AND RESOURCES)</w:t>
      </w:r>
    </w:p>
    <w:p>
      <w:pPr>
        <w:pStyle w:val="BodyText"/>
        <w:spacing w:before="94"/>
        <w:ind w:left="327" w:right="793"/>
        <w:rPr>
          <w:rFonts w:ascii="Calibri"/>
        </w:rPr>
      </w:pPr>
      <w:r>
        <w:rPr>
          <w:rFonts w:ascii="Calibri"/>
          <w:w w:val="110"/>
        </w:rPr>
        <w:t>Mr Peter Pickering</w:t>
      </w:r>
    </w:p>
    <w:p>
      <w:pPr>
        <w:pStyle w:val="BodyText"/>
        <w:spacing w:before="24"/>
        <w:ind w:left="327" w:right="59"/>
      </w:pPr>
      <w:r>
        <w:rPr>
          <w:rFonts w:ascii="Century Gothic" w:hAnsi="Century Gothic"/>
          <w:b/>
          <w:w w:val="115"/>
        </w:rPr>
        <w:t>≥ </w:t>
      </w:r>
      <w:r>
        <w:rPr>
          <w:w w:val="105"/>
        </w:rPr>
        <w:t>BCom (Hons), University of Newcastle</w:t>
      </w:r>
    </w:p>
    <w:p>
      <w:pPr>
        <w:pStyle w:val="BodyText"/>
        <w:spacing w:before="60"/>
        <w:ind w:left="327" w:right="793"/>
      </w:pPr>
      <w:r>
        <w:rPr>
          <w:rFonts w:ascii="Century Gothic" w:hAnsi="Century Gothic"/>
          <w:b/>
          <w:w w:val="115"/>
        </w:rPr>
        <w:t>≥ </w:t>
      </w:r>
      <w:r>
        <w:rPr>
          <w:w w:val="105"/>
        </w:rPr>
        <w:t>DipCM, AGSM</w:t>
      </w:r>
    </w:p>
    <w:p>
      <w:pPr>
        <w:pStyle w:val="BodyText"/>
        <w:spacing w:line="244" w:lineRule="auto" w:before="60"/>
        <w:ind w:left="525" w:right="435" w:hanging="199"/>
      </w:pPr>
      <w:r>
        <w:rPr>
          <w:rFonts w:ascii="Century Gothic" w:hAnsi="Century Gothic"/>
          <w:b/>
          <w:w w:val="115"/>
        </w:rPr>
        <w:t>≥</w:t>
      </w:r>
      <w:r>
        <w:rPr>
          <w:rFonts w:ascii="Century Gothic" w:hAnsi="Century Gothic"/>
          <w:b/>
          <w:spacing w:val="-2"/>
          <w:w w:val="115"/>
        </w:rPr>
        <w:t> </w:t>
      </w:r>
      <w:r>
        <w:rPr>
          <w:w w:val="105"/>
        </w:rPr>
        <w:t>Fellow</w:t>
      </w:r>
      <w:r>
        <w:rPr>
          <w:spacing w:val="-26"/>
          <w:w w:val="105"/>
        </w:rPr>
        <w:t> </w:t>
      </w:r>
      <w:r>
        <w:rPr>
          <w:w w:val="105"/>
        </w:rPr>
        <w:t>of</w:t>
      </w:r>
      <w:r>
        <w:rPr>
          <w:spacing w:val="-26"/>
          <w:w w:val="105"/>
        </w:rPr>
        <w:t> </w:t>
      </w:r>
      <w:r>
        <w:rPr>
          <w:w w:val="105"/>
        </w:rPr>
        <w:t>the</w:t>
      </w:r>
      <w:r>
        <w:rPr>
          <w:spacing w:val="-26"/>
          <w:w w:val="105"/>
        </w:rPr>
        <w:t> </w:t>
      </w:r>
      <w:r>
        <w:rPr>
          <w:w w:val="105"/>
        </w:rPr>
        <w:t>Certified</w:t>
      </w:r>
      <w:r>
        <w:rPr>
          <w:spacing w:val="-26"/>
          <w:w w:val="105"/>
        </w:rPr>
        <w:t> </w:t>
      </w:r>
      <w:r>
        <w:rPr>
          <w:w w:val="105"/>
        </w:rPr>
        <w:t>Public</w:t>
      </w:r>
      <w:r>
        <w:rPr>
          <w:spacing w:val="-26"/>
          <w:w w:val="105"/>
        </w:rPr>
        <w:t> </w:t>
      </w:r>
      <w:r>
        <w:rPr>
          <w:w w:val="105"/>
        </w:rPr>
        <w:t>Accountants of</w:t>
      </w:r>
      <w:r>
        <w:rPr>
          <w:spacing w:val="-38"/>
          <w:w w:val="105"/>
        </w:rPr>
        <w:t> </w:t>
      </w:r>
      <w:r>
        <w:rPr>
          <w:w w:val="105"/>
        </w:rPr>
        <w:t>Australia</w:t>
      </w:r>
      <w:r>
        <w:rPr>
          <w:spacing w:val="-38"/>
          <w:w w:val="105"/>
        </w:rPr>
        <w:t> </w:t>
      </w:r>
      <w:r>
        <w:rPr>
          <w:w w:val="105"/>
        </w:rPr>
        <w:t>(FCPA)</w:t>
      </w:r>
    </w:p>
    <w:p>
      <w:pPr>
        <w:pStyle w:val="BodyText"/>
        <w:spacing w:line="244" w:lineRule="auto" w:before="58"/>
        <w:ind w:left="525" w:right="59" w:hanging="199"/>
      </w:pPr>
      <w:r>
        <w:rPr>
          <w:rFonts w:ascii="Century Gothic" w:hAnsi="Century Gothic"/>
          <w:b/>
          <w:w w:val="115"/>
        </w:rPr>
        <w:t>≥ </w:t>
      </w:r>
      <w:r>
        <w:rPr>
          <w:w w:val="105"/>
        </w:rPr>
        <w:t>Fellow of the Chartered Institute of </w:t>
      </w:r>
      <w:r>
        <w:rPr/>
        <w:t>Secretaries and Administrators (FCIS)</w:t>
      </w:r>
    </w:p>
    <w:p>
      <w:pPr>
        <w:spacing w:after="0" w:line="244" w:lineRule="auto"/>
        <w:sectPr>
          <w:type w:val="continuous"/>
          <w:pgSz w:w="11910" w:h="16840"/>
          <w:pgMar w:top="1580" w:bottom="280" w:left="580" w:right="580"/>
          <w:cols w:num="3" w:equalWidth="0">
            <w:col w:w="3379" w:space="61"/>
            <w:col w:w="3332" w:space="107"/>
            <w:col w:w="3871"/>
          </w:cols>
        </w:sectPr>
      </w:pPr>
    </w:p>
    <w:p>
      <w:pPr>
        <w:pStyle w:val="BodyText"/>
        <w:spacing w:before="4"/>
        <w:rPr>
          <w:sz w:val="12"/>
        </w:rPr>
      </w:pPr>
    </w:p>
    <w:p>
      <w:pPr>
        <w:pStyle w:val="Heading7"/>
        <w:tabs>
          <w:tab w:pos="3766" w:val="left" w:leader="none"/>
          <w:tab w:pos="6978" w:val="left" w:leader="none"/>
        </w:tabs>
        <w:spacing w:before="1"/>
        <w:ind w:left="327" w:right="0"/>
      </w:pPr>
      <w:r>
        <w:rPr>
          <w:w w:val="95"/>
        </w:rPr>
        <w:t>VICE-CHANCELLOR AND</w:t>
      </w:r>
      <w:r>
        <w:rPr>
          <w:spacing w:val="3"/>
          <w:w w:val="95"/>
        </w:rPr>
        <w:t> </w:t>
      </w:r>
      <w:r>
        <w:rPr>
          <w:w w:val="95"/>
        </w:rPr>
        <w:t>PRESIDENT</w:t>
      </w:r>
      <w:r>
        <w:rPr/>
        <w:tab/>
      </w:r>
      <w:r>
        <w:rPr>
          <w:w w:val="89"/>
          <w:u w:val="thick"/>
        </w:rPr>
        <w:t> </w:t>
      </w:r>
      <w:r>
        <w:rPr>
          <w:u w:val="thick"/>
        </w:rPr>
        <w:tab/>
      </w:r>
    </w:p>
    <w:p>
      <w:pPr>
        <w:pStyle w:val="BodyText"/>
        <w:spacing w:line="190" w:lineRule="atLeast" w:before="58"/>
        <w:ind w:left="385" w:right="1097" w:hanging="199"/>
      </w:pPr>
      <w:r>
        <w:rPr/>
        <w:br w:type="column"/>
      </w:r>
      <w:r>
        <w:rPr>
          <w:rFonts w:ascii="Century Gothic" w:hAnsi="Century Gothic"/>
          <w:b/>
          <w:w w:val="115"/>
        </w:rPr>
        <w:t>≥</w:t>
      </w:r>
      <w:r>
        <w:rPr>
          <w:rFonts w:ascii="Century Gothic" w:hAnsi="Century Gothic"/>
          <w:b/>
          <w:spacing w:val="-13"/>
          <w:w w:val="115"/>
        </w:rPr>
        <w:t> </w:t>
      </w:r>
      <w:r>
        <w:rPr>
          <w:w w:val="105"/>
        </w:rPr>
        <w:t>Fellow</w:t>
      </w:r>
      <w:r>
        <w:rPr>
          <w:spacing w:val="-32"/>
          <w:w w:val="105"/>
        </w:rPr>
        <w:t> </w:t>
      </w:r>
      <w:r>
        <w:rPr>
          <w:w w:val="105"/>
        </w:rPr>
        <w:t>of</w:t>
      </w:r>
      <w:r>
        <w:rPr>
          <w:spacing w:val="-32"/>
          <w:w w:val="105"/>
        </w:rPr>
        <w:t> </w:t>
      </w:r>
      <w:r>
        <w:rPr>
          <w:w w:val="105"/>
        </w:rPr>
        <w:t>the</w:t>
      </w:r>
      <w:r>
        <w:rPr>
          <w:spacing w:val="-32"/>
          <w:w w:val="105"/>
        </w:rPr>
        <w:t> </w:t>
      </w:r>
      <w:r>
        <w:rPr>
          <w:w w:val="105"/>
        </w:rPr>
        <w:t>Australian</w:t>
      </w:r>
      <w:r>
        <w:rPr>
          <w:spacing w:val="-32"/>
          <w:w w:val="105"/>
        </w:rPr>
        <w:t> </w:t>
      </w:r>
      <w:r>
        <w:rPr>
          <w:w w:val="105"/>
        </w:rPr>
        <w:t>Institute </w:t>
      </w:r>
      <w:r>
        <w:rPr/>
        <w:t>of</w:t>
      </w:r>
      <w:r>
        <w:rPr>
          <w:spacing w:val="-16"/>
        </w:rPr>
        <w:t> </w:t>
      </w:r>
      <w:r>
        <w:rPr/>
        <w:t>Company</w:t>
      </w:r>
      <w:r>
        <w:rPr>
          <w:spacing w:val="-16"/>
        </w:rPr>
        <w:t> </w:t>
      </w:r>
      <w:r>
        <w:rPr/>
        <w:t>Directors</w:t>
      </w:r>
      <w:r>
        <w:rPr>
          <w:spacing w:val="-16"/>
        </w:rPr>
        <w:t> </w:t>
      </w:r>
      <w:r>
        <w:rPr/>
        <w:t>(FAICD)</w:t>
      </w:r>
    </w:p>
    <w:p>
      <w:pPr>
        <w:spacing w:after="0" w:line="190" w:lineRule="atLeast"/>
        <w:sectPr>
          <w:type w:val="continuous"/>
          <w:pgSz w:w="11910" w:h="16840"/>
          <w:pgMar w:top="1580" w:bottom="280" w:left="580" w:right="580"/>
          <w:cols w:num="2" w:equalWidth="0">
            <w:col w:w="6980" w:space="40"/>
            <w:col w:w="3730"/>
          </w:cols>
        </w:sectPr>
      </w:pPr>
    </w:p>
    <w:p>
      <w:pPr>
        <w:pStyle w:val="BodyText"/>
        <w:spacing w:line="179" w:lineRule="exact"/>
        <w:ind w:left="327" w:right="-15"/>
        <w:rPr>
          <w:rFonts w:ascii="Calibri"/>
        </w:rPr>
      </w:pPr>
      <w:r>
        <w:rPr>
          <w:rFonts w:ascii="Calibri"/>
          <w:w w:val="110"/>
        </w:rPr>
        <w:t>Professor Barney Glover</w:t>
      </w:r>
    </w:p>
    <w:p>
      <w:pPr>
        <w:pStyle w:val="Heading7"/>
        <w:spacing w:line="89" w:lineRule="exact"/>
        <w:ind w:left="327" w:right="0"/>
      </w:pPr>
      <w:r>
        <w:rPr>
          <w:b w:val="0"/>
        </w:rPr>
        <w:br w:type="column"/>
      </w:r>
      <w:r>
        <w:rPr>
          <w:w w:val="95"/>
        </w:rPr>
        <w:t>DEPUTY VICE-CHANCELLOR</w:t>
      </w:r>
    </w:p>
    <w:p>
      <w:pPr>
        <w:tabs>
          <w:tab w:pos="3766" w:val="left" w:leader="none"/>
          <w:tab w:pos="6978" w:val="left" w:leader="none"/>
        </w:tabs>
        <w:spacing w:line="136" w:lineRule="exact" w:before="8"/>
        <w:ind w:left="327" w:right="0" w:firstLine="0"/>
        <w:jc w:val="left"/>
        <w:rPr>
          <w:rFonts w:ascii="Gotham Narrow Bold"/>
          <w:b/>
          <w:sz w:val="16"/>
        </w:rPr>
      </w:pPr>
      <w:r>
        <w:rPr>
          <w:rFonts w:ascii="Gotham Narrow Bold"/>
          <w:b/>
          <w:w w:val="95"/>
          <w:sz w:val="16"/>
        </w:rPr>
        <w:t>AND</w:t>
      </w:r>
      <w:r>
        <w:rPr>
          <w:rFonts w:ascii="Gotham Narrow Bold"/>
          <w:b/>
          <w:spacing w:val="3"/>
          <w:w w:val="95"/>
          <w:sz w:val="16"/>
        </w:rPr>
        <w:t> </w:t>
      </w:r>
      <w:r>
        <w:rPr>
          <w:rFonts w:ascii="Gotham Narrow Bold"/>
          <w:b/>
          <w:w w:val="95"/>
          <w:sz w:val="16"/>
        </w:rPr>
        <w:t>VICE-PRESIDENT</w:t>
      </w:r>
      <w:r>
        <w:rPr>
          <w:rFonts w:ascii="Gotham Narrow Bold"/>
          <w:b/>
          <w:sz w:val="16"/>
        </w:rPr>
        <w:tab/>
      </w:r>
      <w:r>
        <w:rPr>
          <w:rFonts w:ascii="Gotham Narrow Bold"/>
          <w:b/>
          <w:w w:val="89"/>
          <w:sz w:val="16"/>
          <w:u w:val="thick"/>
        </w:rPr>
        <w:t> </w:t>
      </w:r>
      <w:r>
        <w:rPr>
          <w:rFonts w:ascii="Gotham Narrow Bold"/>
          <w:b/>
          <w:sz w:val="16"/>
          <w:u w:val="thick"/>
        </w:rPr>
        <w:tab/>
      </w:r>
    </w:p>
    <w:p>
      <w:pPr>
        <w:spacing w:after="0" w:line="136" w:lineRule="exact"/>
        <w:jc w:val="left"/>
        <w:rPr>
          <w:rFonts w:ascii="Gotham Narrow Bold"/>
          <w:sz w:val="16"/>
        </w:rPr>
        <w:sectPr>
          <w:type w:val="continuous"/>
          <w:pgSz w:w="11910" w:h="16840"/>
          <w:pgMar w:top="1580" w:bottom="280" w:left="580" w:right="580"/>
          <w:cols w:num="2" w:equalWidth="0">
            <w:col w:w="2064" w:space="1375"/>
            <w:col w:w="7311"/>
          </w:cols>
        </w:sectPr>
      </w:pPr>
    </w:p>
    <w:p>
      <w:pPr>
        <w:pStyle w:val="BodyText"/>
        <w:spacing w:line="166" w:lineRule="exact"/>
        <w:ind w:left="327" w:right="-5"/>
      </w:pPr>
      <w:r>
        <w:rPr/>
        <w:pict>
          <v:group style="position:absolute;margin-left:34.015999pt;margin-top:45.355015pt;width:527.25pt;height:751.2pt;mso-position-horizontal-relative:page;mso-position-vertical-relative:page;z-index:-334792" coordorigin="680,907" coordsize="10545,15024">
            <v:rect style="position:absolute;left:680;top:907;width:10545;height:15024" filled="true" fillcolor="#e9e9e9" stroked="false">
              <v:fill type="solid"/>
            </v:rect>
            <v:line style="position:absolute" from="907,5238" to="4120,5238" stroked="true" strokeweight="1.5pt" strokecolor="#000000"/>
            <v:line style="position:absolute" from="907,7462" to="4120,7462" stroked="true" strokeweight="1.5pt" strokecolor="#000000"/>
            <v:line style="position:absolute" from="907,9742" to="4120,9742" stroked="true" strokeweight="1.5pt" strokecolor="#000000"/>
            <v:line style="position:absolute" from="4346,5238" to="7559,5238" stroked="true" strokeweight="1.5pt" strokecolor="#000000"/>
            <v:line style="position:absolute" from="7786,5238" to="10998,5238" stroked="true" strokeweight="1.5pt" strokecolor="#000000"/>
            <w10:wrap type="none"/>
          </v:group>
        </w:pict>
      </w:r>
      <w:r>
        <w:rPr>
          <w:rFonts w:ascii="Century Gothic" w:hAnsi="Century Gothic"/>
          <w:b/>
          <w:w w:val="115"/>
        </w:rPr>
        <w:t>≥ </w:t>
      </w:r>
      <w:r>
        <w:rPr>
          <w:w w:val="105"/>
        </w:rPr>
        <w:t>PhD, University of Melbourne</w:t>
      </w:r>
    </w:p>
    <w:p>
      <w:pPr>
        <w:pStyle w:val="BodyText"/>
        <w:spacing w:before="60"/>
        <w:ind w:left="327" w:right="-5"/>
      </w:pPr>
      <w:r>
        <w:rPr>
          <w:rFonts w:ascii="Century Gothic" w:hAnsi="Century Gothic"/>
          <w:b/>
          <w:w w:val="115"/>
        </w:rPr>
        <w:t>≥ </w:t>
      </w:r>
      <w:r>
        <w:rPr>
          <w:w w:val="105"/>
        </w:rPr>
        <w:t>MSc, University of Melbourne</w:t>
      </w:r>
    </w:p>
    <w:p>
      <w:pPr>
        <w:pStyle w:val="BodyText"/>
        <w:spacing w:before="60"/>
        <w:ind w:left="327" w:right="-5"/>
      </w:pPr>
      <w:r>
        <w:rPr>
          <w:rFonts w:ascii="Century Gothic" w:hAnsi="Century Gothic"/>
          <w:b/>
          <w:w w:val="115"/>
        </w:rPr>
        <w:t>≥ </w:t>
      </w:r>
      <w:r>
        <w:rPr>
          <w:w w:val="105"/>
        </w:rPr>
        <w:t>BSc (Hons), University of Melbourne</w:t>
      </w:r>
    </w:p>
    <w:p>
      <w:pPr>
        <w:pStyle w:val="BodyText"/>
        <w:spacing w:before="60"/>
        <w:ind w:left="327" w:right="-5"/>
      </w:pPr>
      <w:r>
        <w:rPr>
          <w:rFonts w:ascii="Century Gothic" w:hAnsi="Century Gothic"/>
          <w:b/>
          <w:w w:val="115"/>
        </w:rPr>
        <w:t>≥ </w:t>
      </w:r>
      <w:r>
        <w:rPr>
          <w:w w:val="105"/>
        </w:rPr>
        <w:t>DipEd, University of Melbourne</w:t>
      </w:r>
    </w:p>
    <w:p>
      <w:pPr>
        <w:pStyle w:val="BodyText"/>
        <w:spacing w:line="244" w:lineRule="auto" w:before="60"/>
        <w:ind w:left="525" w:right="184" w:hanging="199"/>
      </w:pPr>
      <w:r>
        <w:rPr>
          <w:rFonts w:ascii="Century Gothic" w:hAnsi="Century Gothic"/>
          <w:b/>
          <w:w w:val="115"/>
        </w:rPr>
        <w:t>≥</w:t>
      </w:r>
      <w:r>
        <w:rPr>
          <w:rFonts w:ascii="Century Gothic" w:hAnsi="Century Gothic"/>
          <w:b/>
          <w:spacing w:val="-13"/>
          <w:w w:val="115"/>
        </w:rPr>
        <w:t> </w:t>
      </w:r>
      <w:r>
        <w:rPr>
          <w:w w:val="105"/>
        </w:rPr>
        <w:t>Member</w:t>
      </w:r>
      <w:r>
        <w:rPr>
          <w:spacing w:val="-32"/>
          <w:w w:val="105"/>
        </w:rPr>
        <w:t> </w:t>
      </w:r>
      <w:r>
        <w:rPr>
          <w:w w:val="105"/>
        </w:rPr>
        <w:t>of</w:t>
      </w:r>
      <w:r>
        <w:rPr>
          <w:spacing w:val="-32"/>
          <w:w w:val="105"/>
        </w:rPr>
        <w:t> </w:t>
      </w:r>
      <w:r>
        <w:rPr>
          <w:w w:val="105"/>
        </w:rPr>
        <w:t>the</w:t>
      </w:r>
      <w:r>
        <w:rPr>
          <w:spacing w:val="-32"/>
          <w:w w:val="105"/>
        </w:rPr>
        <w:t> </w:t>
      </w:r>
      <w:r>
        <w:rPr>
          <w:w w:val="105"/>
        </w:rPr>
        <w:t>Australian</w:t>
      </w:r>
      <w:r>
        <w:rPr>
          <w:spacing w:val="-32"/>
          <w:w w:val="105"/>
        </w:rPr>
        <w:t> </w:t>
      </w:r>
      <w:r>
        <w:rPr>
          <w:w w:val="105"/>
        </w:rPr>
        <w:t>Institute</w:t>
      </w:r>
      <w:r>
        <w:rPr>
          <w:spacing w:val="-32"/>
          <w:w w:val="105"/>
        </w:rPr>
        <w:t> </w:t>
      </w:r>
      <w:r>
        <w:rPr>
          <w:w w:val="105"/>
        </w:rPr>
        <w:t>of </w:t>
      </w:r>
      <w:r>
        <w:rPr/>
        <w:t>Company Directors</w:t>
      </w:r>
      <w:r>
        <w:rPr>
          <w:spacing w:val="-33"/>
        </w:rPr>
        <w:t> </w:t>
      </w:r>
      <w:r>
        <w:rPr/>
        <w:t>(MAICD)</w:t>
      </w:r>
    </w:p>
    <w:p>
      <w:pPr>
        <w:pStyle w:val="BodyText"/>
      </w:pPr>
    </w:p>
    <w:p>
      <w:pPr>
        <w:pStyle w:val="BodyText"/>
        <w:spacing w:before="11"/>
        <w:rPr>
          <w:sz w:val="12"/>
        </w:rPr>
      </w:pPr>
    </w:p>
    <w:p>
      <w:pPr>
        <w:pStyle w:val="Heading7"/>
        <w:ind w:left="327" w:right="-5"/>
      </w:pPr>
      <w:r>
        <w:rPr>
          <w:w w:val="95"/>
        </w:rPr>
        <w:t>CHAIR OF THE ACADEMIC SENATE</w:t>
      </w:r>
    </w:p>
    <w:p>
      <w:pPr>
        <w:pStyle w:val="BodyText"/>
        <w:spacing w:before="94"/>
        <w:ind w:left="327" w:right="-5"/>
        <w:rPr>
          <w:rFonts w:ascii="Calibri"/>
        </w:rPr>
      </w:pPr>
      <w:r>
        <w:rPr>
          <w:rFonts w:ascii="Calibri"/>
          <w:w w:val="110"/>
        </w:rPr>
        <w:t>Associate Professor Paul Wormell</w:t>
      </w:r>
    </w:p>
    <w:p>
      <w:pPr>
        <w:pStyle w:val="BodyText"/>
        <w:spacing w:before="24"/>
        <w:ind w:left="327" w:right="-5"/>
      </w:pPr>
      <w:r>
        <w:rPr>
          <w:rFonts w:ascii="Century Gothic" w:hAnsi="Century Gothic"/>
          <w:b/>
          <w:w w:val="115"/>
        </w:rPr>
        <w:t>≥ </w:t>
      </w:r>
      <w:r>
        <w:rPr>
          <w:w w:val="105"/>
        </w:rPr>
        <w:t>PhD, University of Sydney</w:t>
      </w:r>
    </w:p>
    <w:p>
      <w:pPr>
        <w:pStyle w:val="BodyText"/>
        <w:spacing w:before="60"/>
        <w:ind w:left="327" w:right="-5"/>
      </w:pPr>
      <w:r>
        <w:rPr>
          <w:rFonts w:ascii="Century Gothic" w:hAnsi="Century Gothic"/>
          <w:b/>
          <w:w w:val="115"/>
        </w:rPr>
        <w:t>≥ </w:t>
      </w:r>
      <w:r>
        <w:rPr>
          <w:w w:val="105"/>
        </w:rPr>
        <w:t>BSc, University of Sydney</w:t>
      </w:r>
    </w:p>
    <w:p>
      <w:pPr>
        <w:pStyle w:val="BodyText"/>
        <w:spacing w:line="244" w:lineRule="auto" w:before="60"/>
        <w:ind w:left="525" w:right="-5" w:hanging="199"/>
      </w:pPr>
      <w:r>
        <w:rPr>
          <w:rFonts w:ascii="Century Gothic" w:hAnsi="Century Gothic"/>
          <w:b/>
          <w:w w:val="115"/>
        </w:rPr>
        <w:t>≥</w:t>
      </w:r>
      <w:r>
        <w:rPr>
          <w:rFonts w:ascii="Century Gothic" w:hAnsi="Century Gothic"/>
          <w:b/>
          <w:spacing w:val="-9"/>
          <w:w w:val="115"/>
        </w:rPr>
        <w:t> </w:t>
      </w:r>
      <w:r>
        <w:rPr>
          <w:w w:val="105"/>
        </w:rPr>
        <w:t>Fellow</w:t>
      </w:r>
      <w:r>
        <w:rPr>
          <w:spacing w:val="-30"/>
          <w:w w:val="105"/>
        </w:rPr>
        <w:t> </w:t>
      </w:r>
      <w:r>
        <w:rPr>
          <w:w w:val="105"/>
        </w:rPr>
        <w:t>of</w:t>
      </w:r>
      <w:r>
        <w:rPr>
          <w:spacing w:val="-30"/>
          <w:w w:val="105"/>
        </w:rPr>
        <w:t> </w:t>
      </w:r>
      <w:r>
        <w:rPr>
          <w:w w:val="105"/>
        </w:rPr>
        <w:t>the</w:t>
      </w:r>
      <w:r>
        <w:rPr>
          <w:spacing w:val="-30"/>
          <w:w w:val="105"/>
        </w:rPr>
        <w:t> </w:t>
      </w:r>
      <w:r>
        <w:rPr>
          <w:w w:val="105"/>
        </w:rPr>
        <w:t>Royal</w:t>
      </w:r>
      <w:r>
        <w:rPr>
          <w:spacing w:val="-30"/>
          <w:w w:val="105"/>
        </w:rPr>
        <w:t> </w:t>
      </w:r>
      <w:r>
        <w:rPr>
          <w:w w:val="105"/>
        </w:rPr>
        <w:t>Australian</w:t>
      </w:r>
      <w:r>
        <w:rPr>
          <w:spacing w:val="-30"/>
          <w:w w:val="105"/>
        </w:rPr>
        <w:t> </w:t>
      </w:r>
      <w:r>
        <w:rPr>
          <w:w w:val="105"/>
        </w:rPr>
        <w:t>Chemical </w:t>
      </w:r>
      <w:r>
        <w:rPr/>
        <w:t>Institute</w:t>
      </w:r>
      <w:r>
        <w:rPr>
          <w:spacing w:val="-36"/>
        </w:rPr>
        <w:t> </w:t>
      </w:r>
      <w:r>
        <w:rPr/>
        <w:t>(FRACI)</w:t>
      </w:r>
    </w:p>
    <w:p>
      <w:pPr>
        <w:spacing w:before="58"/>
        <w:ind w:left="327" w:right="-5" w:firstLine="0"/>
        <w:jc w:val="left"/>
        <w:rPr>
          <w:sz w:val="16"/>
        </w:rPr>
      </w:pPr>
      <w:r>
        <w:rPr>
          <w:rFonts w:ascii="Century Gothic" w:hAnsi="Century Gothic"/>
          <w:b/>
          <w:w w:val="115"/>
          <w:sz w:val="16"/>
        </w:rPr>
        <w:t>≥ </w:t>
      </w:r>
      <w:r>
        <w:rPr>
          <w:w w:val="115"/>
          <w:sz w:val="16"/>
        </w:rPr>
        <w:t>CChem</w:t>
      </w:r>
    </w:p>
    <w:p>
      <w:pPr>
        <w:pStyle w:val="Heading7"/>
        <w:spacing w:before="64"/>
        <w:ind w:left="327" w:right="-5"/>
      </w:pPr>
      <w:r>
        <w:rPr>
          <w:b w:val="0"/>
        </w:rPr>
        <w:br w:type="column"/>
      </w:r>
      <w:r>
        <w:rPr>
          <w:w w:val="95"/>
        </w:rPr>
        <w:t>(RESEARCH AND DEVELOPMENT)</w:t>
      </w:r>
    </w:p>
    <w:p>
      <w:pPr>
        <w:pStyle w:val="BodyText"/>
        <w:spacing w:before="94"/>
        <w:ind w:left="327" w:right="-5"/>
        <w:rPr>
          <w:rFonts w:ascii="Calibri"/>
        </w:rPr>
      </w:pPr>
      <w:r>
        <w:rPr>
          <w:rFonts w:ascii="Calibri"/>
          <w:w w:val="110"/>
        </w:rPr>
        <w:t>Professor Scott Holmes</w:t>
      </w:r>
    </w:p>
    <w:p>
      <w:pPr>
        <w:pStyle w:val="BodyText"/>
        <w:spacing w:before="24"/>
        <w:ind w:left="327" w:right="-5"/>
      </w:pPr>
      <w:r>
        <w:rPr>
          <w:rFonts w:ascii="Century Gothic" w:hAnsi="Century Gothic"/>
          <w:b/>
          <w:w w:val="115"/>
        </w:rPr>
        <w:t>≥</w:t>
      </w:r>
      <w:r>
        <w:rPr>
          <w:rFonts w:ascii="Century Gothic" w:hAnsi="Century Gothic"/>
          <w:b/>
          <w:spacing w:val="-23"/>
          <w:w w:val="115"/>
        </w:rPr>
        <w:t> </w:t>
      </w:r>
      <w:r>
        <w:rPr>
          <w:w w:val="105"/>
        </w:rPr>
        <w:t>PhD,</w:t>
      </w:r>
      <w:r>
        <w:rPr>
          <w:spacing w:val="-37"/>
          <w:w w:val="105"/>
        </w:rPr>
        <w:t> </w:t>
      </w:r>
      <w:r>
        <w:rPr>
          <w:w w:val="105"/>
        </w:rPr>
        <w:t>Australian</w:t>
      </w:r>
      <w:r>
        <w:rPr>
          <w:spacing w:val="-37"/>
          <w:w w:val="105"/>
        </w:rPr>
        <w:t> </w:t>
      </w:r>
      <w:r>
        <w:rPr>
          <w:w w:val="105"/>
        </w:rPr>
        <w:t>National</w:t>
      </w:r>
      <w:r>
        <w:rPr>
          <w:spacing w:val="-37"/>
          <w:w w:val="105"/>
        </w:rPr>
        <w:t> </w:t>
      </w:r>
      <w:r>
        <w:rPr>
          <w:w w:val="105"/>
        </w:rPr>
        <w:t>University</w:t>
      </w:r>
    </w:p>
    <w:p>
      <w:pPr>
        <w:pStyle w:val="BodyText"/>
        <w:spacing w:before="60"/>
        <w:ind w:left="327" w:right="-5"/>
      </w:pPr>
      <w:r>
        <w:rPr>
          <w:rFonts w:ascii="Century Gothic" w:hAnsi="Century Gothic"/>
          <w:b/>
          <w:w w:val="115"/>
        </w:rPr>
        <w:t>≥ </w:t>
      </w:r>
      <w:r>
        <w:rPr>
          <w:w w:val="105"/>
        </w:rPr>
        <w:t>BCom, University of Newcastle</w:t>
      </w:r>
    </w:p>
    <w:p>
      <w:pPr>
        <w:pStyle w:val="Heading7"/>
        <w:spacing w:before="120"/>
        <w:ind w:left="327" w:right="351"/>
      </w:pPr>
      <w:r>
        <w:rPr>
          <w:b w:val="0"/>
        </w:rPr>
        <w:br w:type="column"/>
      </w:r>
      <w:r>
        <w:rPr/>
        <w:t>VICE-PRESIDENT</w:t>
      </w:r>
    </w:p>
    <w:p>
      <w:pPr>
        <w:spacing w:before="8"/>
        <w:ind w:left="327" w:right="351" w:firstLine="0"/>
        <w:jc w:val="left"/>
        <w:rPr>
          <w:rFonts w:ascii="Gotham Narrow Bold"/>
          <w:b/>
          <w:sz w:val="16"/>
        </w:rPr>
      </w:pPr>
      <w:r>
        <w:rPr>
          <w:rFonts w:ascii="Gotham Narrow Bold"/>
          <w:b/>
          <w:w w:val="95"/>
          <w:sz w:val="16"/>
        </w:rPr>
        <w:t>(PEOPLE AND ADVANCEMENT)</w:t>
      </w:r>
    </w:p>
    <w:p>
      <w:pPr>
        <w:pStyle w:val="BodyText"/>
        <w:spacing w:before="94"/>
        <w:ind w:left="327" w:right="351"/>
        <w:rPr>
          <w:rFonts w:ascii="Calibri"/>
        </w:rPr>
      </w:pPr>
      <w:r>
        <w:rPr>
          <w:rFonts w:ascii="Calibri"/>
          <w:w w:val="110"/>
        </w:rPr>
        <w:t>Angelo Kourtis</w:t>
      </w:r>
    </w:p>
    <w:p>
      <w:pPr>
        <w:pStyle w:val="BodyText"/>
        <w:spacing w:before="24"/>
        <w:ind w:left="327" w:right="351"/>
      </w:pPr>
      <w:r>
        <w:rPr>
          <w:rFonts w:ascii="Century Gothic" w:hAnsi="Century Gothic"/>
          <w:b/>
          <w:w w:val="115"/>
        </w:rPr>
        <w:t>≥ </w:t>
      </w:r>
      <w:r>
        <w:rPr>
          <w:w w:val="105"/>
        </w:rPr>
        <w:t>BA, Western Sydney University</w:t>
      </w:r>
    </w:p>
    <w:p>
      <w:pPr>
        <w:spacing w:after="0"/>
        <w:sectPr>
          <w:type w:val="continuous"/>
          <w:pgSz w:w="11910" w:h="16840"/>
          <w:pgMar w:top="1580" w:bottom="280" w:left="580" w:right="580"/>
          <w:cols w:num="3" w:equalWidth="0">
            <w:col w:w="3254" w:space="185"/>
            <w:col w:w="2937" w:space="502"/>
            <w:col w:w="3872"/>
          </w:cols>
        </w:sectPr>
      </w:pPr>
    </w:p>
    <w:p>
      <w:pPr>
        <w:pStyle w:val="BodyText"/>
        <w:spacing w:before="6"/>
        <w:rPr>
          <w:sz w:val="28"/>
        </w:rPr>
      </w:pPr>
    </w:p>
    <w:p>
      <w:pPr>
        <w:pStyle w:val="Heading1"/>
      </w:pPr>
      <w:bookmarkStart w:name="_TOC_250009" w:id="45"/>
      <w:bookmarkEnd w:id="45"/>
      <w:r>
        <w:rPr>
          <w:w w:val="95"/>
        </w:rPr>
        <w:t>APPENDIX 8</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503"/>
      </w:pPr>
      <w:bookmarkStart w:name="_TOC_250008" w:id="46"/>
      <w:bookmarkEnd w:id="46"/>
      <w:r>
        <w:rPr>
          <w:w w:val="95"/>
        </w:rPr>
        <w:t>GOVERNMENT INFORMATION (PUBLIC ACCESS)</w:t>
      </w:r>
    </w:p>
    <w:p>
      <w:pPr>
        <w:pStyle w:val="Heading7"/>
        <w:spacing w:before="102"/>
        <w:ind w:left="327" w:right="7611"/>
      </w:pPr>
      <w:r>
        <w:rPr>
          <w:w w:val="95"/>
        </w:rPr>
        <w:t>GIPA ANNUAL REPORT</w:t>
      </w:r>
    </w:p>
    <w:p>
      <w:pPr>
        <w:pStyle w:val="BodyText"/>
        <w:spacing w:before="5"/>
        <w:rPr>
          <w:rFonts w:ascii="Gotham Narrow Bold"/>
          <w:b/>
          <w:sz w:val="9"/>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1"/>
        <w:gridCol w:w="3549"/>
        <w:gridCol w:w="3356"/>
      </w:tblGrid>
      <w:tr>
        <w:trPr>
          <w:trHeight w:val="288" w:hRule="exact"/>
        </w:trPr>
        <w:tc>
          <w:tcPr>
            <w:tcW w:w="3221" w:type="dxa"/>
            <w:tcBorders>
              <w:left w:val="nil"/>
              <w:bottom w:val="single" w:sz="4" w:space="0" w:color="949290"/>
              <w:right w:val="nil"/>
            </w:tcBorders>
            <w:shd w:val="clear" w:color="auto" w:fill="E9E9E9"/>
          </w:tcPr>
          <w:p>
            <w:pPr>
              <w:pStyle w:val="TableParagraph"/>
              <w:spacing w:before="33"/>
              <w:ind w:left="35"/>
              <w:jc w:val="left"/>
              <w:rPr>
                <w:sz w:val="16"/>
              </w:rPr>
            </w:pPr>
            <w:r>
              <w:rPr>
                <w:sz w:val="16"/>
              </w:rPr>
              <w:t>Agency Name</w:t>
            </w:r>
          </w:p>
        </w:tc>
        <w:tc>
          <w:tcPr>
            <w:tcW w:w="3549" w:type="dxa"/>
            <w:tcBorders>
              <w:left w:val="nil"/>
              <w:bottom w:val="single" w:sz="4" w:space="0" w:color="949290"/>
              <w:right w:val="nil"/>
            </w:tcBorders>
            <w:shd w:val="clear" w:color="auto" w:fill="E9E9E9"/>
          </w:tcPr>
          <w:p>
            <w:pPr>
              <w:pStyle w:val="TableParagraph"/>
              <w:spacing w:before="33"/>
              <w:ind w:left="253"/>
              <w:jc w:val="left"/>
              <w:rPr>
                <w:sz w:val="16"/>
              </w:rPr>
            </w:pPr>
            <w:r>
              <w:rPr>
                <w:sz w:val="16"/>
              </w:rPr>
              <w:t>Western Sydney University</w:t>
            </w:r>
          </w:p>
        </w:tc>
        <w:tc>
          <w:tcPr>
            <w:tcW w:w="3356" w:type="dxa"/>
            <w:vMerge w:val="restart"/>
            <w:tcBorders>
              <w:left w:val="nil"/>
              <w:right w:val="nil"/>
            </w:tcBorders>
            <w:shd w:val="clear" w:color="auto" w:fill="E9E9E9"/>
          </w:tcPr>
          <w:p>
            <w:pPr/>
          </w:p>
        </w:tc>
      </w:tr>
      <w:tr>
        <w:trPr>
          <w:trHeight w:val="288" w:hRule="exact"/>
        </w:trPr>
        <w:tc>
          <w:tcPr>
            <w:tcW w:w="3221" w:type="dxa"/>
            <w:tcBorders>
              <w:top w:val="single" w:sz="4" w:space="0" w:color="949290"/>
              <w:left w:val="nil"/>
              <w:bottom w:val="single" w:sz="4" w:space="0" w:color="949290"/>
              <w:right w:val="nil"/>
            </w:tcBorders>
            <w:shd w:val="clear" w:color="auto" w:fill="E9E9E9"/>
          </w:tcPr>
          <w:p>
            <w:pPr>
              <w:pStyle w:val="TableParagraph"/>
              <w:spacing w:before="43"/>
              <w:ind w:left="35"/>
              <w:jc w:val="left"/>
              <w:rPr>
                <w:sz w:val="16"/>
              </w:rPr>
            </w:pPr>
            <w:r>
              <w:rPr>
                <w:sz w:val="16"/>
              </w:rPr>
              <w:t>Principal Department</w:t>
            </w:r>
          </w:p>
        </w:tc>
        <w:tc>
          <w:tcPr>
            <w:tcW w:w="3549" w:type="dxa"/>
            <w:tcBorders>
              <w:top w:val="single" w:sz="4" w:space="0" w:color="949290"/>
              <w:left w:val="nil"/>
              <w:bottom w:val="single" w:sz="4" w:space="0" w:color="949290"/>
              <w:right w:val="nil"/>
            </w:tcBorders>
            <w:shd w:val="clear" w:color="auto" w:fill="E9E9E9"/>
          </w:tcPr>
          <w:p>
            <w:pPr>
              <w:pStyle w:val="TableParagraph"/>
              <w:spacing w:before="43"/>
              <w:ind w:left="253"/>
              <w:jc w:val="left"/>
              <w:rPr>
                <w:sz w:val="16"/>
              </w:rPr>
            </w:pPr>
            <w:r>
              <w:rPr>
                <w:sz w:val="16"/>
              </w:rPr>
              <w:t>Secretariat, Office of Governance Services</w:t>
            </w:r>
          </w:p>
        </w:tc>
        <w:tc>
          <w:tcPr>
            <w:tcW w:w="3356" w:type="dxa"/>
            <w:vMerge/>
            <w:tcBorders>
              <w:left w:val="nil"/>
              <w:right w:val="nil"/>
            </w:tcBorders>
            <w:shd w:val="clear" w:color="auto" w:fill="E9E9E9"/>
          </w:tcPr>
          <w:p>
            <w:pPr/>
          </w:p>
        </w:tc>
      </w:tr>
      <w:tr>
        <w:trPr>
          <w:trHeight w:val="288" w:hRule="exact"/>
        </w:trPr>
        <w:tc>
          <w:tcPr>
            <w:tcW w:w="3221" w:type="dxa"/>
            <w:tcBorders>
              <w:top w:val="single" w:sz="4" w:space="0" w:color="949290"/>
              <w:left w:val="nil"/>
              <w:bottom w:val="single" w:sz="4" w:space="0" w:color="949290"/>
              <w:right w:val="nil"/>
            </w:tcBorders>
            <w:shd w:val="clear" w:color="auto" w:fill="E9E9E9"/>
          </w:tcPr>
          <w:p>
            <w:pPr>
              <w:pStyle w:val="TableParagraph"/>
              <w:spacing w:before="43"/>
              <w:ind w:left="35"/>
              <w:jc w:val="left"/>
              <w:rPr>
                <w:sz w:val="16"/>
              </w:rPr>
            </w:pPr>
            <w:r>
              <w:rPr>
                <w:sz w:val="16"/>
              </w:rPr>
              <w:t>Reporting Period</w:t>
            </w:r>
          </w:p>
        </w:tc>
        <w:tc>
          <w:tcPr>
            <w:tcW w:w="3549" w:type="dxa"/>
            <w:tcBorders>
              <w:top w:val="single" w:sz="4" w:space="0" w:color="949290"/>
              <w:left w:val="nil"/>
              <w:bottom w:val="single" w:sz="4" w:space="0" w:color="949290"/>
              <w:right w:val="nil"/>
            </w:tcBorders>
            <w:shd w:val="clear" w:color="auto" w:fill="E9E9E9"/>
          </w:tcPr>
          <w:p>
            <w:pPr>
              <w:pStyle w:val="TableParagraph"/>
              <w:spacing w:before="43"/>
              <w:ind w:left="253"/>
              <w:jc w:val="left"/>
              <w:rPr>
                <w:sz w:val="16"/>
              </w:rPr>
            </w:pPr>
            <w:r>
              <w:rPr>
                <w:w w:val="54"/>
                <w:sz w:val="16"/>
              </w:rPr>
              <w:t>1</w:t>
            </w:r>
            <w:r>
              <w:rPr>
                <w:spacing w:val="-12"/>
                <w:sz w:val="16"/>
              </w:rPr>
              <w:t> </w:t>
            </w:r>
            <w:r>
              <w:rPr>
                <w:spacing w:val="2"/>
                <w:w w:val="108"/>
                <w:sz w:val="16"/>
              </w:rPr>
              <w:t>J</w:t>
            </w:r>
            <w:r>
              <w:rPr>
                <w:spacing w:val="2"/>
                <w:w w:val="94"/>
                <w:sz w:val="16"/>
              </w:rPr>
              <w:t>a</w:t>
            </w:r>
            <w:r>
              <w:rPr>
                <w:spacing w:val="2"/>
                <w:w w:val="95"/>
                <w:sz w:val="16"/>
              </w:rPr>
              <w:t>nu</w:t>
            </w:r>
            <w:r>
              <w:rPr>
                <w:spacing w:val="2"/>
                <w:w w:val="94"/>
                <w:sz w:val="16"/>
              </w:rPr>
              <w:t>a</w:t>
            </w:r>
            <w:r>
              <w:rPr>
                <w:spacing w:val="5"/>
                <w:w w:val="95"/>
                <w:sz w:val="16"/>
              </w:rPr>
              <w:t>r</w:t>
            </w:r>
            <w:r>
              <w:rPr>
                <w:w w:val="101"/>
                <w:sz w:val="16"/>
              </w:rPr>
              <w:t>y</w:t>
            </w:r>
            <w:r>
              <w:rPr>
                <w:spacing w:val="-12"/>
                <w:sz w:val="16"/>
              </w:rPr>
              <w:t> </w:t>
            </w:r>
            <w:r>
              <w:rPr>
                <w:spacing w:val="2"/>
                <w:w w:val="93"/>
                <w:sz w:val="16"/>
              </w:rPr>
              <w:t>2</w:t>
            </w:r>
            <w:r>
              <w:rPr>
                <w:spacing w:val="1"/>
                <w:w w:val="111"/>
                <w:sz w:val="16"/>
              </w:rPr>
              <w:t>0</w:t>
            </w:r>
            <w:r>
              <w:rPr>
                <w:spacing w:val="4"/>
                <w:w w:val="54"/>
                <w:sz w:val="16"/>
              </w:rPr>
              <w:t>1</w:t>
            </w:r>
            <w:r>
              <w:rPr>
                <w:w w:val="101"/>
                <w:sz w:val="16"/>
              </w:rPr>
              <w:t>6</w:t>
            </w:r>
            <w:r>
              <w:rPr>
                <w:spacing w:val="-12"/>
                <w:sz w:val="16"/>
              </w:rPr>
              <w:t> </w:t>
            </w:r>
            <w:r>
              <w:rPr>
                <w:spacing w:val="-2"/>
                <w:w w:val="102"/>
                <w:sz w:val="16"/>
              </w:rPr>
              <w:t>t</w:t>
            </w:r>
            <w:r>
              <w:rPr>
                <w:w w:val="100"/>
                <w:sz w:val="16"/>
              </w:rPr>
              <w:t>o</w:t>
            </w:r>
            <w:r>
              <w:rPr>
                <w:spacing w:val="-12"/>
                <w:sz w:val="16"/>
              </w:rPr>
              <w:t> </w:t>
            </w:r>
            <w:r>
              <w:rPr>
                <w:spacing w:val="5"/>
                <w:w w:val="94"/>
                <w:sz w:val="16"/>
              </w:rPr>
              <w:t>3</w:t>
            </w:r>
            <w:r>
              <w:rPr>
                <w:w w:val="54"/>
                <w:sz w:val="16"/>
              </w:rPr>
              <w:t>1</w:t>
            </w:r>
            <w:r>
              <w:rPr>
                <w:spacing w:val="-12"/>
                <w:sz w:val="16"/>
              </w:rPr>
              <w:t> </w:t>
            </w:r>
            <w:r>
              <w:rPr>
                <w:spacing w:val="3"/>
                <w:w w:val="98"/>
                <w:sz w:val="16"/>
              </w:rPr>
              <w:t>D</w:t>
            </w:r>
            <w:r>
              <w:rPr>
                <w:spacing w:val="3"/>
                <w:w w:val="95"/>
                <w:sz w:val="16"/>
              </w:rPr>
              <w:t>e</w:t>
            </w:r>
            <w:r>
              <w:rPr>
                <w:w w:val="102"/>
                <w:sz w:val="16"/>
              </w:rPr>
              <w:t>c</w:t>
            </w:r>
            <w:r>
              <w:rPr>
                <w:spacing w:val="2"/>
                <w:w w:val="95"/>
                <w:sz w:val="16"/>
              </w:rPr>
              <w:t>e</w:t>
            </w:r>
            <w:r>
              <w:rPr>
                <w:spacing w:val="2"/>
                <w:w w:val="98"/>
                <w:sz w:val="16"/>
              </w:rPr>
              <w:t>m</w:t>
            </w:r>
            <w:r>
              <w:rPr>
                <w:spacing w:val="2"/>
                <w:w w:val="102"/>
                <w:sz w:val="16"/>
              </w:rPr>
              <w:t>b</w:t>
            </w:r>
            <w:r>
              <w:rPr>
                <w:spacing w:val="2"/>
                <w:w w:val="95"/>
                <w:sz w:val="16"/>
              </w:rPr>
              <w:t>e</w:t>
            </w:r>
            <w:r>
              <w:rPr>
                <w:w w:val="95"/>
                <w:sz w:val="16"/>
              </w:rPr>
              <w:t>r</w:t>
            </w:r>
            <w:r>
              <w:rPr>
                <w:spacing w:val="-12"/>
                <w:sz w:val="16"/>
              </w:rPr>
              <w:t> </w:t>
            </w:r>
            <w:r>
              <w:rPr>
                <w:spacing w:val="2"/>
                <w:w w:val="93"/>
                <w:sz w:val="16"/>
              </w:rPr>
              <w:t>2</w:t>
            </w:r>
            <w:r>
              <w:rPr>
                <w:spacing w:val="1"/>
                <w:w w:val="111"/>
                <w:sz w:val="16"/>
              </w:rPr>
              <w:t>0</w:t>
            </w:r>
            <w:r>
              <w:rPr>
                <w:spacing w:val="4"/>
                <w:w w:val="54"/>
                <w:sz w:val="16"/>
              </w:rPr>
              <w:t>1</w:t>
            </w:r>
            <w:r>
              <w:rPr>
                <w:w w:val="101"/>
                <w:sz w:val="16"/>
              </w:rPr>
              <w:t>6</w:t>
            </w:r>
          </w:p>
        </w:tc>
        <w:tc>
          <w:tcPr>
            <w:tcW w:w="3356" w:type="dxa"/>
            <w:vMerge/>
            <w:tcBorders>
              <w:left w:val="nil"/>
              <w:right w:val="nil"/>
            </w:tcBorders>
            <w:shd w:val="clear" w:color="auto" w:fill="E9E9E9"/>
          </w:tcPr>
          <w:p>
            <w:pPr/>
          </w:p>
        </w:tc>
      </w:tr>
      <w:tr>
        <w:trPr>
          <w:trHeight w:val="432" w:hRule="exact"/>
        </w:trPr>
        <w:tc>
          <w:tcPr>
            <w:tcW w:w="3221" w:type="dxa"/>
            <w:tcBorders>
              <w:top w:val="single" w:sz="4" w:space="0" w:color="949290"/>
              <w:left w:val="nil"/>
              <w:bottom w:val="nil"/>
              <w:right w:val="nil"/>
            </w:tcBorders>
            <w:shd w:val="clear" w:color="auto" w:fill="E9E9E9"/>
          </w:tcPr>
          <w:p>
            <w:pPr>
              <w:pStyle w:val="TableParagraph"/>
              <w:spacing w:before="1"/>
              <w:jc w:val="left"/>
              <w:rPr>
                <w:rFonts w:ascii="Gotham Narrow Bold"/>
                <w:b/>
                <w:sz w:val="16"/>
              </w:rPr>
            </w:pPr>
          </w:p>
          <w:p>
            <w:pPr>
              <w:pStyle w:val="TableParagraph"/>
              <w:spacing w:before="0"/>
              <w:ind w:left="35"/>
              <w:jc w:val="left"/>
              <w:rPr>
                <w:rFonts w:ascii="Gotham Narrow Bold"/>
                <w:b/>
                <w:sz w:val="16"/>
              </w:rPr>
            </w:pPr>
            <w:r>
              <w:rPr>
                <w:rFonts w:ascii="Gotham Narrow Bold"/>
                <w:b/>
                <w:sz w:val="16"/>
              </w:rPr>
              <w:t>OBLIGATIONS UNDER THE GIPA ACT</w:t>
            </w:r>
          </w:p>
        </w:tc>
        <w:tc>
          <w:tcPr>
            <w:tcW w:w="3549" w:type="dxa"/>
            <w:tcBorders>
              <w:top w:val="single" w:sz="4" w:space="0" w:color="949290"/>
              <w:left w:val="nil"/>
              <w:bottom w:val="nil"/>
              <w:right w:val="nil"/>
            </w:tcBorders>
            <w:shd w:val="clear" w:color="auto" w:fill="E9E9E9"/>
          </w:tcPr>
          <w:p>
            <w:pPr/>
          </w:p>
        </w:tc>
        <w:tc>
          <w:tcPr>
            <w:tcW w:w="3356" w:type="dxa"/>
            <w:vMerge/>
            <w:tcBorders>
              <w:left w:val="nil"/>
              <w:bottom w:val="nil"/>
              <w:right w:val="nil"/>
            </w:tcBorders>
            <w:shd w:val="clear" w:color="auto" w:fill="E9E9E9"/>
          </w:tcPr>
          <w:p>
            <w:pPr/>
          </w:p>
        </w:tc>
      </w:tr>
      <w:tr>
        <w:trPr>
          <w:trHeight w:val="228" w:hRule="exact"/>
        </w:trPr>
        <w:tc>
          <w:tcPr>
            <w:tcW w:w="3221" w:type="dxa"/>
            <w:tcBorders>
              <w:top w:val="nil"/>
              <w:left w:val="nil"/>
              <w:bottom w:val="nil"/>
              <w:right w:val="nil"/>
            </w:tcBorders>
            <w:shd w:val="clear" w:color="auto" w:fill="E9E9E9"/>
          </w:tcPr>
          <w:p>
            <w:pPr>
              <w:pStyle w:val="TableParagraph"/>
              <w:spacing w:before="23"/>
              <w:ind w:left="35"/>
              <w:jc w:val="left"/>
              <w:rPr>
                <w:rFonts w:ascii="Gotham Narrow Bold" w:hAnsi="Gotham Narrow Bold"/>
                <w:b/>
                <w:sz w:val="16"/>
              </w:rPr>
            </w:pPr>
            <w:r>
              <w:rPr>
                <w:rFonts w:ascii="Gotham Narrow Bold" w:hAnsi="Gotham Narrow Bold"/>
                <w:b/>
                <w:color w:val="615C58"/>
                <w:sz w:val="16"/>
              </w:rPr>
              <w:t>1. Review of proactive release program –</w:t>
            </w:r>
          </w:p>
        </w:tc>
        <w:tc>
          <w:tcPr>
            <w:tcW w:w="3549" w:type="dxa"/>
            <w:tcBorders>
              <w:top w:val="nil"/>
              <w:left w:val="nil"/>
              <w:bottom w:val="nil"/>
              <w:right w:val="nil"/>
            </w:tcBorders>
            <w:shd w:val="clear" w:color="auto" w:fill="E9E9E9"/>
          </w:tcPr>
          <w:p>
            <w:pPr>
              <w:pStyle w:val="TableParagraph"/>
              <w:spacing w:before="16"/>
              <w:ind w:left="253"/>
              <w:jc w:val="left"/>
              <w:rPr>
                <w:sz w:val="16"/>
              </w:rPr>
            </w:pPr>
            <w:r>
              <w:rPr>
                <w:sz w:val="16"/>
              </w:rPr>
              <w:t>The meeting reviewed the above documents</w:t>
            </w:r>
          </w:p>
        </w:tc>
        <w:tc>
          <w:tcPr>
            <w:tcW w:w="3356" w:type="dxa"/>
            <w:tcBorders>
              <w:top w:val="nil"/>
              <w:left w:val="nil"/>
              <w:bottom w:val="nil"/>
              <w:right w:val="nil"/>
            </w:tcBorders>
            <w:shd w:val="clear" w:color="auto" w:fill="E9E9E9"/>
          </w:tcPr>
          <w:p>
            <w:pPr>
              <w:pStyle w:val="TableParagraph"/>
              <w:spacing w:before="23"/>
              <w:ind w:left="143"/>
              <w:jc w:val="left"/>
              <w:rPr>
                <w:rFonts w:ascii="Gotham Narrow Bold" w:hAnsi="Gotham Narrow Bold"/>
                <w:b/>
                <w:sz w:val="16"/>
              </w:rPr>
            </w:pPr>
            <w:r>
              <w:rPr>
                <w:rFonts w:ascii="Gotham Narrow Bold" w:hAnsi="Gotham Narrow Bold"/>
                <w:b/>
                <w:color w:val="615C58"/>
                <w:spacing w:val="3"/>
                <w:sz w:val="16"/>
              </w:rPr>
              <w:t>2.</w:t>
            </w:r>
            <w:r>
              <w:rPr>
                <w:rFonts w:ascii="Gotham Narrow Bold" w:hAnsi="Gotham Narrow Bold"/>
                <w:b/>
                <w:color w:val="615C58"/>
                <w:spacing w:val="-28"/>
                <w:sz w:val="16"/>
              </w:rPr>
              <w:t> </w:t>
            </w:r>
            <w:r>
              <w:rPr>
                <w:rFonts w:ascii="Gotham Narrow Bold" w:hAnsi="Gotham Narrow Bold"/>
                <w:b/>
                <w:color w:val="615C58"/>
                <w:spacing w:val="2"/>
                <w:sz w:val="16"/>
              </w:rPr>
              <w:t>Number</w:t>
            </w:r>
            <w:r>
              <w:rPr>
                <w:rFonts w:ascii="Gotham Narrow Bold" w:hAnsi="Gotham Narrow Bold"/>
                <w:b/>
                <w:color w:val="615C58"/>
                <w:spacing w:val="-28"/>
                <w:sz w:val="16"/>
              </w:rPr>
              <w:t> </w:t>
            </w:r>
            <w:r>
              <w:rPr>
                <w:rFonts w:ascii="Gotham Narrow Bold" w:hAnsi="Gotham Narrow Bold"/>
                <w:b/>
                <w:color w:val="615C58"/>
                <w:sz w:val="16"/>
              </w:rPr>
              <w:t>of</w:t>
            </w:r>
            <w:r>
              <w:rPr>
                <w:rFonts w:ascii="Gotham Narrow Bold" w:hAnsi="Gotham Narrow Bold"/>
                <w:b/>
                <w:color w:val="615C58"/>
                <w:spacing w:val="-28"/>
                <w:sz w:val="16"/>
              </w:rPr>
              <w:t> </w:t>
            </w:r>
            <w:r>
              <w:rPr>
                <w:rFonts w:ascii="Gotham Narrow Bold" w:hAnsi="Gotham Narrow Bold"/>
                <w:b/>
                <w:color w:val="615C58"/>
                <w:sz w:val="16"/>
              </w:rPr>
              <w:t>access</w:t>
            </w:r>
            <w:r>
              <w:rPr>
                <w:rFonts w:ascii="Gotham Narrow Bold" w:hAnsi="Gotham Narrow Bold"/>
                <w:b/>
                <w:color w:val="615C58"/>
                <w:spacing w:val="-28"/>
                <w:sz w:val="16"/>
              </w:rPr>
              <w:t> </w:t>
            </w:r>
            <w:r>
              <w:rPr>
                <w:rFonts w:ascii="Gotham Narrow Bold" w:hAnsi="Gotham Narrow Bold"/>
                <w:b/>
                <w:color w:val="615C58"/>
                <w:spacing w:val="2"/>
                <w:sz w:val="16"/>
              </w:rPr>
              <w:t>applications</w:t>
            </w:r>
            <w:r>
              <w:rPr>
                <w:rFonts w:ascii="Gotham Narrow Bold" w:hAnsi="Gotham Narrow Bold"/>
                <w:b/>
                <w:color w:val="615C58"/>
                <w:spacing w:val="-28"/>
                <w:sz w:val="16"/>
              </w:rPr>
              <w:t> </w:t>
            </w:r>
            <w:r>
              <w:rPr>
                <w:rFonts w:ascii="Gotham Narrow Bold" w:hAnsi="Gotham Narrow Bold"/>
                <w:b/>
                <w:color w:val="615C58"/>
                <w:sz w:val="16"/>
              </w:rPr>
              <w:t>received</w:t>
            </w:r>
            <w:r>
              <w:rPr>
                <w:rFonts w:ascii="Gotham Narrow Bold" w:hAnsi="Gotham Narrow Bold"/>
                <w:b/>
                <w:color w:val="615C58"/>
                <w:spacing w:val="-28"/>
                <w:sz w:val="16"/>
              </w:rPr>
              <w:t> </w:t>
            </w:r>
            <w:r>
              <w:rPr>
                <w:rFonts w:ascii="Gotham Narrow Bold" w:hAnsi="Gotham Narrow Bold"/>
                <w:b/>
                <w:color w:val="615C58"/>
                <w:sz w:val="16"/>
              </w:rPr>
              <w:t>–</w:t>
            </w:r>
          </w:p>
        </w:tc>
      </w:tr>
      <w:tr>
        <w:trPr>
          <w:trHeight w:val="183" w:hRule="exact"/>
        </w:trPr>
        <w:tc>
          <w:tcPr>
            <w:tcW w:w="3221" w:type="dxa"/>
            <w:tcBorders>
              <w:top w:val="nil"/>
              <w:left w:val="nil"/>
              <w:bottom w:val="nil"/>
              <w:right w:val="nil"/>
            </w:tcBorders>
            <w:shd w:val="clear" w:color="auto" w:fill="E9E9E9"/>
          </w:tcPr>
          <w:p>
            <w:pPr>
              <w:pStyle w:val="TableParagraph"/>
              <w:spacing w:line="187" w:lineRule="exact" w:before="0"/>
              <w:ind w:left="177"/>
              <w:jc w:val="left"/>
              <w:rPr>
                <w:rFonts w:ascii="Gotham Narrow Bold"/>
                <w:b/>
                <w:sz w:val="16"/>
              </w:rPr>
            </w:pPr>
            <w:r>
              <w:rPr>
                <w:rFonts w:ascii="Gotham Narrow Bold"/>
                <w:b/>
                <w:color w:val="615C58"/>
                <w:w w:val="95"/>
                <w:sz w:val="16"/>
              </w:rPr>
              <w:t>Clause 7(a)</w:t>
            </w:r>
          </w:p>
        </w:tc>
        <w:tc>
          <w:tcPr>
            <w:tcW w:w="3549" w:type="dxa"/>
            <w:tcBorders>
              <w:top w:val="nil"/>
              <w:left w:val="nil"/>
              <w:bottom w:val="nil"/>
              <w:right w:val="nil"/>
            </w:tcBorders>
            <w:shd w:val="clear" w:color="auto" w:fill="E9E9E9"/>
          </w:tcPr>
          <w:p>
            <w:pPr>
              <w:pStyle w:val="TableParagraph"/>
              <w:spacing w:line="181" w:lineRule="exact" w:before="0"/>
              <w:ind w:left="253"/>
              <w:jc w:val="left"/>
              <w:rPr>
                <w:sz w:val="16"/>
              </w:rPr>
            </w:pPr>
            <w:r>
              <w:rPr>
                <w:sz w:val="16"/>
              </w:rPr>
              <w:t>and noted that the Information Commissioner</w:t>
            </w:r>
          </w:p>
        </w:tc>
        <w:tc>
          <w:tcPr>
            <w:tcW w:w="3356" w:type="dxa"/>
            <w:tcBorders>
              <w:top w:val="nil"/>
              <w:left w:val="nil"/>
              <w:bottom w:val="nil"/>
              <w:right w:val="nil"/>
            </w:tcBorders>
            <w:shd w:val="clear" w:color="auto" w:fill="E9E9E9"/>
          </w:tcPr>
          <w:p>
            <w:pPr>
              <w:pStyle w:val="TableParagraph"/>
              <w:spacing w:line="187" w:lineRule="exact" w:before="0"/>
              <w:ind w:left="316"/>
              <w:jc w:val="left"/>
              <w:rPr>
                <w:rFonts w:ascii="Gotham Narrow Bold"/>
                <w:b/>
                <w:sz w:val="16"/>
              </w:rPr>
            </w:pPr>
            <w:r>
              <w:rPr>
                <w:rFonts w:ascii="Gotham Narrow Bold"/>
                <w:b/>
                <w:color w:val="615C58"/>
                <w:w w:val="95"/>
                <w:sz w:val="16"/>
              </w:rPr>
              <w:t>Clause 7(b)</w:t>
            </w:r>
          </w:p>
        </w:tc>
      </w:tr>
    </w:tbl>
    <w:p>
      <w:pPr>
        <w:spacing w:after="0" w:line="187" w:lineRule="exact"/>
        <w:jc w:val="left"/>
        <w:rPr>
          <w:rFonts w:ascii="Gotham Narrow Bold"/>
          <w:sz w:val="16"/>
        </w:rPr>
        <w:sectPr>
          <w:pgSz w:w="11910" w:h="16840"/>
          <w:pgMar w:header="496" w:footer="472" w:top="680" w:bottom="660" w:left="580" w:right="580"/>
        </w:sectPr>
      </w:pPr>
    </w:p>
    <w:p>
      <w:pPr>
        <w:spacing w:line="247" w:lineRule="auto" w:before="89"/>
        <w:ind w:left="327" w:right="53" w:firstLine="0"/>
        <w:jc w:val="left"/>
        <w:rPr>
          <w:sz w:val="16"/>
        </w:rPr>
      </w:pPr>
      <w:r>
        <w:rPr/>
        <w:pict>
          <v:rect style="position:absolute;margin-left:34.015999pt;margin-top:45.355015pt;width:527.244pt;height:751.181pt;mso-position-horizontal-relative:page;mso-position-vertical-relative:page;z-index:-334768" filled="true" fillcolor="#e9e9e9" stroked="false">
            <v:fill type="solid"/>
            <w10:wrap type="none"/>
          </v:rect>
        </w:pict>
      </w:r>
      <w:r>
        <w:rPr>
          <w:sz w:val="16"/>
        </w:rPr>
        <w:t>Under section 7 of the </w:t>
      </w:r>
      <w:r>
        <w:rPr>
          <w:rFonts w:ascii="Century Gothic"/>
          <w:i/>
          <w:sz w:val="16"/>
        </w:rPr>
        <w:t>Government </w:t>
      </w:r>
      <w:r>
        <w:rPr>
          <w:rFonts w:ascii="Century Gothic"/>
          <w:i/>
          <w:sz w:val="16"/>
        </w:rPr>
        <w:t>Information (Public Access) </w:t>
      </w:r>
      <w:r>
        <w:rPr>
          <w:sz w:val="16"/>
        </w:rPr>
        <w:t>Act (GIPA Act), agencies must review their programs for releasing government information, to</w:t>
      </w:r>
    </w:p>
    <w:p>
      <w:pPr>
        <w:pStyle w:val="BodyText"/>
        <w:spacing w:line="249" w:lineRule="auto" w:before="1"/>
        <w:ind w:left="327" w:right="8"/>
        <w:jc w:val="both"/>
      </w:pPr>
      <w:r>
        <w:rPr/>
        <w:t>identify</w:t>
      </w:r>
      <w:r>
        <w:rPr>
          <w:spacing w:val="-14"/>
        </w:rPr>
        <w:t> </w:t>
      </w:r>
      <w:r>
        <w:rPr/>
        <w:t>the</w:t>
      </w:r>
      <w:r>
        <w:rPr>
          <w:spacing w:val="-14"/>
        </w:rPr>
        <w:t> </w:t>
      </w:r>
      <w:r>
        <w:rPr/>
        <w:t>kinds</w:t>
      </w:r>
      <w:r>
        <w:rPr>
          <w:spacing w:val="-14"/>
        </w:rPr>
        <w:t> </w:t>
      </w:r>
      <w:r>
        <w:rPr/>
        <w:t>of</w:t>
      </w:r>
      <w:r>
        <w:rPr>
          <w:spacing w:val="-14"/>
        </w:rPr>
        <w:t> </w:t>
      </w:r>
      <w:r>
        <w:rPr/>
        <w:t>information</w:t>
      </w:r>
      <w:r>
        <w:rPr>
          <w:spacing w:val="-14"/>
        </w:rPr>
        <w:t> </w:t>
      </w:r>
      <w:r>
        <w:rPr/>
        <w:t>that</w:t>
      </w:r>
      <w:r>
        <w:rPr>
          <w:spacing w:val="-14"/>
        </w:rPr>
        <w:t> </w:t>
      </w:r>
      <w:r>
        <w:rPr/>
        <w:t>can</w:t>
      </w:r>
      <w:r>
        <w:rPr>
          <w:spacing w:val="-14"/>
        </w:rPr>
        <w:t> </w:t>
      </w:r>
      <w:r>
        <w:rPr/>
        <w:t>be made</w:t>
      </w:r>
      <w:r>
        <w:rPr>
          <w:spacing w:val="-19"/>
        </w:rPr>
        <w:t> </w:t>
      </w:r>
      <w:r>
        <w:rPr/>
        <w:t>publicly</w:t>
      </w:r>
      <w:r>
        <w:rPr>
          <w:spacing w:val="-19"/>
        </w:rPr>
        <w:t> </w:t>
      </w:r>
      <w:r>
        <w:rPr/>
        <w:t>available.</w:t>
      </w:r>
      <w:r>
        <w:rPr>
          <w:spacing w:val="-19"/>
        </w:rPr>
        <w:t> </w:t>
      </w:r>
      <w:r>
        <w:rPr/>
        <w:t>This</w:t>
      </w:r>
      <w:r>
        <w:rPr>
          <w:spacing w:val="-19"/>
        </w:rPr>
        <w:t> </w:t>
      </w:r>
      <w:r>
        <w:rPr/>
        <w:t>review</w:t>
      </w:r>
      <w:r>
        <w:rPr>
          <w:spacing w:val="-19"/>
        </w:rPr>
        <w:t> </w:t>
      </w:r>
      <w:r>
        <w:rPr/>
        <w:t>must</w:t>
      </w:r>
      <w:r>
        <w:rPr>
          <w:spacing w:val="-19"/>
        </w:rPr>
        <w:t> </w:t>
      </w:r>
      <w:r>
        <w:rPr/>
        <w:t>be undertaken</w:t>
      </w:r>
      <w:r>
        <w:rPr>
          <w:spacing w:val="-25"/>
        </w:rPr>
        <w:t> </w:t>
      </w:r>
      <w:r>
        <w:rPr/>
        <w:t>at</w:t>
      </w:r>
      <w:r>
        <w:rPr>
          <w:spacing w:val="-25"/>
        </w:rPr>
        <w:t> </w:t>
      </w:r>
      <w:r>
        <w:rPr/>
        <w:t>least</w:t>
      </w:r>
      <w:r>
        <w:rPr>
          <w:spacing w:val="-25"/>
        </w:rPr>
        <w:t> </w:t>
      </w:r>
      <w:r>
        <w:rPr/>
        <w:t>once</w:t>
      </w:r>
      <w:r>
        <w:rPr>
          <w:spacing w:val="-25"/>
        </w:rPr>
        <w:t> </w:t>
      </w:r>
      <w:r>
        <w:rPr/>
        <w:t>every</w:t>
      </w:r>
      <w:r>
        <w:rPr>
          <w:spacing w:val="-25"/>
        </w:rPr>
        <w:t> </w:t>
      </w:r>
      <w:r>
        <w:rPr/>
        <w:t>12</w:t>
      </w:r>
      <w:r>
        <w:rPr>
          <w:spacing w:val="-25"/>
        </w:rPr>
        <w:t> </w:t>
      </w:r>
      <w:r>
        <w:rPr/>
        <w:t>months.</w:t>
      </w:r>
    </w:p>
    <w:p>
      <w:pPr>
        <w:pStyle w:val="BodyText"/>
        <w:rPr>
          <w:sz w:val="14"/>
        </w:rPr>
      </w:pPr>
    </w:p>
    <w:p>
      <w:pPr>
        <w:pStyle w:val="BodyText"/>
        <w:spacing w:line="249" w:lineRule="auto"/>
        <w:ind w:left="327" w:right="24"/>
      </w:pPr>
      <w:r>
        <w:rPr/>
        <w:t>The University’s program for proactively releasing</w:t>
      </w:r>
      <w:r>
        <w:rPr>
          <w:spacing w:val="-19"/>
        </w:rPr>
        <w:t> </w:t>
      </w:r>
      <w:r>
        <w:rPr/>
        <w:t>information</w:t>
      </w:r>
      <w:r>
        <w:rPr>
          <w:spacing w:val="-19"/>
        </w:rPr>
        <w:t> </w:t>
      </w:r>
      <w:r>
        <w:rPr/>
        <w:t>is</w:t>
      </w:r>
      <w:r>
        <w:rPr>
          <w:spacing w:val="-19"/>
        </w:rPr>
        <w:t> </w:t>
      </w:r>
      <w:r>
        <w:rPr/>
        <w:t>based</w:t>
      </w:r>
      <w:r>
        <w:rPr>
          <w:spacing w:val="-19"/>
        </w:rPr>
        <w:t> </w:t>
      </w:r>
      <w:r>
        <w:rPr/>
        <w:t>on</w:t>
      </w:r>
      <w:r>
        <w:rPr>
          <w:spacing w:val="-19"/>
        </w:rPr>
        <w:t> </w:t>
      </w:r>
      <w:r>
        <w:rPr/>
        <w:t>the</w:t>
      </w:r>
      <w:r>
        <w:rPr>
          <w:spacing w:val="-19"/>
        </w:rPr>
        <w:t> </w:t>
      </w:r>
      <w:r>
        <w:rPr/>
        <w:t>annual meeting of the GIPA Agency Information Guide Review Committee (AIGRC). The Committee includes representatives from across</w:t>
      </w:r>
      <w:r>
        <w:rPr>
          <w:spacing w:val="-14"/>
        </w:rPr>
        <w:t> </w:t>
      </w:r>
      <w:r>
        <w:rPr/>
        <w:t>the</w:t>
      </w:r>
      <w:r>
        <w:rPr>
          <w:spacing w:val="-14"/>
        </w:rPr>
        <w:t> </w:t>
      </w:r>
      <w:r>
        <w:rPr/>
        <w:t>University</w:t>
      </w:r>
      <w:r>
        <w:rPr>
          <w:spacing w:val="-14"/>
        </w:rPr>
        <w:t> </w:t>
      </w:r>
      <w:r>
        <w:rPr/>
        <w:t>and</w:t>
      </w:r>
      <w:r>
        <w:rPr>
          <w:spacing w:val="-14"/>
        </w:rPr>
        <w:t> </w:t>
      </w:r>
      <w:r>
        <w:rPr/>
        <w:t>meets</w:t>
      </w:r>
      <w:r>
        <w:rPr>
          <w:spacing w:val="-14"/>
        </w:rPr>
        <w:t> </w:t>
      </w:r>
      <w:r>
        <w:rPr/>
        <w:t>specifically to</w:t>
      </w:r>
      <w:r>
        <w:rPr>
          <w:spacing w:val="-17"/>
        </w:rPr>
        <w:t> </w:t>
      </w:r>
      <w:r>
        <w:rPr/>
        <w:t>discharge</w:t>
      </w:r>
      <w:r>
        <w:rPr>
          <w:spacing w:val="-17"/>
        </w:rPr>
        <w:t> </w:t>
      </w:r>
      <w:r>
        <w:rPr/>
        <w:t>the</w:t>
      </w:r>
      <w:r>
        <w:rPr>
          <w:spacing w:val="-17"/>
        </w:rPr>
        <w:t> </w:t>
      </w:r>
      <w:r>
        <w:rPr/>
        <w:t>University’s</w:t>
      </w:r>
      <w:r>
        <w:rPr>
          <w:spacing w:val="-17"/>
        </w:rPr>
        <w:t> </w:t>
      </w:r>
      <w:r>
        <w:rPr/>
        <w:t>responsibilities under</w:t>
      </w:r>
      <w:r>
        <w:rPr>
          <w:spacing w:val="-15"/>
        </w:rPr>
        <w:t> </w:t>
      </w:r>
      <w:r>
        <w:rPr/>
        <w:t>section</w:t>
      </w:r>
      <w:r>
        <w:rPr>
          <w:spacing w:val="-15"/>
        </w:rPr>
        <w:t> </w:t>
      </w:r>
      <w:r>
        <w:rPr/>
        <w:t>7(3)</w:t>
      </w:r>
      <w:r>
        <w:rPr>
          <w:spacing w:val="-15"/>
        </w:rPr>
        <w:t> </w:t>
      </w:r>
      <w:r>
        <w:rPr/>
        <w:t>of</w:t>
      </w:r>
      <w:r>
        <w:rPr>
          <w:spacing w:val="-15"/>
        </w:rPr>
        <w:t> </w:t>
      </w:r>
      <w:r>
        <w:rPr/>
        <w:t>the</w:t>
      </w:r>
      <w:r>
        <w:rPr>
          <w:spacing w:val="-15"/>
        </w:rPr>
        <w:t> </w:t>
      </w:r>
      <w:r>
        <w:rPr/>
        <w:t>Act.</w:t>
      </w:r>
    </w:p>
    <w:p>
      <w:pPr>
        <w:pStyle w:val="BodyText"/>
        <w:rPr>
          <w:sz w:val="14"/>
        </w:rPr>
      </w:pPr>
    </w:p>
    <w:p>
      <w:pPr>
        <w:pStyle w:val="BodyText"/>
        <w:spacing w:line="249" w:lineRule="auto"/>
        <w:ind w:left="327" w:right="39"/>
      </w:pPr>
      <w:r>
        <w:rPr/>
        <w:t>During the reporting period, the AIGRC </w:t>
      </w:r>
      <w:r>
        <w:rPr>
          <w:w w:val="98"/>
        </w:rPr>
        <w:t>met </w:t>
      </w:r>
      <w:r>
        <w:rPr>
          <w:w w:val="98"/>
        </w:rPr>
        <w:t>on </w:t>
      </w:r>
      <w:r>
        <w:rPr>
          <w:w w:val="102"/>
        </w:rPr>
        <w:t>30 </w:t>
      </w:r>
      <w:r>
        <w:rPr>
          <w:w w:val="98"/>
        </w:rPr>
        <w:t>November </w:t>
      </w:r>
      <w:r>
        <w:rPr>
          <w:w w:val="85"/>
        </w:rPr>
        <w:t>2016. </w:t>
      </w:r>
      <w:r>
        <w:rPr>
          <w:w w:val="94"/>
        </w:rPr>
        <w:t>The </w:t>
      </w:r>
      <w:r>
        <w:rPr>
          <w:w w:val="99"/>
        </w:rPr>
        <w:t>Committee </w:t>
      </w:r>
      <w:r>
        <w:rPr/>
        <w:t>welcomed Ms Sophie Buck, who was appointed Director of Governance Services </w:t>
      </w:r>
      <w:r>
        <w:rPr>
          <w:w w:val="95"/>
        </w:rPr>
        <w:t>in </w:t>
      </w:r>
      <w:r>
        <w:rPr>
          <w:w w:val="97"/>
        </w:rPr>
        <w:t>late </w:t>
      </w:r>
      <w:r>
        <w:rPr>
          <w:w w:val="85"/>
        </w:rPr>
        <w:t>2016.</w:t>
      </w:r>
    </w:p>
    <w:p>
      <w:pPr>
        <w:pStyle w:val="BodyText"/>
        <w:rPr>
          <w:sz w:val="14"/>
        </w:rPr>
      </w:pPr>
    </w:p>
    <w:p>
      <w:pPr>
        <w:pStyle w:val="BodyText"/>
        <w:spacing w:line="249" w:lineRule="auto"/>
        <w:ind w:left="327" w:right="89"/>
      </w:pPr>
      <w:r>
        <w:rPr/>
        <w:t>During the meeting, the Committee noted some important activities the Information Commissioner had undertaken since the last reporting period, including:</w:t>
      </w:r>
    </w:p>
    <w:p>
      <w:pPr>
        <w:pStyle w:val="BodyText"/>
        <w:spacing w:line="247" w:lineRule="auto" w:before="55"/>
        <w:ind w:left="525" w:right="25" w:hanging="199"/>
      </w:pPr>
      <w:r>
        <w:rPr>
          <w:rFonts w:ascii="Century Gothic" w:hAnsi="Century Gothic"/>
          <w:b/>
          <w:w w:val="115"/>
        </w:rPr>
        <w:t>≥ </w:t>
      </w:r>
      <w:r>
        <w:rPr/>
        <w:t>announcing the NSW Information and Privacy Commission’s (IPC’s) Agency Information</w:t>
      </w:r>
      <w:r>
        <w:rPr>
          <w:spacing w:val="-23"/>
        </w:rPr>
        <w:t> </w:t>
      </w:r>
      <w:r>
        <w:rPr/>
        <w:t>Guide,</w:t>
      </w:r>
      <w:r>
        <w:rPr>
          <w:spacing w:val="-23"/>
        </w:rPr>
        <w:t> </w:t>
      </w:r>
      <w:r>
        <w:rPr/>
        <w:t>which</w:t>
      </w:r>
      <w:r>
        <w:rPr>
          <w:spacing w:val="-23"/>
        </w:rPr>
        <w:t> </w:t>
      </w:r>
      <w:r>
        <w:rPr/>
        <w:t>has</w:t>
      </w:r>
      <w:r>
        <w:rPr>
          <w:spacing w:val="-23"/>
        </w:rPr>
        <w:t> </w:t>
      </w:r>
      <w:r>
        <w:rPr/>
        <w:t>been</w:t>
      </w:r>
      <w:r>
        <w:rPr>
          <w:spacing w:val="-23"/>
        </w:rPr>
        <w:t> </w:t>
      </w:r>
      <w:r>
        <w:rPr/>
        <w:t>under </w:t>
      </w:r>
      <w:r>
        <w:rPr>
          <w:spacing w:val="-1"/>
          <w:w w:val="97"/>
        </w:rPr>
        <w:t>review</w:t>
      </w:r>
      <w:r>
        <w:rPr>
          <w:w w:val="97"/>
        </w:rPr>
        <w:t> </w:t>
      </w:r>
      <w:r>
        <w:rPr>
          <w:w w:val="97"/>
        </w:rPr>
        <w:t>since </w:t>
      </w:r>
      <w:r>
        <w:rPr>
          <w:w w:val="97"/>
        </w:rPr>
        <w:t>May</w:t>
      </w:r>
      <w:r>
        <w:rPr>
          <w:spacing w:val="-19"/>
          <w:w w:val="97"/>
        </w:rPr>
        <w:t> </w:t>
      </w:r>
      <w:r>
        <w:rPr>
          <w:spacing w:val="1"/>
          <w:w w:val="90"/>
        </w:rPr>
        <w:t>2016</w:t>
      </w:r>
    </w:p>
    <w:p>
      <w:pPr>
        <w:pStyle w:val="BodyText"/>
        <w:spacing w:line="247" w:lineRule="auto" w:before="57"/>
        <w:ind w:left="525" w:right="-4" w:hanging="199"/>
      </w:pPr>
      <w:r>
        <w:rPr>
          <w:rFonts w:ascii="Century Gothic" w:hAnsi="Century Gothic"/>
          <w:b/>
          <w:w w:val="115"/>
        </w:rPr>
        <w:t>≥ </w:t>
      </w:r>
      <w:r>
        <w:rPr/>
        <w:t>publishing a media release and report on universities’</w:t>
      </w:r>
      <w:r>
        <w:rPr>
          <w:spacing w:val="-21"/>
        </w:rPr>
        <w:t> </w:t>
      </w:r>
      <w:r>
        <w:rPr/>
        <w:t>contract</w:t>
      </w:r>
      <w:r>
        <w:rPr>
          <w:spacing w:val="-21"/>
        </w:rPr>
        <w:t> </w:t>
      </w:r>
      <w:r>
        <w:rPr/>
        <w:t>register</w:t>
      </w:r>
      <w:r>
        <w:rPr>
          <w:spacing w:val="-21"/>
        </w:rPr>
        <w:t> </w:t>
      </w:r>
      <w:r>
        <w:rPr/>
        <w:t>compliance, </w:t>
      </w:r>
      <w:r>
        <w:rPr>
          <w:w w:val="95"/>
        </w:rPr>
        <w:t>in </w:t>
      </w:r>
      <w:r>
        <w:rPr>
          <w:spacing w:val="1"/>
          <w:w w:val="98"/>
        </w:rPr>
        <w:t>September</w:t>
      </w:r>
      <w:r>
        <w:rPr>
          <w:spacing w:val="-17"/>
          <w:w w:val="98"/>
        </w:rPr>
        <w:t> </w:t>
      </w:r>
      <w:r>
        <w:rPr>
          <w:spacing w:val="1"/>
          <w:w w:val="90"/>
        </w:rPr>
        <w:t>2016</w:t>
      </w:r>
    </w:p>
    <w:p>
      <w:pPr>
        <w:pStyle w:val="BodyText"/>
        <w:spacing w:line="247" w:lineRule="auto" w:before="57"/>
        <w:ind w:left="525" w:right="325" w:hanging="199"/>
      </w:pPr>
      <w:r>
        <w:rPr>
          <w:rFonts w:ascii="Century Gothic" w:hAnsi="Century Gothic"/>
          <w:b/>
          <w:w w:val="115"/>
        </w:rPr>
        <w:t>≥ </w:t>
      </w:r>
      <w:r>
        <w:rPr/>
        <w:t>publishing a media release on the IPC regulatory framework and plan, </w:t>
      </w:r>
      <w:r>
        <w:rPr>
          <w:w w:val="95"/>
        </w:rPr>
        <w:t>in </w:t>
      </w:r>
      <w:r>
        <w:rPr>
          <w:w w:val="100"/>
        </w:rPr>
        <w:t>August </w:t>
      </w:r>
      <w:r>
        <w:rPr>
          <w:w w:val="85"/>
        </w:rPr>
        <w:t>2016.</w:t>
      </w:r>
    </w:p>
    <w:p>
      <w:pPr>
        <w:pStyle w:val="BodyText"/>
        <w:spacing w:line="249" w:lineRule="auto" w:before="5"/>
        <w:ind w:left="327"/>
      </w:pPr>
      <w:r>
        <w:rPr/>
        <w:br w:type="column"/>
      </w:r>
      <w:r>
        <w:rPr/>
        <w:t>had completed a significant number of </w:t>
      </w:r>
      <w:r>
        <w:rPr>
          <w:w w:val="97"/>
        </w:rPr>
        <w:t>initiatives </w:t>
      </w:r>
      <w:r>
        <w:rPr>
          <w:w w:val="95"/>
        </w:rPr>
        <w:t>in </w:t>
      </w:r>
      <w:r>
        <w:rPr>
          <w:w w:val="85"/>
        </w:rPr>
        <w:t>2016, </w:t>
      </w:r>
      <w:r>
        <w:rPr>
          <w:w w:val="98"/>
        </w:rPr>
        <w:t>indicating </w:t>
      </w:r>
      <w:r>
        <w:rPr>
          <w:w w:val="97"/>
        </w:rPr>
        <w:t>further </w:t>
      </w:r>
      <w:r>
        <w:rPr>
          <w:w w:val="97"/>
        </w:rPr>
        <w:t>relevant </w:t>
      </w:r>
      <w:r>
        <w:rPr>
          <w:w w:val="95"/>
        </w:rPr>
        <w:t>initiatives in 2017.</w:t>
      </w:r>
    </w:p>
    <w:p>
      <w:pPr>
        <w:pStyle w:val="BodyText"/>
        <w:rPr>
          <w:sz w:val="14"/>
        </w:rPr>
      </w:pPr>
    </w:p>
    <w:p>
      <w:pPr>
        <w:pStyle w:val="BodyText"/>
        <w:spacing w:line="249" w:lineRule="auto"/>
        <w:ind w:left="327" w:right="280"/>
        <w:jc w:val="both"/>
      </w:pPr>
      <w:r>
        <w:rPr/>
        <w:t>The</w:t>
      </w:r>
      <w:r>
        <w:rPr>
          <w:spacing w:val="-17"/>
        </w:rPr>
        <w:t> </w:t>
      </w:r>
      <w:r>
        <w:rPr/>
        <w:t>University’s</w:t>
      </w:r>
      <w:r>
        <w:rPr>
          <w:spacing w:val="-17"/>
        </w:rPr>
        <w:t> </w:t>
      </w:r>
      <w:r>
        <w:rPr/>
        <w:t>agency</w:t>
      </w:r>
      <w:r>
        <w:rPr>
          <w:spacing w:val="-17"/>
        </w:rPr>
        <w:t> </w:t>
      </w:r>
      <w:r>
        <w:rPr/>
        <w:t>information</w:t>
      </w:r>
      <w:r>
        <w:rPr>
          <w:spacing w:val="-17"/>
        </w:rPr>
        <w:t> </w:t>
      </w:r>
      <w:r>
        <w:rPr/>
        <w:t>guide is</w:t>
      </w:r>
      <w:r>
        <w:rPr>
          <w:spacing w:val="-15"/>
        </w:rPr>
        <w:t> </w:t>
      </w:r>
      <w:r>
        <w:rPr/>
        <w:t>functional</w:t>
      </w:r>
      <w:r>
        <w:rPr>
          <w:spacing w:val="-15"/>
        </w:rPr>
        <w:t> </w:t>
      </w:r>
      <w:r>
        <w:rPr/>
        <w:t>and</w:t>
      </w:r>
      <w:r>
        <w:rPr>
          <w:spacing w:val="-15"/>
        </w:rPr>
        <w:t> </w:t>
      </w:r>
      <w:r>
        <w:rPr/>
        <w:t>updated</w:t>
      </w:r>
      <w:r>
        <w:rPr>
          <w:spacing w:val="-15"/>
        </w:rPr>
        <w:t> </w:t>
      </w:r>
      <w:r>
        <w:rPr/>
        <w:t>regularly</w:t>
      </w:r>
      <w:r>
        <w:rPr>
          <w:spacing w:val="-15"/>
        </w:rPr>
        <w:t> </w:t>
      </w:r>
      <w:r>
        <w:rPr/>
        <w:t>via</w:t>
      </w:r>
      <w:r>
        <w:rPr>
          <w:spacing w:val="-15"/>
        </w:rPr>
        <w:t> </w:t>
      </w:r>
      <w:r>
        <w:rPr/>
        <w:t>the links</w:t>
      </w:r>
      <w:r>
        <w:rPr>
          <w:spacing w:val="-24"/>
        </w:rPr>
        <w:t> </w:t>
      </w:r>
      <w:r>
        <w:rPr/>
        <w:t>provided</w:t>
      </w:r>
      <w:r>
        <w:rPr>
          <w:spacing w:val="-24"/>
        </w:rPr>
        <w:t> </w:t>
      </w:r>
      <w:r>
        <w:rPr/>
        <w:t>below.</w:t>
      </w:r>
      <w:r>
        <w:rPr>
          <w:spacing w:val="-24"/>
        </w:rPr>
        <w:t> </w:t>
      </w:r>
      <w:r>
        <w:rPr/>
        <w:t>However,</w:t>
      </w:r>
      <w:r>
        <w:rPr>
          <w:spacing w:val="-24"/>
        </w:rPr>
        <w:t> </w:t>
      </w:r>
      <w:r>
        <w:rPr/>
        <w:t>there</w:t>
      </w:r>
      <w:r>
        <w:rPr>
          <w:spacing w:val="-24"/>
        </w:rPr>
        <w:t> </w:t>
      </w:r>
      <w:r>
        <w:rPr/>
        <w:t>is</w:t>
      </w:r>
      <w:r>
        <w:rPr>
          <w:spacing w:val="-24"/>
        </w:rPr>
        <w:t> </w:t>
      </w:r>
      <w:r>
        <w:rPr/>
        <w:t>an</w:t>
      </w:r>
    </w:p>
    <w:p>
      <w:pPr>
        <w:pStyle w:val="BodyText"/>
        <w:spacing w:line="249" w:lineRule="auto"/>
        <w:ind w:left="327"/>
      </w:pPr>
      <w:r>
        <w:rPr/>
        <w:t>opportunity</w:t>
      </w:r>
      <w:r>
        <w:rPr>
          <w:spacing w:val="-17"/>
        </w:rPr>
        <w:t> </w:t>
      </w:r>
      <w:r>
        <w:rPr/>
        <w:t>for</w:t>
      </w:r>
      <w:r>
        <w:rPr>
          <w:spacing w:val="-17"/>
        </w:rPr>
        <w:t> </w:t>
      </w:r>
      <w:r>
        <w:rPr/>
        <w:t>a</w:t>
      </w:r>
      <w:r>
        <w:rPr>
          <w:spacing w:val="-17"/>
        </w:rPr>
        <w:t> </w:t>
      </w:r>
      <w:r>
        <w:rPr/>
        <w:t>deeper</w:t>
      </w:r>
      <w:r>
        <w:rPr>
          <w:spacing w:val="-17"/>
        </w:rPr>
        <w:t> </w:t>
      </w:r>
      <w:r>
        <w:rPr/>
        <w:t>review,</w:t>
      </w:r>
      <w:r>
        <w:rPr>
          <w:spacing w:val="-17"/>
        </w:rPr>
        <w:t> </w:t>
      </w:r>
      <w:r>
        <w:rPr/>
        <w:t>and</w:t>
      </w:r>
      <w:r>
        <w:rPr>
          <w:spacing w:val="-17"/>
        </w:rPr>
        <w:t> </w:t>
      </w:r>
      <w:r>
        <w:rPr/>
        <w:t>the</w:t>
      </w:r>
      <w:r>
        <w:rPr>
          <w:spacing w:val="-17"/>
        </w:rPr>
        <w:t> </w:t>
      </w:r>
      <w:r>
        <w:rPr/>
        <w:t>IPC’s Agency Information Guide will offer some direct</w:t>
      </w:r>
      <w:r>
        <w:rPr>
          <w:spacing w:val="-16"/>
        </w:rPr>
        <w:t> </w:t>
      </w:r>
      <w:r>
        <w:rPr/>
        <w:t>suggestions</w:t>
      </w:r>
      <w:r>
        <w:rPr>
          <w:spacing w:val="-16"/>
        </w:rPr>
        <w:t> </w:t>
      </w:r>
      <w:r>
        <w:rPr/>
        <w:t>when</w:t>
      </w:r>
      <w:r>
        <w:rPr>
          <w:spacing w:val="-16"/>
        </w:rPr>
        <w:t> </w:t>
      </w:r>
      <w:r>
        <w:rPr/>
        <w:t>it</w:t>
      </w:r>
      <w:r>
        <w:rPr>
          <w:spacing w:val="-16"/>
        </w:rPr>
        <w:t> </w:t>
      </w:r>
      <w:r>
        <w:rPr/>
        <w:t>is</w:t>
      </w:r>
      <w:r>
        <w:rPr>
          <w:spacing w:val="-16"/>
        </w:rPr>
        <w:t> </w:t>
      </w:r>
      <w:r>
        <w:rPr/>
        <w:t>published.</w:t>
      </w:r>
    </w:p>
    <w:p>
      <w:pPr>
        <w:pStyle w:val="BodyText"/>
        <w:rPr>
          <w:sz w:val="14"/>
        </w:rPr>
      </w:pPr>
    </w:p>
    <w:p>
      <w:pPr>
        <w:pStyle w:val="BodyText"/>
        <w:spacing w:line="249" w:lineRule="auto"/>
        <w:ind w:left="327" w:right="69"/>
      </w:pPr>
      <w:r>
        <w:rPr/>
        <w:t>The Committee made two observations that are relevant to such a review:</w:t>
      </w:r>
    </w:p>
    <w:p>
      <w:pPr>
        <w:pStyle w:val="ListParagraph"/>
        <w:numPr>
          <w:ilvl w:val="0"/>
          <w:numId w:val="4"/>
        </w:numPr>
        <w:tabs>
          <w:tab w:pos="526" w:val="left" w:leader="none"/>
        </w:tabs>
        <w:spacing w:line="249" w:lineRule="auto" w:before="55" w:after="0"/>
        <w:ind w:left="525" w:right="0" w:hanging="198"/>
        <w:jc w:val="left"/>
        <w:rPr>
          <w:sz w:val="16"/>
        </w:rPr>
      </w:pPr>
      <w:r>
        <w:rPr>
          <w:sz w:val="16"/>
        </w:rPr>
        <w:t>The launch of the University’s Guaranteed </w:t>
      </w:r>
      <w:r>
        <w:rPr>
          <w:spacing w:val="1"/>
          <w:w w:val="99"/>
          <w:sz w:val="16"/>
        </w:rPr>
        <w:t>Entry</w:t>
      </w:r>
      <w:r>
        <w:rPr>
          <w:spacing w:val="-10"/>
          <w:w w:val="99"/>
          <w:sz w:val="16"/>
        </w:rPr>
        <w:t> </w:t>
      </w:r>
      <w:r>
        <w:rPr>
          <w:spacing w:val="1"/>
          <w:w w:val="98"/>
          <w:sz w:val="16"/>
        </w:rPr>
        <w:t>Program</w:t>
      </w:r>
      <w:r>
        <w:rPr>
          <w:spacing w:val="-9"/>
          <w:w w:val="98"/>
          <w:sz w:val="16"/>
        </w:rPr>
        <w:t> </w:t>
      </w:r>
      <w:r>
        <w:rPr>
          <w:w w:val="95"/>
          <w:sz w:val="16"/>
        </w:rPr>
        <w:t>in</w:t>
      </w:r>
      <w:r>
        <w:rPr>
          <w:spacing w:val="-8"/>
          <w:w w:val="95"/>
          <w:sz w:val="16"/>
        </w:rPr>
        <w:t> </w:t>
      </w:r>
      <w:r>
        <w:rPr>
          <w:spacing w:val="1"/>
          <w:w w:val="90"/>
          <w:sz w:val="16"/>
        </w:rPr>
        <w:t>2016</w:t>
      </w:r>
      <w:r>
        <w:rPr>
          <w:spacing w:val="-5"/>
          <w:w w:val="90"/>
          <w:sz w:val="16"/>
        </w:rPr>
        <w:t> </w:t>
      </w:r>
      <w:r>
        <w:rPr>
          <w:spacing w:val="1"/>
          <w:w w:val="95"/>
          <w:sz w:val="16"/>
        </w:rPr>
        <w:t>means</w:t>
      </w:r>
      <w:r>
        <w:rPr>
          <w:spacing w:val="-8"/>
          <w:w w:val="95"/>
          <w:sz w:val="16"/>
        </w:rPr>
        <w:t> </w:t>
      </w:r>
      <w:r>
        <w:rPr>
          <w:w w:val="98"/>
          <w:sz w:val="16"/>
        </w:rPr>
        <w:t>that</w:t>
      </w:r>
      <w:r>
        <w:rPr>
          <w:spacing w:val="-9"/>
          <w:w w:val="98"/>
          <w:sz w:val="16"/>
        </w:rPr>
        <w:t> </w:t>
      </w:r>
      <w:r>
        <w:rPr>
          <w:spacing w:val="1"/>
          <w:w w:val="97"/>
          <w:sz w:val="16"/>
        </w:rPr>
        <w:t>students</w:t>
      </w:r>
      <w:r>
        <w:rPr>
          <w:w w:val="97"/>
          <w:sz w:val="16"/>
        </w:rPr>
        <w:t> </w:t>
      </w:r>
      <w:r>
        <w:rPr>
          <w:sz w:val="16"/>
        </w:rPr>
        <w:t>now</w:t>
      </w:r>
      <w:r>
        <w:rPr>
          <w:spacing w:val="-22"/>
          <w:sz w:val="16"/>
        </w:rPr>
        <w:t> </w:t>
      </w:r>
      <w:r>
        <w:rPr>
          <w:sz w:val="16"/>
        </w:rPr>
        <w:t>have</w:t>
      </w:r>
      <w:r>
        <w:rPr>
          <w:spacing w:val="-22"/>
          <w:sz w:val="16"/>
        </w:rPr>
        <w:t> </w:t>
      </w:r>
      <w:r>
        <w:rPr>
          <w:sz w:val="16"/>
        </w:rPr>
        <w:t>greater</w:t>
      </w:r>
      <w:r>
        <w:rPr>
          <w:spacing w:val="-22"/>
          <w:sz w:val="16"/>
        </w:rPr>
        <w:t> </w:t>
      </w:r>
      <w:r>
        <w:rPr>
          <w:sz w:val="16"/>
        </w:rPr>
        <w:t>assurance</w:t>
      </w:r>
      <w:r>
        <w:rPr>
          <w:spacing w:val="-22"/>
          <w:sz w:val="16"/>
        </w:rPr>
        <w:t> </w:t>
      </w:r>
      <w:r>
        <w:rPr>
          <w:sz w:val="16"/>
        </w:rPr>
        <w:t>in</w:t>
      </w:r>
      <w:r>
        <w:rPr>
          <w:spacing w:val="-22"/>
          <w:sz w:val="16"/>
        </w:rPr>
        <w:t> </w:t>
      </w:r>
      <w:r>
        <w:rPr>
          <w:sz w:val="16"/>
        </w:rPr>
        <w:t>seeking</w:t>
      </w:r>
    </w:p>
    <w:p>
      <w:pPr>
        <w:pStyle w:val="BodyText"/>
        <w:spacing w:line="249" w:lineRule="auto"/>
        <w:ind w:left="525" w:right="69"/>
      </w:pPr>
      <w:r>
        <w:rPr/>
        <w:t>a study place at the University, and updating</w:t>
      </w:r>
      <w:r>
        <w:rPr>
          <w:spacing w:val="-16"/>
        </w:rPr>
        <w:t> </w:t>
      </w:r>
      <w:r>
        <w:rPr/>
        <w:t>the</w:t>
      </w:r>
      <w:r>
        <w:rPr>
          <w:spacing w:val="-16"/>
        </w:rPr>
        <w:t> </w:t>
      </w:r>
      <w:r>
        <w:rPr/>
        <w:t>entry</w:t>
      </w:r>
      <w:r>
        <w:rPr>
          <w:spacing w:val="-16"/>
        </w:rPr>
        <w:t> </w:t>
      </w:r>
      <w:r>
        <w:rPr/>
        <w:t>criteria</w:t>
      </w:r>
      <w:r>
        <w:rPr>
          <w:spacing w:val="-16"/>
        </w:rPr>
        <w:t> </w:t>
      </w:r>
      <w:r>
        <w:rPr/>
        <w:t>has</w:t>
      </w:r>
      <w:r>
        <w:rPr>
          <w:spacing w:val="-16"/>
        </w:rPr>
        <w:t> </w:t>
      </w:r>
      <w:r>
        <w:rPr/>
        <w:t>improved the</w:t>
      </w:r>
      <w:r>
        <w:rPr>
          <w:spacing w:val="-16"/>
        </w:rPr>
        <w:t> </w:t>
      </w:r>
      <w:r>
        <w:rPr/>
        <w:t>transparency</w:t>
      </w:r>
      <w:r>
        <w:rPr>
          <w:spacing w:val="-16"/>
        </w:rPr>
        <w:t> </w:t>
      </w:r>
      <w:r>
        <w:rPr/>
        <w:t>of</w:t>
      </w:r>
      <w:r>
        <w:rPr>
          <w:spacing w:val="-16"/>
        </w:rPr>
        <w:t> </w:t>
      </w:r>
      <w:r>
        <w:rPr/>
        <w:t>study</w:t>
      </w:r>
      <w:r>
        <w:rPr>
          <w:spacing w:val="-16"/>
        </w:rPr>
        <w:t> </w:t>
      </w:r>
      <w:r>
        <w:rPr/>
        <w:t>offers</w:t>
      </w:r>
      <w:r>
        <w:rPr>
          <w:spacing w:val="-16"/>
        </w:rPr>
        <w:t> </w:t>
      </w:r>
      <w:r>
        <w:rPr/>
        <w:t>–</w:t>
      </w:r>
      <w:r>
        <w:rPr>
          <w:spacing w:val="-16"/>
        </w:rPr>
        <w:t> </w:t>
      </w:r>
      <w:r>
        <w:rPr/>
        <w:t>a</w:t>
      </w:r>
      <w:r>
        <w:rPr>
          <w:spacing w:val="-16"/>
        </w:rPr>
        <w:t> </w:t>
      </w:r>
      <w:r>
        <w:rPr/>
        <w:t>core disclosure</w:t>
      </w:r>
      <w:r>
        <w:rPr>
          <w:spacing w:val="-21"/>
        </w:rPr>
        <w:t> </w:t>
      </w:r>
      <w:r>
        <w:rPr/>
        <w:t>in</w:t>
      </w:r>
      <w:r>
        <w:rPr>
          <w:spacing w:val="-21"/>
        </w:rPr>
        <w:t> </w:t>
      </w:r>
      <w:r>
        <w:rPr/>
        <w:t>the</w:t>
      </w:r>
      <w:r>
        <w:rPr>
          <w:spacing w:val="-21"/>
        </w:rPr>
        <w:t> </w:t>
      </w:r>
      <w:r>
        <w:rPr/>
        <w:t>public</w:t>
      </w:r>
      <w:r>
        <w:rPr>
          <w:spacing w:val="-21"/>
        </w:rPr>
        <w:t> </w:t>
      </w:r>
      <w:r>
        <w:rPr/>
        <w:t>interest.</w:t>
      </w:r>
    </w:p>
    <w:p>
      <w:pPr>
        <w:pStyle w:val="BodyText"/>
        <w:rPr>
          <w:sz w:val="14"/>
        </w:rPr>
      </w:pPr>
    </w:p>
    <w:p>
      <w:pPr>
        <w:pStyle w:val="ListParagraph"/>
        <w:numPr>
          <w:ilvl w:val="0"/>
          <w:numId w:val="4"/>
        </w:numPr>
        <w:tabs>
          <w:tab w:pos="526" w:val="left" w:leader="none"/>
        </w:tabs>
        <w:spacing w:line="249" w:lineRule="auto" w:before="0" w:after="0"/>
        <w:ind w:left="525" w:right="96" w:hanging="198"/>
        <w:jc w:val="left"/>
        <w:rPr>
          <w:sz w:val="16"/>
        </w:rPr>
      </w:pPr>
      <w:r>
        <w:rPr>
          <w:sz w:val="16"/>
        </w:rPr>
        <w:t>Although the University has published a number of strategic plans, available via the ‘Our Priorities’ link in the University’s information guide, there is no current strategic</w:t>
      </w:r>
      <w:r>
        <w:rPr>
          <w:spacing w:val="-17"/>
          <w:sz w:val="16"/>
        </w:rPr>
        <w:t> </w:t>
      </w:r>
      <w:r>
        <w:rPr>
          <w:sz w:val="16"/>
        </w:rPr>
        <w:t>plan</w:t>
      </w:r>
      <w:r>
        <w:rPr>
          <w:spacing w:val="-17"/>
          <w:sz w:val="16"/>
        </w:rPr>
        <w:t> </w:t>
      </w:r>
      <w:r>
        <w:rPr>
          <w:sz w:val="16"/>
        </w:rPr>
        <w:t>for</w:t>
      </w:r>
      <w:r>
        <w:rPr>
          <w:spacing w:val="-17"/>
          <w:sz w:val="16"/>
        </w:rPr>
        <w:t> </w:t>
      </w:r>
      <w:r>
        <w:rPr>
          <w:sz w:val="16"/>
        </w:rPr>
        <w:t>research</w:t>
      </w:r>
      <w:r>
        <w:rPr>
          <w:spacing w:val="-17"/>
          <w:sz w:val="16"/>
        </w:rPr>
        <w:t> </w:t>
      </w:r>
      <w:r>
        <w:rPr>
          <w:sz w:val="16"/>
        </w:rPr>
        <w:t>and</w:t>
      </w:r>
      <w:r>
        <w:rPr>
          <w:spacing w:val="-17"/>
          <w:sz w:val="16"/>
        </w:rPr>
        <w:t> </w:t>
      </w:r>
      <w:r>
        <w:rPr>
          <w:sz w:val="16"/>
        </w:rPr>
        <w:t>this</w:t>
      </w:r>
      <w:r>
        <w:rPr>
          <w:spacing w:val="-17"/>
          <w:sz w:val="16"/>
        </w:rPr>
        <w:t> </w:t>
      </w:r>
      <w:r>
        <w:rPr>
          <w:sz w:val="16"/>
        </w:rPr>
        <w:t>matter should be</w:t>
      </w:r>
      <w:r>
        <w:rPr>
          <w:spacing w:val="-36"/>
          <w:sz w:val="16"/>
        </w:rPr>
        <w:t> </w:t>
      </w:r>
      <w:r>
        <w:rPr>
          <w:sz w:val="16"/>
        </w:rPr>
        <w:t>rectified.</w:t>
      </w:r>
    </w:p>
    <w:p>
      <w:pPr>
        <w:pStyle w:val="BodyText"/>
        <w:spacing w:line="249" w:lineRule="auto" w:before="90"/>
        <w:ind w:left="210" w:right="523"/>
      </w:pPr>
      <w:r>
        <w:rPr/>
        <w:br w:type="column"/>
      </w:r>
      <w:r>
        <w:rPr/>
        <w:t>During the reporting period, the University received six formal access applications.</w:t>
      </w:r>
    </w:p>
    <w:p>
      <w:pPr>
        <w:pStyle w:val="BodyText"/>
        <w:spacing w:before="6"/>
        <w:rPr>
          <w:sz w:val="14"/>
        </w:rPr>
      </w:pPr>
    </w:p>
    <w:p>
      <w:pPr>
        <w:pStyle w:val="Heading7"/>
        <w:spacing w:line="249" w:lineRule="auto"/>
        <w:ind w:left="379" w:right="737" w:hanging="170"/>
      </w:pPr>
      <w:r>
        <w:rPr>
          <w:color w:val="615C58"/>
        </w:rPr>
        <w:t>3. Number of refused applications for </w:t>
      </w:r>
      <w:r>
        <w:rPr>
          <w:color w:val="615C58"/>
          <w:w w:val="95"/>
        </w:rPr>
        <w:t>Schedule 1 information – Clause 7(c)</w:t>
      </w:r>
    </w:p>
    <w:p>
      <w:pPr>
        <w:pStyle w:val="BodyText"/>
        <w:spacing w:line="249" w:lineRule="auto" w:before="79"/>
        <w:ind w:left="210" w:right="350"/>
      </w:pPr>
      <w:r>
        <w:rPr/>
        <w:t>During the reporting period, the University did</w:t>
      </w:r>
      <w:r>
        <w:rPr>
          <w:spacing w:val="-15"/>
        </w:rPr>
        <w:t> </w:t>
      </w:r>
      <w:r>
        <w:rPr/>
        <w:t>not</w:t>
      </w:r>
      <w:r>
        <w:rPr>
          <w:spacing w:val="-15"/>
        </w:rPr>
        <w:t> </w:t>
      </w:r>
      <w:r>
        <w:rPr/>
        <w:t>refuse</w:t>
      </w:r>
      <w:r>
        <w:rPr>
          <w:spacing w:val="-15"/>
        </w:rPr>
        <w:t> </w:t>
      </w:r>
      <w:r>
        <w:rPr/>
        <w:t>any</w:t>
      </w:r>
      <w:r>
        <w:rPr>
          <w:spacing w:val="-15"/>
        </w:rPr>
        <w:t> </w:t>
      </w:r>
      <w:r>
        <w:rPr/>
        <w:t>formal</w:t>
      </w:r>
      <w:r>
        <w:rPr>
          <w:spacing w:val="-15"/>
        </w:rPr>
        <w:t> </w:t>
      </w:r>
      <w:r>
        <w:rPr/>
        <w:t>access</w:t>
      </w:r>
      <w:r>
        <w:rPr>
          <w:spacing w:val="-15"/>
        </w:rPr>
        <w:t> </w:t>
      </w:r>
      <w:r>
        <w:rPr/>
        <w:t>applications because none of the information requested was</w:t>
      </w:r>
      <w:r>
        <w:rPr>
          <w:spacing w:val="-19"/>
        </w:rPr>
        <w:t> </w:t>
      </w:r>
      <w:r>
        <w:rPr/>
        <w:t>referred</w:t>
      </w:r>
      <w:r>
        <w:rPr>
          <w:spacing w:val="-19"/>
        </w:rPr>
        <w:t> </w:t>
      </w:r>
      <w:r>
        <w:rPr/>
        <w:t>to</w:t>
      </w:r>
      <w:r>
        <w:rPr>
          <w:spacing w:val="-19"/>
        </w:rPr>
        <w:t> </w:t>
      </w:r>
      <w:r>
        <w:rPr/>
        <w:t>in</w:t>
      </w:r>
      <w:r>
        <w:rPr>
          <w:spacing w:val="-19"/>
        </w:rPr>
        <w:t> </w:t>
      </w:r>
      <w:r>
        <w:rPr/>
        <w:t>Schedule</w:t>
      </w:r>
      <w:r>
        <w:rPr>
          <w:spacing w:val="-19"/>
        </w:rPr>
        <w:t> </w:t>
      </w:r>
      <w:r>
        <w:rPr>
          <w:w w:val="95"/>
        </w:rPr>
        <w:t>1</w:t>
      </w:r>
      <w:r>
        <w:rPr>
          <w:spacing w:val="-17"/>
          <w:w w:val="95"/>
        </w:rPr>
        <w:t> </w:t>
      </w:r>
      <w:r>
        <w:rPr/>
        <w:t>to</w:t>
      </w:r>
      <w:r>
        <w:rPr>
          <w:spacing w:val="-19"/>
        </w:rPr>
        <w:t> </w:t>
      </w:r>
      <w:r>
        <w:rPr/>
        <w:t>the</w:t>
      </w:r>
      <w:r>
        <w:rPr>
          <w:spacing w:val="-19"/>
        </w:rPr>
        <w:t> </w:t>
      </w:r>
      <w:r>
        <w:rPr/>
        <w:t>GIPA</w:t>
      </w:r>
      <w:r>
        <w:rPr>
          <w:spacing w:val="-19"/>
        </w:rPr>
        <w:t> </w:t>
      </w:r>
      <w:r>
        <w:rPr/>
        <w:t>Act.</w:t>
      </w:r>
    </w:p>
    <w:p>
      <w:pPr>
        <w:spacing w:after="0" w:line="249" w:lineRule="auto"/>
        <w:sectPr>
          <w:type w:val="continuous"/>
          <w:pgSz w:w="11910" w:h="16840"/>
          <w:pgMar w:top="1580" w:bottom="280" w:left="580" w:right="580"/>
          <w:cols w:num="3" w:equalWidth="0">
            <w:col w:w="3395" w:space="44"/>
            <w:col w:w="3517" w:space="40"/>
            <w:col w:w="3754"/>
          </w:cols>
        </w:sectPr>
      </w:pPr>
    </w:p>
    <w:p>
      <w:pPr>
        <w:pStyle w:val="BodyText"/>
        <w:spacing w:before="6"/>
        <w:rPr>
          <w:sz w:val="28"/>
        </w:rPr>
      </w:pPr>
      <w:r>
        <w:rPr/>
        <w:pict>
          <v:rect style="position:absolute;margin-left:34.015999pt;margin-top:45.355015pt;width:527.244pt;height:751.181pt;mso-position-horizontal-relative:page;mso-position-vertical-relative:page;z-index:-334744" filled="true" fillcolor="#e9e9e9" stroked="false">
            <v:fill type="solid"/>
            <w10:wrap type="none"/>
          </v:rect>
        </w:pict>
      </w:r>
    </w:p>
    <w:p>
      <w:pPr>
        <w:pStyle w:val="Heading1"/>
      </w:pPr>
      <w:r>
        <w:rPr>
          <w:w w:val="95"/>
        </w:rPr>
        <w:t>APPENDIX 8</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7"/>
        <w:spacing w:before="72"/>
        <w:ind w:left="327" w:right="503"/>
      </w:pPr>
      <w:r>
        <w:rPr>
          <w:w w:val="95"/>
        </w:rPr>
        <w:t>STATISTICAL INFORMATION ABOUT ACCESS APPLICATIONS – CLAUSE 7(D) AND SCHEDULE  2</w:t>
      </w:r>
    </w:p>
    <w:p>
      <w:pPr>
        <w:spacing w:before="64"/>
        <w:ind w:left="327" w:right="503" w:firstLine="0"/>
        <w:jc w:val="left"/>
        <w:rPr>
          <w:rFonts w:ascii="Gotham Narrow Bold"/>
          <w:b/>
          <w:sz w:val="16"/>
        </w:rPr>
      </w:pPr>
      <w:r>
        <w:rPr>
          <w:rFonts w:ascii="Gotham Narrow Bold"/>
          <w:b/>
          <w:color w:val="615C58"/>
          <w:sz w:val="16"/>
        </w:rPr>
        <w:t>Table A: Number of applications by type of applicant and outcome*</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042"/>
        <w:gridCol w:w="1006"/>
        <w:gridCol w:w="1006"/>
        <w:gridCol w:w="1006"/>
        <w:gridCol w:w="1006"/>
        <w:gridCol w:w="1006"/>
        <w:gridCol w:w="1006"/>
        <w:gridCol w:w="1006"/>
        <w:gridCol w:w="1006"/>
      </w:tblGrid>
      <w:tr>
        <w:trPr>
          <w:trHeight w:val="1288" w:hRule="exact"/>
        </w:trPr>
        <w:tc>
          <w:tcPr>
            <w:tcW w:w="2042" w:type="dxa"/>
            <w:tcBorders>
              <w:top w:val="nil"/>
              <w:left w:val="nil"/>
              <w:bottom w:val="nil"/>
              <w:right w:val="single" w:sz="4" w:space="0" w:color="FFFFFF"/>
            </w:tcBorders>
            <w:shd w:val="clear" w:color="auto" w:fill="949290"/>
          </w:tcPr>
          <w:p>
            <w:pP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part</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51" w:right="150" w:hanging="1"/>
              <w:jc w:val="center"/>
              <w:rPr>
                <w:rFonts w:ascii="Gotham Narrow Bold"/>
                <w:b/>
                <w:sz w:val="16"/>
              </w:rPr>
            </w:pPr>
            <w:r>
              <w:rPr>
                <w:rFonts w:ascii="Gotham Narrow Bold"/>
                <w:b/>
                <w:color w:val="FFFFFF"/>
                <w:sz w:val="16"/>
              </w:rPr>
              <w:t>Access </w:t>
            </w:r>
            <w:r>
              <w:rPr>
                <w:rFonts w:ascii="Gotham Narrow Bold"/>
                <w:b/>
                <w:color w:val="FFFFFF"/>
                <w:w w:val="95"/>
                <w:sz w:val="16"/>
              </w:rPr>
              <w:t>refused</w:t>
            </w:r>
            <w:r>
              <w:rPr>
                <w:rFonts w:ascii="Gotham Narrow Bold"/>
                <w:b/>
                <w:color w:val="FFFFFF"/>
                <w:spacing w:val="-16"/>
                <w:w w:val="95"/>
                <w:sz w:val="16"/>
              </w:rPr>
              <w:t> </w:t>
            </w:r>
            <w:r>
              <w:rPr>
                <w:rFonts w:ascii="Gotham Narrow Bold"/>
                <w:b/>
                <w:color w:val="FFFFFF"/>
                <w:w w:val="95"/>
                <w:sz w:val="16"/>
              </w:rPr>
              <w:t>in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210" w:hanging="130"/>
              <w:jc w:val="left"/>
              <w:rPr>
                <w:rFonts w:ascii="Gotham Narrow Bold"/>
                <w:b/>
                <w:sz w:val="16"/>
              </w:rPr>
            </w:pPr>
            <w:r>
              <w:rPr>
                <w:rFonts w:ascii="Gotham Narrow Bold"/>
                <w:b/>
                <w:color w:val="FFFFFF"/>
                <w:w w:val="90"/>
                <w:sz w:val="16"/>
              </w:rPr>
              <w:t>Information </w:t>
            </w:r>
            <w:r>
              <w:rPr>
                <w:rFonts w:ascii="Gotham Narrow Bold"/>
                <w:b/>
                <w:color w:val="FFFFFF"/>
                <w:w w:val="95"/>
                <w:sz w:val="16"/>
              </w:rPr>
              <w:t>not held</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60" w:right="58"/>
              <w:jc w:val="center"/>
              <w:rPr>
                <w:rFonts w:ascii="Gotham Narrow Bold"/>
                <w:b/>
                <w:sz w:val="16"/>
              </w:rPr>
            </w:pPr>
            <w:r>
              <w:rPr>
                <w:rFonts w:ascii="Gotham Narrow Bold"/>
                <w:b/>
                <w:color w:val="FFFFFF"/>
                <w:w w:val="95"/>
                <w:sz w:val="16"/>
              </w:rPr>
              <w:t>Information </w:t>
            </w:r>
            <w:r>
              <w:rPr>
                <w:rFonts w:ascii="Gotham Narrow Bold"/>
                <w:b/>
                <w:color w:val="FFFFFF"/>
                <w:sz w:val="16"/>
              </w:rPr>
              <w:t>already available</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00" w:right="98" w:firstLine="68"/>
              <w:jc w:val="both"/>
              <w:rPr>
                <w:rFonts w:ascii="Gotham Narrow Bold"/>
                <w:b/>
                <w:sz w:val="16"/>
              </w:rPr>
            </w:pPr>
            <w:r>
              <w:rPr>
                <w:rFonts w:ascii="Gotham Narrow Bold"/>
                <w:b/>
                <w:color w:val="FFFFFF"/>
                <w:sz w:val="16"/>
              </w:rPr>
              <w:t>Refuse to deal with </w:t>
            </w:r>
            <w:r>
              <w:rPr>
                <w:rFonts w:ascii="Gotham Narrow Bold"/>
                <w:b/>
                <w:color w:val="FFFFFF"/>
                <w:w w:val="90"/>
                <w:sz w:val="16"/>
              </w:rPr>
              <w:t>application</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60" w:right="58"/>
              <w:jc w:val="center"/>
              <w:rPr>
                <w:rFonts w:ascii="Gotham Narrow Bold"/>
                <w:b/>
                <w:sz w:val="16"/>
              </w:rPr>
            </w:pPr>
            <w:r>
              <w:rPr>
                <w:rFonts w:ascii="Gotham Narrow Bold"/>
                <w:b/>
                <w:color w:val="FFFFFF"/>
                <w:sz w:val="16"/>
              </w:rPr>
              <w:t>Refuse to confirm/ deny whether </w:t>
            </w:r>
            <w:r>
              <w:rPr>
                <w:rFonts w:ascii="Gotham Narrow Bold"/>
                <w:b/>
                <w:color w:val="FFFFFF"/>
                <w:w w:val="95"/>
                <w:sz w:val="16"/>
              </w:rPr>
              <w:t>information is held</w:t>
            </w:r>
          </w:p>
        </w:tc>
        <w:tc>
          <w:tcPr>
            <w:tcW w:w="1006" w:type="dxa"/>
            <w:tcBorders>
              <w:top w:val="nil"/>
              <w:left w:val="single" w:sz="4" w:space="0" w:color="FFFFFF"/>
              <w:bottom w:val="nil"/>
              <w:right w:val="nil"/>
            </w:tcBorders>
            <w:shd w:val="clear" w:color="auto" w:fill="949290"/>
          </w:tcPr>
          <w:p>
            <w:pPr>
              <w:pStyle w:val="TableParagraph"/>
              <w:spacing w:line="249" w:lineRule="auto" w:before="54"/>
              <w:ind w:left="123" w:hanging="36"/>
              <w:jc w:val="left"/>
              <w:rPr>
                <w:rFonts w:ascii="Gotham Narrow Bold"/>
                <w:b/>
                <w:sz w:val="16"/>
              </w:rPr>
            </w:pPr>
            <w:r>
              <w:rPr>
                <w:rFonts w:ascii="Gotham Narrow Bold"/>
                <w:b/>
                <w:color w:val="FFFFFF"/>
                <w:w w:val="90"/>
                <w:sz w:val="16"/>
              </w:rPr>
              <w:t>Application </w:t>
            </w:r>
            <w:r>
              <w:rPr>
                <w:rFonts w:ascii="Gotham Narrow Bold"/>
                <w:b/>
                <w:color w:val="FFFFFF"/>
                <w:w w:val="95"/>
                <w:sz w:val="16"/>
              </w:rPr>
              <w:t>withdrawn</w:t>
            </w:r>
          </w:p>
        </w:tc>
      </w:tr>
      <w:tr>
        <w:trPr>
          <w:trHeight w:val="312" w:hRule="exact"/>
        </w:trPr>
        <w:tc>
          <w:tcPr>
            <w:tcW w:w="2042" w:type="dxa"/>
            <w:tcBorders>
              <w:top w:val="nil"/>
            </w:tcBorders>
            <w:shd w:val="clear" w:color="auto" w:fill="E9E9E9"/>
          </w:tcPr>
          <w:p>
            <w:pPr>
              <w:pStyle w:val="TableParagraph"/>
              <w:spacing w:before="48"/>
              <w:ind w:left="75" w:right="31"/>
              <w:jc w:val="left"/>
              <w:rPr>
                <w:sz w:val="16"/>
              </w:rPr>
            </w:pPr>
            <w:r>
              <w:rPr>
                <w:sz w:val="16"/>
              </w:rPr>
              <w:t>Media</w:t>
            </w:r>
          </w:p>
        </w:tc>
        <w:tc>
          <w:tcPr>
            <w:tcW w:w="1006" w:type="dxa"/>
            <w:tcBorders>
              <w:top w:val="nil"/>
            </w:tcBorders>
            <w:shd w:val="clear" w:color="auto" w:fill="E9E9E9"/>
          </w:tcPr>
          <w:p>
            <w:pPr>
              <w:pStyle w:val="TableParagraph"/>
              <w:spacing w:before="59"/>
              <w:jc w:val="center"/>
              <w:rPr>
                <w:sz w:val="16"/>
              </w:rPr>
            </w:pPr>
            <w:r>
              <w:rPr>
                <w:w w:val="111"/>
                <w:sz w:val="16"/>
              </w:rPr>
              <w:t>0</w:t>
            </w:r>
          </w:p>
        </w:tc>
        <w:tc>
          <w:tcPr>
            <w:tcW w:w="1006" w:type="dxa"/>
            <w:tcBorders>
              <w:top w:val="nil"/>
            </w:tcBorders>
            <w:shd w:val="clear" w:color="auto" w:fill="E9E9E9"/>
          </w:tcPr>
          <w:p>
            <w:pPr>
              <w:pStyle w:val="TableParagraph"/>
              <w:spacing w:before="59"/>
              <w:ind w:left="474"/>
              <w:jc w:val="left"/>
              <w:rPr>
                <w:sz w:val="16"/>
              </w:rPr>
            </w:pPr>
            <w:r>
              <w:rPr>
                <w:w w:val="54"/>
                <w:sz w:val="16"/>
              </w:rPr>
              <w:t>1</w:t>
            </w:r>
          </w:p>
        </w:tc>
        <w:tc>
          <w:tcPr>
            <w:tcW w:w="1006" w:type="dxa"/>
            <w:tcBorders>
              <w:top w:val="nil"/>
            </w:tcBorders>
            <w:shd w:val="clear" w:color="auto" w:fill="E9E9E9"/>
          </w:tcPr>
          <w:p>
            <w:pPr>
              <w:pStyle w:val="TableParagraph"/>
              <w:spacing w:before="59"/>
              <w:jc w:val="center"/>
              <w:rPr>
                <w:sz w:val="16"/>
              </w:rPr>
            </w:pPr>
            <w:r>
              <w:rPr>
                <w:w w:val="111"/>
                <w:sz w:val="16"/>
              </w:rPr>
              <w:t>0</w:t>
            </w:r>
          </w:p>
        </w:tc>
        <w:tc>
          <w:tcPr>
            <w:tcW w:w="1006" w:type="dxa"/>
            <w:tcBorders>
              <w:top w:val="nil"/>
            </w:tcBorders>
            <w:shd w:val="clear" w:color="auto" w:fill="E9E9E9"/>
          </w:tcPr>
          <w:p>
            <w:pPr>
              <w:pStyle w:val="TableParagraph"/>
              <w:spacing w:before="59"/>
              <w:jc w:val="center"/>
              <w:rPr>
                <w:sz w:val="16"/>
              </w:rPr>
            </w:pPr>
            <w:r>
              <w:rPr>
                <w:w w:val="111"/>
                <w:sz w:val="16"/>
              </w:rPr>
              <w:t>0</w:t>
            </w:r>
          </w:p>
        </w:tc>
        <w:tc>
          <w:tcPr>
            <w:tcW w:w="1006" w:type="dxa"/>
            <w:tcBorders>
              <w:top w:val="nil"/>
            </w:tcBorders>
            <w:shd w:val="clear" w:color="auto" w:fill="E9E9E9"/>
          </w:tcPr>
          <w:p>
            <w:pPr>
              <w:pStyle w:val="TableParagraph"/>
              <w:spacing w:before="59"/>
              <w:jc w:val="center"/>
              <w:rPr>
                <w:sz w:val="16"/>
              </w:rPr>
            </w:pPr>
            <w:r>
              <w:rPr>
                <w:w w:val="111"/>
                <w:sz w:val="16"/>
              </w:rPr>
              <w:t>0</w:t>
            </w:r>
          </w:p>
        </w:tc>
        <w:tc>
          <w:tcPr>
            <w:tcW w:w="1006" w:type="dxa"/>
            <w:tcBorders>
              <w:top w:val="nil"/>
            </w:tcBorders>
            <w:shd w:val="clear" w:color="auto" w:fill="E9E9E9"/>
          </w:tcPr>
          <w:p>
            <w:pPr>
              <w:pStyle w:val="TableParagraph"/>
              <w:spacing w:before="59"/>
              <w:jc w:val="center"/>
              <w:rPr>
                <w:sz w:val="16"/>
              </w:rPr>
            </w:pPr>
            <w:r>
              <w:rPr>
                <w:w w:val="111"/>
                <w:sz w:val="16"/>
              </w:rPr>
              <w:t>0</w:t>
            </w:r>
          </w:p>
        </w:tc>
        <w:tc>
          <w:tcPr>
            <w:tcW w:w="1006" w:type="dxa"/>
            <w:tcBorders>
              <w:top w:val="nil"/>
            </w:tcBorders>
            <w:shd w:val="clear" w:color="auto" w:fill="E9E9E9"/>
          </w:tcPr>
          <w:p>
            <w:pPr>
              <w:pStyle w:val="TableParagraph"/>
              <w:spacing w:before="59"/>
              <w:jc w:val="center"/>
              <w:rPr>
                <w:sz w:val="16"/>
              </w:rPr>
            </w:pPr>
            <w:r>
              <w:rPr>
                <w:w w:val="111"/>
                <w:sz w:val="16"/>
              </w:rPr>
              <w:t>0</w:t>
            </w:r>
          </w:p>
        </w:tc>
        <w:tc>
          <w:tcPr>
            <w:tcW w:w="1006" w:type="dxa"/>
            <w:tcBorders>
              <w:top w:val="nil"/>
            </w:tcBorders>
            <w:shd w:val="clear" w:color="auto" w:fill="E9E9E9"/>
          </w:tcPr>
          <w:p>
            <w:pPr>
              <w:pStyle w:val="TableParagraph"/>
              <w:spacing w:before="59"/>
              <w:jc w:val="center"/>
              <w:rPr>
                <w:sz w:val="16"/>
              </w:rPr>
            </w:pPr>
            <w:r>
              <w:rPr>
                <w:w w:val="111"/>
                <w:sz w:val="16"/>
              </w:rPr>
              <w:t>0</w:t>
            </w:r>
          </w:p>
        </w:tc>
      </w:tr>
      <w:tr>
        <w:trPr>
          <w:trHeight w:val="312" w:hRule="exact"/>
        </w:trPr>
        <w:tc>
          <w:tcPr>
            <w:tcW w:w="2042" w:type="dxa"/>
            <w:shd w:val="clear" w:color="auto" w:fill="E9E9E9"/>
          </w:tcPr>
          <w:p>
            <w:pPr>
              <w:pStyle w:val="TableParagraph"/>
              <w:spacing w:before="42"/>
              <w:ind w:left="74" w:right="31"/>
              <w:jc w:val="left"/>
              <w:rPr>
                <w:sz w:val="16"/>
              </w:rPr>
            </w:pPr>
            <w:r>
              <w:rPr>
                <w:sz w:val="16"/>
              </w:rPr>
              <w:t>Members of Parliament</w:t>
            </w:r>
          </w:p>
        </w:tc>
        <w:tc>
          <w:tcPr>
            <w:tcW w:w="1006" w:type="dxa"/>
            <w:shd w:val="clear" w:color="auto" w:fill="E9E9E9"/>
          </w:tcPr>
          <w:p>
            <w:pPr>
              <w:pStyle w:val="TableParagraph"/>
              <w:spacing w:before="54"/>
              <w:jc w:val="center"/>
              <w:rPr>
                <w:sz w:val="16"/>
              </w:rPr>
            </w:pPr>
            <w:r>
              <w:rPr>
                <w:w w:val="54"/>
                <w:sz w:val="16"/>
              </w:rPr>
              <w:t>1</w:t>
            </w:r>
          </w:p>
        </w:tc>
        <w:tc>
          <w:tcPr>
            <w:tcW w:w="1006" w:type="dxa"/>
            <w:shd w:val="clear" w:color="auto" w:fill="E9E9E9"/>
          </w:tcPr>
          <w:p>
            <w:pPr>
              <w:pStyle w:val="TableParagraph"/>
              <w:spacing w:before="54"/>
              <w:ind w:left="457"/>
              <w:jc w:val="left"/>
              <w:rPr>
                <w:sz w:val="16"/>
              </w:rPr>
            </w:pPr>
            <w:r>
              <w:rPr>
                <w:w w:val="93"/>
                <w:sz w:val="16"/>
              </w:rPr>
              <w:t>2</w:t>
            </w:r>
          </w:p>
        </w:tc>
        <w:tc>
          <w:tcPr>
            <w:tcW w:w="1006" w:type="dxa"/>
            <w:shd w:val="clear" w:color="auto" w:fill="E9E9E9"/>
          </w:tcPr>
          <w:p>
            <w:pPr>
              <w:pStyle w:val="TableParagraph"/>
              <w:spacing w:before="54"/>
              <w:jc w:val="center"/>
              <w:rPr>
                <w:sz w:val="16"/>
              </w:rPr>
            </w:pPr>
            <w:r>
              <w:rPr>
                <w:w w:val="111"/>
                <w:sz w:val="16"/>
              </w:rPr>
              <w:t>0</w:t>
            </w:r>
          </w:p>
        </w:tc>
        <w:tc>
          <w:tcPr>
            <w:tcW w:w="1006" w:type="dxa"/>
            <w:shd w:val="clear" w:color="auto" w:fill="E9E9E9"/>
          </w:tcPr>
          <w:p>
            <w:pPr>
              <w:pStyle w:val="TableParagraph"/>
              <w:spacing w:before="54"/>
              <w:jc w:val="center"/>
              <w:rPr>
                <w:sz w:val="16"/>
              </w:rPr>
            </w:pPr>
            <w:r>
              <w:rPr>
                <w:w w:val="111"/>
                <w:sz w:val="16"/>
              </w:rPr>
              <w:t>0</w:t>
            </w:r>
          </w:p>
        </w:tc>
        <w:tc>
          <w:tcPr>
            <w:tcW w:w="1006" w:type="dxa"/>
            <w:shd w:val="clear" w:color="auto" w:fill="E9E9E9"/>
          </w:tcPr>
          <w:p>
            <w:pPr>
              <w:pStyle w:val="TableParagraph"/>
              <w:spacing w:before="54"/>
              <w:jc w:val="center"/>
              <w:rPr>
                <w:sz w:val="16"/>
              </w:rPr>
            </w:pPr>
            <w:r>
              <w:rPr>
                <w:w w:val="111"/>
                <w:sz w:val="16"/>
              </w:rPr>
              <w:t>0</w:t>
            </w:r>
          </w:p>
        </w:tc>
        <w:tc>
          <w:tcPr>
            <w:tcW w:w="1006" w:type="dxa"/>
            <w:shd w:val="clear" w:color="auto" w:fill="E9E9E9"/>
          </w:tcPr>
          <w:p>
            <w:pPr>
              <w:pStyle w:val="TableParagraph"/>
              <w:spacing w:before="54"/>
              <w:jc w:val="center"/>
              <w:rPr>
                <w:sz w:val="16"/>
              </w:rPr>
            </w:pPr>
            <w:r>
              <w:rPr>
                <w:w w:val="111"/>
                <w:sz w:val="16"/>
              </w:rPr>
              <w:t>0</w:t>
            </w:r>
          </w:p>
        </w:tc>
        <w:tc>
          <w:tcPr>
            <w:tcW w:w="1006" w:type="dxa"/>
            <w:shd w:val="clear" w:color="auto" w:fill="E9E9E9"/>
          </w:tcPr>
          <w:p>
            <w:pPr>
              <w:pStyle w:val="TableParagraph"/>
              <w:spacing w:before="54"/>
              <w:ind w:right="1"/>
              <w:jc w:val="center"/>
              <w:rPr>
                <w:sz w:val="16"/>
              </w:rPr>
            </w:pPr>
            <w:r>
              <w:rPr>
                <w:w w:val="111"/>
                <w:sz w:val="16"/>
              </w:rPr>
              <w:t>0</w:t>
            </w:r>
          </w:p>
        </w:tc>
        <w:tc>
          <w:tcPr>
            <w:tcW w:w="1006" w:type="dxa"/>
            <w:shd w:val="clear" w:color="auto" w:fill="E9E9E9"/>
          </w:tcPr>
          <w:p>
            <w:pPr>
              <w:pStyle w:val="TableParagraph"/>
              <w:spacing w:before="54"/>
              <w:ind w:right="1"/>
              <w:jc w:val="center"/>
              <w:rPr>
                <w:sz w:val="16"/>
              </w:rPr>
            </w:pPr>
            <w:r>
              <w:rPr>
                <w:w w:val="111"/>
                <w:sz w:val="16"/>
              </w:rPr>
              <w:t>0</w:t>
            </w:r>
          </w:p>
        </w:tc>
      </w:tr>
      <w:tr>
        <w:trPr>
          <w:trHeight w:val="312" w:hRule="exact"/>
        </w:trPr>
        <w:tc>
          <w:tcPr>
            <w:tcW w:w="2042" w:type="dxa"/>
            <w:shd w:val="clear" w:color="auto" w:fill="E9E9E9"/>
          </w:tcPr>
          <w:p>
            <w:pPr>
              <w:pStyle w:val="TableParagraph"/>
              <w:spacing w:before="42"/>
              <w:ind w:left="74" w:right="31"/>
              <w:jc w:val="left"/>
              <w:rPr>
                <w:sz w:val="16"/>
              </w:rPr>
            </w:pPr>
            <w:r>
              <w:rPr>
                <w:sz w:val="16"/>
              </w:rPr>
              <w:t>Private-sector business</w:t>
            </w:r>
          </w:p>
        </w:tc>
        <w:tc>
          <w:tcPr>
            <w:tcW w:w="1006" w:type="dxa"/>
            <w:shd w:val="clear" w:color="auto" w:fill="E9E9E9"/>
          </w:tcPr>
          <w:p>
            <w:pPr>
              <w:pStyle w:val="TableParagraph"/>
              <w:spacing w:before="54"/>
              <w:ind w:right="1"/>
              <w:jc w:val="center"/>
              <w:rPr>
                <w:sz w:val="16"/>
              </w:rPr>
            </w:pPr>
            <w:r>
              <w:rPr>
                <w:w w:val="111"/>
                <w:sz w:val="16"/>
              </w:rPr>
              <w:t>0</w:t>
            </w:r>
          </w:p>
        </w:tc>
        <w:tc>
          <w:tcPr>
            <w:tcW w:w="1006" w:type="dxa"/>
            <w:shd w:val="clear" w:color="auto" w:fill="E9E9E9"/>
          </w:tcPr>
          <w:p>
            <w:pPr>
              <w:pStyle w:val="TableParagraph"/>
              <w:spacing w:before="54"/>
              <w:ind w:left="448"/>
              <w:jc w:val="left"/>
              <w:rPr>
                <w:sz w:val="16"/>
              </w:rPr>
            </w:pPr>
            <w:r>
              <w:rPr>
                <w:w w:val="111"/>
                <w:sz w:val="16"/>
              </w:rPr>
              <w:t>0</w:t>
            </w:r>
          </w:p>
        </w:tc>
        <w:tc>
          <w:tcPr>
            <w:tcW w:w="1006" w:type="dxa"/>
            <w:shd w:val="clear" w:color="auto" w:fill="E9E9E9"/>
          </w:tcPr>
          <w:p>
            <w:pPr>
              <w:pStyle w:val="TableParagraph"/>
              <w:spacing w:before="54"/>
              <w:ind w:right="1"/>
              <w:jc w:val="center"/>
              <w:rPr>
                <w:sz w:val="16"/>
              </w:rPr>
            </w:pPr>
            <w:r>
              <w:rPr>
                <w:w w:val="111"/>
                <w:sz w:val="16"/>
              </w:rPr>
              <w:t>0</w:t>
            </w:r>
          </w:p>
        </w:tc>
        <w:tc>
          <w:tcPr>
            <w:tcW w:w="1006" w:type="dxa"/>
            <w:shd w:val="clear" w:color="auto" w:fill="E9E9E9"/>
          </w:tcPr>
          <w:p>
            <w:pPr>
              <w:pStyle w:val="TableParagraph"/>
              <w:spacing w:before="54"/>
              <w:ind w:right="1"/>
              <w:jc w:val="center"/>
              <w:rPr>
                <w:sz w:val="16"/>
              </w:rPr>
            </w:pPr>
            <w:r>
              <w:rPr>
                <w:w w:val="111"/>
                <w:sz w:val="16"/>
              </w:rPr>
              <w:t>0</w:t>
            </w:r>
          </w:p>
        </w:tc>
        <w:tc>
          <w:tcPr>
            <w:tcW w:w="1006" w:type="dxa"/>
            <w:shd w:val="clear" w:color="auto" w:fill="E9E9E9"/>
          </w:tcPr>
          <w:p>
            <w:pPr>
              <w:pStyle w:val="TableParagraph"/>
              <w:spacing w:before="54"/>
              <w:ind w:right="1"/>
              <w:jc w:val="center"/>
              <w:rPr>
                <w:sz w:val="16"/>
              </w:rPr>
            </w:pPr>
            <w:r>
              <w:rPr>
                <w:w w:val="111"/>
                <w:sz w:val="16"/>
              </w:rPr>
              <w:t>0</w:t>
            </w:r>
          </w:p>
        </w:tc>
        <w:tc>
          <w:tcPr>
            <w:tcW w:w="1006" w:type="dxa"/>
            <w:shd w:val="clear" w:color="auto" w:fill="E9E9E9"/>
          </w:tcPr>
          <w:p>
            <w:pPr>
              <w:pStyle w:val="TableParagraph"/>
              <w:spacing w:before="54"/>
              <w:ind w:right="1"/>
              <w:jc w:val="center"/>
              <w:rPr>
                <w:sz w:val="16"/>
              </w:rPr>
            </w:pPr>
            <w:r>
              <w:rPr>
                <w:w w:val="111"/>
                <w:sz w:val="16"/>
              </w:rPr>
              <w:t>0</w:t>
            </w:r>
          </w:p>
        </w:tc>
        <w:tc>
          <w:tcPr>
            <w:tcW w:w="1006" w:type="dxa"/>
            <w:shd w:val="clear" w:color="auto" w:fill="E9E9E9"/>
          </w:tcPr>
          <w:p>
            <w:pPr>
              <w:pStyle w:val="TableParagraph"/>
              <w:spacing w:before="54"/>
              <w:ind w:right="1"/>
              <w:jc w:val="center"/>
              <w:rPr>
                <w:sz w:val="16"/>
              </w:rPr>
            </w:pPr>
            <w:r>
              <w:rPr>
                <w:w w:val="111"/>
                <w:sz w:val="16"/>
              </w:rPr>
              <w:t>0</w:t>
            </w:r>
          </w:p>
        </w:tc>
        <w:tc>
          <w:tcPr>
            <w:tcW w:w="1006" w:type="dxa"/>
            <w:shd w:val="clear" w:color="auto" w:fill="E9E9E9"/>
          </w:tcPr>
          <w:p>
            <w:pPr>
              <w:pStyle w:val="TableParagraph"/>
              <w:spacing w:before="54"/>
              <w:jc w:val="center"/>
              <w:rPr>
                <w:sz w:val="16"/>
              </w:rPr>
            </w:pPr>
            <w:r>
              <w:rPr>
                <w:w w:val="111"/>
                <w:sz w:val="16"/>
              </w:rPr>
              <w:t>0</w:t>
            </w:r>
          </w:p>
        </w:tc>
      </w:tr>
      <w:tr>
        <w:trPr>
          <w:trHeight w:val="688" w:hRule="exact"/>
        </w:trPr>
        <w:tc>
          <w:tcPr>
            <w:tcW w:w="2042" w:type="dxa"/>
            <w:shd w:val="clear" w:color="auto" w:fill="E9E9E9"/>
          </w:tcPr>
          <w:p>
            <w:pPr>
              <w:pStyle w:val="TableParagraph"/>
              <w:spacing w:line="249" w:lineRule="auto" w:before="42"/>
              <w:ind w:left="73" w:right="629"/>
              <w:jc w:val="left"/>
              <w:rPr>
                <w:sz w:val="16"/>
              </w:rPr>
            </w:pPr>
            <w:r>
              <w:rPr>
                <w:sz w:val="16"/>
              </w:rPr>
              <w:t>Not-for-profit organisations or community groups</w:t>
            </w:r>
          </w:p>
        </w:tc>
        <w:tc>
          <w:tcPr>
            <w:tcW w:w="1006" w:type="dxa"/>
            <w:shd w:val="clear" w:color="auto" w:fill="E9E9E9"/>
          </w:tcPr>
          <w:p>
            <w:pPr>
              <w:pStyle w:val="TableParagraph"/>
              <w:spacing w:before="2"/>
              <w:jc w:val="left"/>
              <w:rPr>
                <w:rFonts w:ascii="Gotham Narrow Bold"/>
                <w:b/>
                <w:sz w:val="20"/>
              </w:rPr>
            </w:pPr>
          </w:p>
          <w:p>
            <w:pPr>
              <w:pStyle w:val="TableParagraph"/>
              <w:spacing w:before="0"/>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ind w:left="448"/>
              <w:jc w:val="left"/>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r>
      <w:tr>
        <w:trPr>
          <w:trHeight w:val="688" w:hRule="exact"/>
        </w:trPr>
        <w:tc>
          <w:tcPr>
            <w:tcW w:w="2042" w:type="dxa"/>
            <w:shd w:val="clear" w:color="auto" w:fill="E9E9E9"/>
          </w:tcPr>
          <w:p>
            <w:pPr>
              <w:pStyle w:val="TableParagraph"/>
              <w:spacing w:line="249" w:lineRule="auto" w:before="42"/>
              <w:ind w:left="73" w:right="31"/>
              <w:jc w:val="left"/>
              <w:rPr>
                <w:sz w:val="16"/>
              </w:rPr>
            </w:pPr>
            <w:r>
              <w:rPr>
                <w:sz w:val="16"/>
              </w:rPr>
              <w:t>Members of the public (application by legal representative)</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ind w:left="455"/>
              <w:jc w:val="left"/>
              <w:rPr>
                <w:sz w:val="16"/>
              </w:rPr>
            </w:pPr>
            <w:r>
              <w:rPr>
                <w:w w:val="93"/>
                <w:sz w:val="16"/>
              </w:rPr>
              <w:t>2</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54"/>
                <w:sz w:val="16"/>
              </w:rPr>
              <w:t>1</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0"/>
              <w:ind w:right="1"/>
              <w:jc w:val="center"/>
              <w:rPr>
                <w:sz w:val="16"/>
              </w:rPr>
            </w:pPr>
            <w:r>
              <w:rPr>
                <w:w w:val="54"/>
                <w:sz w:val="16"/>
              </w:rPr>
              <w:t>1</w:t>
            </w:r>
          </w:p>
        </w:tc>
      </w:tr>
      <w:tr>
        <w:trPr>
          <w:trHeight w:val="488" w:hRule="exact"/>
        </w:trPr>
        <w:tc>
          <w:tcPr>
            <w:tcW w:w="2042" w:type="dxa"/>
            <w:shd w:val="clear" w:color="auto" w:fill="E9E9E9"/>
          </w:tcPr>
          <w:p>
            <w:pPr>
              <w:pStyle w:val="TableParagraph"/>
              <w:spacing w:line="249" w:lineRule="auto" w:before="42"/>
              <w:ind w:left="73" w:right="31"/>
              <w:jc w:val="left"/>
              <w:rPr>
                <w:sz w:val="16"/>
              </w:rPr>
            </w:pPr>
            <w:r>
              <w:rPr>
                <w:sz w:val="16"/>
              </w:rPr>
              <w:t>Members of the public (other)</w:t>
            </w:r>
          </w:p>
        </w:tc>
        <w:tc>
          <w:tcPr>
            <w:tcW w:w="1006" w:type="dxa"/>
            <w:shd w:val="clear" w:color="auto" w:fill="E9E9E9"/>
          </w:tcPr>
          <w:p>
            <w:pPr>
              <w:pStyle w:val="TableParagraph"/>
              <w:spacing w:before="142"/>
              <w:ind w:right="1"/>
              <w:jc w:val="center"/>
              <w:rPr>
                <w:sz w:val="16"/>
              </w:rPr>
            </w:pPr>
            <w:r>
              <w:rPr>
                <w:w w:val="111"/>
                <w:sz w:val="16"/>
              </w:rPr>
              <w:t>0</w:t>
            </w:r>
          </w:p>
        </w:tc>
        <w:tc>
          <w:tcPr>
            <w:tcW w:w="1006" w:type="dxa"/>
            <w:shd w:val="clear" w:color="auto" w:fill="E9E9E9"/>
          </w:tcPr>
          <w:p>
            <w:pPr>
              <w:pStyle w:val="TableParagraph"/>
              <w:spacing w:before="142"/>
              <w:ind w:left="447"/>
              <w:jc w:val="left"/>
              <w:rPr>
                <w:sz w:val="16"/>
              </w:rPr>
            </w:pPr>
            <w:r>
              <w:rPr>
                <w:w w:val="111"/>
                <w:sz w:val="16"/>
              </w:rPr>
              <w:t>0</w:t>
            </w:r>
          </w:p>
        </w:tc>
        <w:tc>
          <w:tcPr>
            <w:tcW w:w="1006" w:type="dxa"/>
            <w:shd w:val="clear" w:color="auto" w:fill="E9E9E9"/>
          </w:tcPr>
          <w:p>
            <w:pPr>
              <w:pStyle w:val="TableParagraph"/>
              <w:spacing w:before="142"/>
              <w:ind w:right="1"/>
              <w:jc w:val="center"/>
              <w:rPr>
                <w:sz w:val="16"/>
              </w:rPr>
            </w:pPr>
            <w:r>
              <w:rPr>
                <w:w w:val="111"/>
                <w:sz w:val="16"/>
              </w:rPr>
              <w:t>0</w:t>
            </w:r>
          </w:p>
        </w:tc>
        <w:tc>
          <w:tcPr>
            <w:tcW w:w="1006" w:type="dxa"/>
            <w:shd w:val="clear" w:color="auto" w:fill="E9E9E9"/>
          </w:tcPr>
          <w:p>
            <w:pPr>
              <w:pStyle w:val="TableParagraph"/>
              <w:spacing w:before="142"/>
              <w:ind w:right="1"/>
              <w:jc w:val="center"/>
              <w:rPr>
                <w:sz w:val="16"/>
              </w:rPr>
            </w:pPr>
            <w:r>
              <w:rPr>
                <w:w w:val="111"/>
                <w:sz w:val="16"/>
              </w:rPr>
              <w:t>0</w:t>
            </w:r>
          </w:p>
        </w:tc>
        <w:tc>
          <w:tcPr>
            <w:tcW w:w="1006" w:type="dxa"/>
            <w:shd w:val="clear" w:color="auto" w:fill="E9E9E9"/>
          </w:tcPr>
          <w:p>
            <w:pPr>
              <w:pStyle w:val="TableParagraph"/>
              <w:spacing w:before="142"/>
              <w:ind w:right="3"/>
              <w:jc w:val="center"/>
              <w:rPr>
                <w:sz w:val="16"/>
              </w:rPr>
            </w:pPr>
            <w:r>
              <w:rPr>
                <w:w w:val="111"/>
                <w:sz w:val="16"/>
              </w:rPr>
              <w:t>0</w:t>
            </w:r>
          </w:p>
        </w:tc>
        <w:tc>
          <w:tcPr>
            <w:tcW w:w="1006" w:type="dxa"/>
            <w:shd w:val="clear" w:color="auto" w:fill="E9E9E9"/>
          </w:tcPr>
          <w:p>
            <w:pPr>
              <w:pStyle w:val="TableParagraph"/>
              <w:spacing w:before="142"/>
              <w:ind w:right="2"/>
              <w:jc w:val="center"/>
              <w:rPr>
                <w:sz w:val="16"/>
              </w:rPr>
            </w:pPr>
            <w:r>
              <w:rPr>
                <w:w w:val="111"/>
                <w:sz w:val="16"/>
              </w:rPr>
              <w:t>0</w:t>
            </w:r>
          </w:p>
        </w:tc>
        <w:tc>
          <w:tcPr>
            <w:tcW w:w="1006" w:type="dxa"/>
            <w:shd w:val="clear" w:color="auto" w:fill="E9E9E9"/>
          </w:tcPr>
          <w:p>
            <w:pPr>
              <w:pStyle w:val="TableParagraph"/>
              <w:spacing w:before="142"/>
              <w:ind w:right="2"/>
              <w:jc w:val="center"/>
              <w:rPr>
                <w:sz w:val="16"/>
              </w:rPr>
            </w:pPr>
            <w:r>
              <w:rPr>
                <w:w w:val="111"/>
                <w:sz w:val="16"/>
              </w:rPr>
              <w:t>0</w:t>
            </w:r>
          </w:p>
        </w:tc>
        <w:tc>
          <w:tcPr>
            <w:tcW w:w="1006" w:type="dxa"/>
            <w:shd w:val="clear" w:color="auto" w:fill="E9E9E9"/>
          </w:tcPr>
          <w:p>
            <w:pPr>
              <w:pStyle w:val="TableParagraph"/>
              <w:spacing w:before="142"/>
              <w:ind w:right="2"/>
              <w:jc w:val="center"/>
              <w:rPr>
                <w:sz w:val="16"/>
              </w:rPr>
            </w:pPr>
            <w:r>
              <w:rPr>
                <w:w w:val="111"/>
                <w:sz w:val="16"/>
              </w:rPr>
              <w:t>0</w:t>
            </w:r>
          </w:p>
        </w:tc>
      </w:tr>
    </w:tbl>
    <w:p>
      <w:pPr>
        <w:pStyle w:val="BodyText"/>
        <w:spacing w:line="249" w:lineRule="auto" w:before="73"/>
        <w:ind w:left="324" w:right="503"/>
      </w:pPr>
      <w:r>
        <w:rPr/>
        <w:t>*More</w:t>
      </w:r>
      <w:r>
        <w:rPr>
          <w:spacing w:val="-18"/>
        </w:rPr>
        <w:t> </w:t>
      </w:r>
      <w:r>
        <w:rPr/>
        <w:t>than</w:t>
      </w:r>
      <w:r>
        <w:rPr>
          <w:spacing w:val="-18"/>
        </w:rPr>
        <w:t> </w:t>
      </w:r>
      <w:r>
        <w:rPr/>
        <w:t>one</w:t>
      </w:r>
      <w:r>
        <w:rPr>
          <w:spacing w:val="-18"/>
        </w:rPr>
        <w:t> </w:t>
      </w:r>
      <w:r>
        <w:rPr/>
        <w:t>decision</w:t>
      </w:r>
      <w:r>
        <w:rPr>
          <w:spacing w:val="-18"/>
        </w:rPr>
        <w:t> </w:t>
      </w:r>
      <w:r>
        <w:rPr/>
        <w:t>can</w:t>
      </w:r>
      <w:r>
        <w:rPr>
          <w:spacing w:val="-18"/>
        </w:rPr>
        <w:t> </w:t>
      </w:r>
      <w:r>
        <w:rPr/>
        <w:t>be</w:t>
      </w:r>
      <w:r>
        <w:rPr>
          <w:spacing w:val="-18"/>
        </w:rPr>
        <w:t> </w:t>
      </w:r>
      <w:r>
        <w:rPr/>
        <w:t>made</w:t>
      </w:r>
      <w:r>
        <w:rPr>
          <w:spacing w:val="-18"/>
        </w:rPr>
        <w:t> </w:t>
      </w:r>
      <w:r>
        <w:rPr/>
        <w:t>in</w:t>
      </w:r>
      <w:r>
        <w:rPr>
          <w:spacing w:val="-18"/>
        </w:rPr>
        <w:t> </w:t>
      </w:r>
      <w:r>
        <w:rPr/>
        <w:t>relation</w:t>
      </w:r>
      <w:r>
        <w:rPr>
          <w:spacing w:val="-18"/>
        </w:rPr>
        <w:t> </w:t>
      </w:r>
      <w:r>
        <w:rPr/>
        <w:t>to</w:t>
      </w:r>
      <w:r>
        <w:rPr>
          <w:spacing w:val="-18"/>
        </w:rPr>
        <w:t> </w:t>
      </w:r>
      <w:r>
        <w:rPr/>
        <w:t>a</w:t>
      </w:r>
      <w:r>
        <w:rPr>
          <w:spacing w:val="-18"/>
        </w:rPr>
        <w:t> </w:t>
      </w:r>
      <w:r>
        <w:rPr/>
        <w:t>particular</w:t>
      </w:r>
      <w:r>
        <w:rPr>
          <w:spacing w:val="-18"/>
        </w:rPr>
        <w:t> </w:t>
      </w:r>
      <w:r>
        <w:rPr/>
        <w:t>access</w:t>
      </w:r>
      <w:r>
        <w:rPr>
          <w:spacing w:val="-18"/>
        </w:rPr>
        <w:t> </w:t>
      </w:r>
      <w:r>
        <w:rPr/>
        <w:t>application.</w:t>
      </w:r>
      <w:r>
        <w:rPr>
          <w:spacing w:val="-18"/>
        </w:rPr>
        <w:t> </w:t>
      </w:r>
      <w:r>
        <w:rPr/>
        <w:t>If</w:t>
      </w:r>
      <w:r>
        <w:rPr>
          <w:spacing w:val="-18"/>
        </w:rPr>
        <w:t> </w:t>
      </w:r>
      <w:r>
        <w:rPr/>
        <w:t>so,</w:t>
      </w:r>
      <w:r>
        <w:rPr>
          <w:spacing w:val="-18"/>
        </w:rPr>
        <w:t> </w:t>
      </w:r>
      <w:r>
        <w:rPr/>
        <w:t>a</w:t>
      </w:r>
      <w:r>
        <w:rPr>
          <w:spacing w:val="-18"/>
        </w:rPr>
        <w:t> </w:t>
      </w:r>
      <w:r>
        <w:rPr/>
        <w:t>recording</w:t>
      </w:r>
      <w:r>
        <w:rPr>
          <w:spacing w:val="-18"/>
        </w:rPr>
        <w:t> </w:t>
      </w:r>
      <w:r>
        <w:rPr/>
        <w:t>must</w:t>
      </w:r>
      <w:r>
        <w:rPr>
          <w:spacing w:val="-18"/>
        </w:rPr>
        <w:t> </w:t>
      </w:r>
      <w:r>
        <w:rPr/>
        <w:t>be</w:t>
      </w:r>
      <w:r>
        <w:rPr>
          <w:spacing w:val="-18"/>
        </w:rPr>
        <w:t> </w:t>
      </w:r>
      <w:r>
        <w:rPr/>
        <w:t>made</w:t>
      </w:r>
      <w:r>
        <w:rPr>
          <w:spacing w:val="-18"/>
        </w:rPr>
        <w:t> </w:t>
      </w:r>
      <w:r>
        <w:rPr/>
        <w:t>in</w:t>
      </w:r>
      <w:r>
        <w:rPr>
          <w:spacing w:val="-18"/>
        </w:rPr>
        <w:t> </w:t>
      </w:r>
      <w:r>
        <w:rPr/>
        <w:t>relation</w:t>
      </w:r>
      <w:r>
        <w:rPr>
          <w:spacing w:val="-18"/>
        </w:rPr>
        <w:t> </w:t>
      </w:r>
      <w:r>
        <w:rPr/>
        <w:t>to</w:t>
      </w:r>
      <w:r>
        <w:rPr>
          <w:spacing w:val="-18"/>
        </w:rPr>
        <w:t> </w:t>
      </w:r>
      <w:r>
        <w:rPr/>
        <w:t>each</w:t>
      </w:r>
      <w:r>
        <w:rPr>
          <w:spacing w:val="-18"/>
        </w:rPr>
        <w:t> </w:t>
      </w:r>
      <w:r>
        <w:rPr/>
        <w:t>such decision.</w:t>
      </w:r>
      <w:r>
        <w:rPr>
          <w:spacing w:val="-22"/>
        </w:rPr>
        <w:t> </w:t>
      </w:r>
      <w:r>
        <w:rPr/>
        <w:t>This</w:t>
      </w:r>
      <w:r>
        <w:rPr>
          <w:spacing w:val="-22"/>
        </w:rPr>
        <w:t> </w:t>
      </w:r>
      <w:r>
        <w:rPr/>
        <w:t>also</w:t>
      </w:r>
      <w:r>
        <w:rPr>
          <w:spacing w:val="-22"/>
        </w:rPr>
        <w:t> </w:t>
      </w:r>
      <w:r>
        <w:rPr/>
        <w:t>applies</w:t>
      </w:r>
      <w:r>
        <w:rPr>
          <w:spacing w:val="-22"/>
        </w:rPr>
        <w:t> </w:t>
      </w:r>
      <w:r>
        <w:rPr/>
        <w:t>to</w:t>
      </w:r>
      <w:r>
        <w:rPr>
          <w:spacing w:val="-22"/>
        </w:rPr>
        <w:t> </w:t>
      </w:r>
      <w:r>
        <w:rPr/>
        <w:t>Table</w:t>
      </w:r>
      <w:r>
        <w:rPr>
          <w:spacing w:val="-22"/>
        </w:rPr>
        <w:t> </w:t>
      </w:r>
      <w:r>
        <w:rPr>
          <w:spacing w:val="2"/>
        </w:rPr>
        <w:t>B.</w:t>
      </w:r>
    </w:p>
    <w:p>
      <w:pPr>
        <w:pStyle w:val="BodyText"/>
        <w:spacing w:before="11"/>
        <w:rPr>
          <w:sz w:val="23"/>
        </w:rPr>
      </w:pPr>
    </w:p>
    <w:p>
      <w:pPr>
        <w:pStyle w:val="Heading7"/>
        <w:ind w:left="324" w:right="503"/>
      </w:pPr>
      <w:r>
        <w:rPr>
          <w:color w:val="615C58"/>
        </w:rPr>
        <w:t>Table B: Number of applications by type of application and outcome</w:t>
      </w:r>
    </w:p>
    <w:p>
      <w:pPr>
        <w:pStyle w:val="BodyText"/>
        <w:spacing w:before="11" w:after="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042"/>
        <w:gridCol w:w="1006"/>
        <w:gridCol w:w="1006"/>
        <w:gridCol w:w="1006"/>
        <w:gridCol w:w="1006"/>
        <w:gridCol w:w="1006"/>
        <w:gridCol w:w="1006"/>
        <w:gridCol w:w="1006"/>
        <w:gridCol w:w="1006"/>
      </w:tblGrid>
      <w:tr>
        <w:trPr>
          <w:trHeight w:val="1288" w:hRule="exact"/>
        </w:trPr>
        <w:tc>
          <w:tcPr>
            <w:tcW w:w="2042" w:type="dxa"/>
            <w:tcBorders>
              <w:top w:val="nil"/>
              <w:left w:val="nil"/>
              <w:bottom w:val="nil"/>
              <w:right w:val="single" w:sz="4" w:space="0" w:color="FFFFFF"/>
            </w:tcBorders>
            <w:shd w:val="clear" w:color="auto" w:fill="949290"/>
          </w:tcPr>
          <w:p>
            <w:pP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part</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51" w:right="150" w:hanging="1"/>
              <w:jc w:val="center"/>
              <w:rPr>
                <w:rFonts w:ascii="Gotham Narrow Bold"/>
                <w:b/>
                <w:sz w:val="16"/>
              </w:rPr>
            </w:pPr>
            <w:r>
              <w:rPr>
                <w:rFonts w:ascii="Gotham Narrow Bold"/>
                <w:b/>
                <w:color w:val="FFFFFF"/>
                <w:sz w:val="16"/>
              </w:rPr>
              <w:t>Access </w:t>
            </w:r>
            <w:r>
              <w:rPr>
                <w:rFonts w:ascii="Gotham Narrow Bold"/>
                <w:b/>
                <w:color w:val="FFFFFF"/>
                <w:w w:val="95"/>
                <w:sz w:val="16"/>
              </w:rPr>
              <w:t>refused</w:t>
            </w:r>
            <w:r>
              <w:rPr>
                <w:rFonts w:ascii="Gotham Narrow Bold"/>
                <w:b/>
                <w:color w:val="FFFFFF"/>
                <w:spacing w:val="-16"/>
                <w:w w:val="95"/>
                <w:sz w:val="16"/>
              </w:rPr>
              <w:t> </w:t>
            </w:r>
            <w:r>
              <w:rPr>
                <w:rFonts w:ascii="Gotham Narrow Bold"/>
                <w:b/>
                <w:color w:val="FFFFFF"/>
                <w:w w:val="95"/>
                <w:sz w:val="16"/>
              </w:rPr>
              <w:t>in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210" w:hanging="130"/>
              <w:jc w:val="left"/>
              <w:rPr>
                <w:rFonts w:ascii="Gotham Narrow Bold"/>
                <w:b/>
                <w:sz w:val="16"/>
              </w:rPr>
            </w:pPr>
            <w:r>
              <w:rPr>
                <w:rFonts w:ascii="Gotham Narrow Bold"/>
                <w:b/>
                <w:color w:val="FFFFFF"/>
                <w:w w:val="90"/>
                <w:sz w:val="16"/>
              </w:rPr>
              <w:t>Information </w:t>
            </w:r>
            <w:r>
              <w:rPr>
                <w:rFonts w:ascii="Gotham Narrow Bold"/>
                <w:b/>
                <w:color w:val="FFFFFF"/>
                <w:w w:val="95"/>
                <w:sz w:val="16"/>
              </w:rPr>
              <w:t>not held</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60" w:right="58"/>
              <w:jc w:val="center"/>
              <w:rPr>
                <w:rFonts w:ascii="Gotham Narrow Bold"/>
                <w:b/>
                <w:sz w:val="16"/>
              </w:rPr>
            </w:pPr>
            <w:r>
              <w:rPr>
                <w:rFonts w:ascii="Gotham Narrow Bold"/>
                <w:b/>
                <w:color w:val="FFFFFF"/>
                <w:w w:val="95"/>
                <w:sz w:val="16"/>
              </w:rPr>
              <w:t>Information </w:t>
            </w:r>
            <w:r>
              <w:rPr>
                <w:rFonts w:ascii="Gotham Narrow Bold"/>
                <w:b/>
                <w:color w:val="FFFFFF"/>
                <w:sz w:val="16"/>
              </w:rPr>
              <w:t>already available</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100" w:right="98" w:firstLine="68"/>
              <w:jc w:val="both"/>
              <w:rPr>
                <w:rFonts w:ascii="Gotham Narrow Bold"/>
                <w:b/>
                <w:sz w:val="16"/>
              </w:rPr>
            </w:pPr>
            <w:r>
              <w:rPr>
                <w:rFonts w:ascii="Gotham Narrow Bold"/>
                <w:b/>
                <w:color w:val="FFFFFF"/>
                <w:sz w:val="16"/>
              </w:rPr>
              <w:t>Refuse to deal with </w:t>
            </w:r>
            <w:r>
              <w:rPr>
                <w:rFonts w:ascii="Gotham Narrow Bold"/>
                <w:b/>
                <w:color w:val="FFFFFF"/>
                <w:w w:val="90"/>
                <w:sz w:val="16"/>
              </w:rPr>
              <w:t>application</w:t>
            </w:r>
          </w:p>
        </w:tc>
        <w:tc>
          <w:tcPr>
            <w:tcW w:w="1006" w:type="dxa"/>
            <w:tcBorders>
              <w:top w:val="nil"/>
              <w:left w:val="single" w:sz="4" w:space="0" w:color="FFFFFF"/>
              <w:bottom w:val="nil"/>
              <w:right w:val="single" w:sz="4" w:space="0" w:color="FFFFFF"/>
            </w:tcBorders>
            <w:shd w:val="clear" w:color="auto" w:fill="949290"/>
          </w:tcPr>
          <w:p>
            <w:pPr>
              <w:pStyle w:val="TableParagraph"/>
              <w:spacing w:line="249" w:lineRule="auto" w:before="54"/>
              <w:ind w:left="60" w:right="58"/>
              <w:jc w:val="center"/>
              <w:rPr>
                <w:rFonts w:ascii="Gotham Narrow Bold"/>
                <w:b/>
                <w:sz w:val="16"/>
              </w:rPr>
            </w:pPr>
            <w:r>
              <w:rPr>
                <w:rFonts w:ascii="Gotham Narrow Bold"/>
                <w:b/>
                <w:color w:val="FFFFFF"/>
                <w:sz w:val="16"/>
              </w:rPr>
              <w:t>Refuse to confirm/ deny whether </w:t>
            </w:r>
            <w:r>
              <w:rPr>
                <w:rFonts w:ascii="Gotham Narrow Bold"/>
                <w:b/>
                <w:color w:val="FFFFFF"/>
                <w:w w:val="95"/>
                <w:sz w:val="16"/>
              </w:rPr>
              <w:t>information is held</w:t>
            </w:r>
          </w:p>
        </w:tc>
        <w:tc>
          <w:tcPr>
            <w:tcW w:w="1006" w:type="dxa"/>
            <w:tcBorders>
              <w:top w:val="nil"/>
              <w:left w:val="single" w:sz="4" w:space="0" w:color="FFFFFF"/>
              <w:bottom w:val="nil"/>
              <w:right w:val="nil"/>
            </w:tcBorders>
            <w:shd w:val="clear" w:color="auto" w:fill="949290"/>
          </w:tcPr>
          <w:p>
            <w:pPr>
              <w:pStyle w:val="TableParagraph"/>
              <w:spacing w:line="249" w:lineRule="auto" w:before="54"/>
              <w:ind w:left="123" w:hanging="36"/>
              <w:jc w:val="left"/>
              <w:rPr>
                <w:rFonts w:ascii="Gotham Narrow Bold"/>
                <w:b/>
                <w:sz w:val="16"/>
              </w:rPr>
            </w:pPr>
            <w:r>
              <w:rPr>
                <w:rFonts w:ascii="Gotham Narrow Bold"/>
                <w:b/>
                <w:color w:val="FFFFFF"/>
                <w:w w:val="90"/>
                <w:sz w:val="16"/>
              </w:rPr>
              <w:t>Application </w:t>
            </w:r>
            <w:r>
              <w:rPr>
                <w:rFonts w:ascii="Gotham Narrow Bold"/>
                <w:b/>
                <w:color w:val="FFFFFF"/>
                <w:w w:val="95"/>
                <w:sz w:val="16"/>
              </w:rPr>
              <w:t>withdrawn</w:t>
            </w:r>
          </w:p>
        </w:tc>
      </w:tr>
      <w:tr>
        <w:trPr>
          <w:trHeight w:val="488" w:hRule="exact"/>
        </w:trPr>
        <w:tc>
          <w:tcPr>
            <w:tcW w:w="2042" w:type="dxa"/>
            <w:tcBorders>
              <w:top w:val="nil"/>
            </w:tcBorders>
            <w:shd w:val="clear" w:color="auto" w:fill="E9E9E9"/>
          </w:tcPr>
          <w:p>
            <w:pPr>
              <w:pStyle w:val="TableParagraph"/>
              <w:spacing w:line="249" w:lineRule="auto" w:before="48"/>
              <w:ind w:left="75" w:right="31"/>
              <w:jc w:val="left"/>
              <w:rPr>
                <w:sz w:val="16"/>
              </w:rPr>
            </w:pPr>
            <w:r>
              <w:rPr>
                <w:sz w:val="16"/>
              </w:rPr>
              <w:t>Personal information applications*</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ind w:left="474"/>
              <w:jc w:val="left"/>
              <w:rPr>
                <w:sz w:val="16"/>
              </w:rPr>
            </w:pPr>
            <w:r>
              <w:rPr>
                <w:w w:val="54"/>
                <w:sz w:val="16"/>
              </w:rPr>
              <w:t>1</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9E9E9"/>
          </w:tcPr>
          <w:p>
            <w:pPr>
              <w:pStyle w:val="TableParagraph"/>
              <w:spacing w:before="3"/>
              <w:jc w:val="left"/>
              <w:rPr>
                <w:rFonts w:ascii="Gotham Narrow Bold"/>
                <w:b/>
                <w:sz w:val="12"/>
              </w:rPr>
            </w:pPr>
          </w:p>
          <w:p>
            <w:pPr>
              <w:pStyle w:val="TableParagraph"/>
              <w:spacing w:before="1"/>
              <w:jc w:val="center"/>
              <w:rPr>
                <w:sz w:val="16"/>
              </w:rPr>
            </w:pPr>
            <w:r>
              <w:rPr>
                <w:w w:val="54"/>
                <w:sz w:val="16"/>
              </w:rPr>
              <w:t>1</w:t>
            </w:r>
          </w:p>
        </w:tc>
      </w:tr>
      <w:tr>
        <w:trPr>
          <w:trHeight w:val="688" w:hRule="exact"/>
        </w:trPr>
        <w:tc>
          <w:tcPr>
            <w:tcW w:w="2042" w:type="dxa"/>
            <w:shd w:val="clear" w:color="auto" w:fill="E9E9E9"/>
          </w:tcPr>
          <w:p>
            <w:pPr>
              <w:pStyle w:val="TableParagraph"/>
              <w:spacing w:line="249" w:lineRule="auto" w:before="43"/>
              <w:ind w:left="74" w:right="138"/>
              <w:jc w:val="both"/>
              <w:rPr>
                <w:sz w:val="16"/>
              </w:rPr>
            </w:pPr>
            <w:r>
              <w:rPr>
                <w:sz w:val="16"/>
              </w:rPr>
              <w:t>Access applications</w:t>
            </w:r>
            <w:r>
              <w:rPr>
                <w:spacing w:val="-26"/>
                <w:sz w:val="16"/>
              </w:rPr>
              <w:t> </w:t>
            </w:r>
            <w:r>
              <w:rPr>
                <w:sz w:val="16"/>
              </w:rPr>
              <w:t>(other than personal</w:t>
            </w:r>
            <w:r>
              <w:rPr>
                <w:spacing w:val="-36"/>
                <w:sz w:val="16"/>
              </w:rPr>
              <w:t> </w:t>
            </w:r>
            <w:r>
              <w:rPr>
                <w:sz w:val="16"/>
              </w:rPr>
              <w:t>information applications)</w:t>
            </w:r>
          </w:p>
        </w:tc>
        <w:tc>
          <w:tcPr>
            <w:tcW w:w="1006" w:type="dxa"/>
            <w:shd w:val="clear" w:color="auto" w:fill="E9E9E9"/>
          </w:tcPr>
          <w:p>
            <w:pPr>
              <w:pStyle w:val="TableParagraph"/>
              <w:spacing w:before="2"/>
              <w:jc w:val="left"/>
              <w:rPr>
                <w:rFonts w:ascii="Gotham Narrow Bold"/>
                <w:b/>
                <w:sz w:val="20"/>
              </w:rPr>
            </w:pPr>
          </w:p>
          <w:p>
            <w:pPr>
              <w:pStyle w:val="TableParagraph"/>
              <w:spacing w:before="1"/>
              <w:jc w:val="center"/>
              <w:rPr>
                <w:sz w:val="16"/>
              </w:rPr>
            </w:pPr>
            <w:r>
              <w:rPr>
                <w:w w:val="54"/>
                <w:sz w:val="16"/>
              </w:rPr>
              <w:t>1</w:t>
            </w:r>
          </w:p>
        </w:tc>
        <w:tc>
          <w:tcPr>
            <w:tcW w:w="1006" w:type="dxa"/>
            <w:shd w:val="clear" w:color="auto" w:fill="E9E9E9"/>
          </w:tcPr>
          <w:p>
            <w:pPr>
              <w:pStyle w:val="TableParagraph"/>
              <w:spacing w:before="2"/>
              <w:jc w:val="left"/>
              <w:rPr>
                <w:rFonts w:ascii="Gotham Narrow Bold"/>
                <w:b/>
                <w:sz w:val="20"/>
              </w:rPr>
            </w:pPr>
          </w:p>
          <w:p>
            <w:pPr>
              <w:pStyle w:val="TableParagraph"/>
              <w:spacing w:before="1"/>
              <w:ind w:left="452"/>
              <w:jc w:val="left"/>
              <w:rPr>
                <w:sz w:val="16"/>
              </w:rPr>
            </w:pPr>
            <w:r>
              <w:rPr>
                <w:w w:val="103"/>
                <w:sz w:val="16"/>
              </w:rPr>
              <w:t>4</w:t>
            </w:r>
          </w:p>
        </w:tc>
        <w:tc>
          <w:tcPr>
            <w:tcW w:w="1006" w:type="dxa"/>
            <w:shd w:val="clear" w:color="auto" w:fill="E9E9E9"/>
          </w:tcPr>
          <w:p>
            <w:pPr>
              <w:pStyle w:val="TableParagraph"/>
              <w:spacing w:before="2"/>
              <w:jc w:val="left"/>
              <w:rPr>
                <w:rFonts w:ascii="Gotham Narrow Bold"/>
                <w:b/>
                <w:sz w:val="20"/>
              </w:rPr>
            </w:pPr>
          </w:p>
          <w:p>
            <w:pPr>
              <w:pStyle w:val="TableParagraph"/>
              <w:spacing w:before="1"/>
              <w:jc w:val="center"/>
              <w:rPr>
                <w:sz w:val="16"/>
              </w:rPr>
            </w:pPr>
            <w:r>
              <w:rPr>
                <w:w w:val="54"/>
                <w:sz w:val="16"/>
              </w:rPr>
              <w:t>1</w:t>
            </w:r>
          </w:p>
        </w:tc>
        <w:tc>
          <w:tcPr>
            <w:tcW w:w="1006" w:type="dxa"/>
            <w:shd w:val="clear" w:color="auto" w:fill="E9E9E9"/>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9E9E9"/>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r>
      <w:tr>
        <w:trPr>
          <w:trHeight w:val="888" w:hRule="exact"/>
        </w:trPr>
        <w:tc>
          <w:tcPr>
            <w:tcW w:w="2042" w:type="dxa"/>
            <w:shd w:val="clear" w:color="auto" w:fill="E9E9E9"/>
          </w:tcPr>
          <w:p>
            <w:pPr>
              <w:pStyle w:val="TableParagraph"/>
              <w:spacing w:line="249" w:lineRule="auto" w:before="43"/>
              <w:ind w:left="74" w:right="331"/>
              <w:jc w:val="left"/>
              <w:rPr>
                <w:sz w:val="16"/>
              </w:rPr>
            </w:pPr>
            <w:r>
              <w:rPr>
                <w:sz w:val="16"/>
              </w:rPr>
              <w:t>Access applications that</w:t>
            </w:r>
            <w:r>
              <w:rPr>
                <w:spacing w:val="-16"/>
                <w:sz w:val="16"/>
              </w:rPr>
              <w:t> </w:t>
            </w:r>
            <w:r>
              <w:rPr>
                <w:sz w:val="16"/>
              </w:rPr>
              <w:t>are</w:t>
            </w:r>
            <w:r>
              <w:rPr>
                <w:spacing w:val="-16"/>
                <w:sz w:val="16"/>
              </w:rPr>
              <w:t> </w:t>
            </w:r>
            <w:r>
              <w:rPr>
                <w:sz w:val="16"/>
              </w:rPr>
              <w:t>partly</w:t>
            </w:r>
            <w:r>
              <w:rPr>
                <w:spacing w:val="-16"/>
                <w:sz w:val="16"/>
              </w:rPr>
              <w:t> </w:t>
            </w:r>
            <w:r>
              <w:rPr>
                <w:sz w:val="16"/>
              </w:rPr>
              <w:t>personal</w:t>
            </w:r>
          </w:p>
          <w:p>
            <w:pPr>
              <w:pStyle w:val="TableParagraph"/>
              <w:spacing w:line="249" w:lineRule="auto" w:before="0"/>
              <w:ind w:left="74" w:right="31"/>
              <w:jc w:val="left"/>
              <w:rPr>
                <w:sz w:val="16"/>
              </w:rPr>
            </w:pPr>
            <w:r>
              <w:rPr>
                <w:sz w:val="16"/>
              </w:rPr>
              <w:t>information applications and partly other</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jc w:val="center"/>
              <w:rPr>
                <w:sz w:val="16"/>
              </w:rPr>
            </w:pPr>
            <w:r>
              <w:rPr>
                <w:w w:val="111"/>
                <w:sz w:val="16"/>
              </w:rPr>
              <w:t>0</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ind w:left="449"/>
              <w:jc w:val="left"/>
              <w:rPr>
                <w:sz w:val="16"/>
              </w:rPr>
            </w:pPr>
            <w:r>
              <w:rPr>
                <w:w w:val="111"/>
                <w:sz w:val="16"/>
              </w:rPr>
              <w:t>0</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ind w:right="1"/>
              <w:jc w:val="center"/>
              <w:rPr>
                <w:sz w:val="16"/>
              </w:rPr>
            </w:pPr>
            <w:r>
              <w:rPr>
                <w:w w:val="111"/>
                <w:sz w:val="16"/>
              </w:rPr>
              <w:t>0</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ind w:right="1"/>
              <w:jc w:val="center"/>
              <w:rPr>
                <w:sz w:val="16"/>
              </w:rPr>
            </w:pPr>
            <w:r>
              <w:rPr>
                <w:w w:val="111"/>
                <w:sz w:val="16"/>
              </w:rPr>
              <w:t>0</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ind w:right="1"/>
              <w:jc w:val="center"/>
              <w:rPr>
                <w:sz w:val="16"/>
              </w:rPr>
            </w:pPr>
            <w:r>
              <w:rPr>
                <w:w w:val="111"/>
                <w:sz w:val="16"/>
              </w:rPr>
              <w:t>0</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ind w:right="1"/>
              <w:jc w:val="center"/>
              <w:rPr>
                <w:sz w:val="16"/>
              </w:rPr>
            </w:pPr>
            <w:r>
              <w:rPr>
                <w:w w:val="111"/>
                <w:sz w:val="16"/>
              </w:rPr>
              <w:t>0</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ind w:right="1"/>
              <w:jc w:val="center"/>
              <w:rPr>
                <w:sz w:val="16"/>
              </w:rPr>
            </w:pPr>
            <w:r>
              <w:rPr>
                <w:w w:val="111"/>
                <w:sz w:val="16"/>
              </w:rPr>
              <w:t>0</w:t>
            </w:r>
          </w:p>
        </w:tc>
        <w:tc>
          <w:tcPr>
            <w:tcW w:w="1006" w:type="dxa"/>
            <w:shd w:val="clear" w:color="auto" w:fill="E9E9E9"/>
          </w:tcPr>
          <w:p>
            <w:pPr>
              <w:pStyle w:val="TableParagraph"/>
              <w:spacing w:before="0"/>
              <w:jc w:val="left"/>
              <w:rPr>
                <w:rFonts w:ascii="Gotham Narrow Bold"/>
                <w:b/>
                <w:sz w:val="16"/>
              </w:rPr>
            </w:pPr>
          </w:p>
          <w:p>
            <w:pPr>
              <w:pStyle w:val="TableParagraph"/>
              <w:spacing w:before="6"/>
              <w:jc w:val="left"/>
              <w:rPr>
                <w:rFonts w:ascii="Gotham Narrow Bold"/>
                <w:b/>
                <w:sz w:val="12"/>
              </w:rPr>
            </w:pPr>
          </w:p>
          <w:p>
            <w:pPr>
              <w:pStyle w:val="TableParagraph"/>
              <w:spacing w:before="1"/>
              <w:ind w:right="1"/>
              <w:jc w:val="center"/>
              <w:rPr>
                <w:sz w:val="16"/>
              </w:rPr>
            </w:pPr>
            <w:r>
              <w:rPr>
                <w:w w:val="111"/>
                <w:sz w:val="16"/>
              </w:rPr>
              <w:t>0</w:t>
            </w:r>
          </w:p>
        </w:tc>
      </w:tr>
    </w:tbl>
    <w:p>
      <w:pPr>
        <w:pStyle w:val="BodyText"/>
        <w:spacing w:line="249" w:lineRule="auto" w:before="73"/>
        <w:ind w:left="378" w:right="503" w:hanging="52"/>
      </w:pPr>
      <w:r>
        <w:rPr>
          <w:spacing w:val="-5"/>
        </w:rPr>
        <w:t>*A</w:t>
      </w:r>
      <w:r>
        <w:rPr>
          <w:spacing w:val="-15"/>
        </w:rPr>
        <w:t> </w:t>
      </w:r>
      <w:r>
        <w:rPr/>
        <w:t>personal</w:t>
      </w:r>
      <w:r>
        <w:rPr>
          <w:spacing w:val="-15"/>
        </w:rPr>
        <w:t> </w:t>
      </w:r>
      <w:r>
        <w:rPr/>
        <w:t>information</w:t>
      </w:r>
      <w:r>
        <w:rPr>
          <w:spacing w:val="-15"/>
        </w:rPr>
        <w:t> </w:t>
      </w:r>
      <w:r>
        <w:rPr/>
        <w:t>application</w:t>
      </w:r>
      <w:r>
        <w:rPr>
          <w:spacing w:val="-15"/>
        </w:rPr>
        <w:t> </w:t>
      </w:r>
      <w:r>
        <w:rPr/>
        <w:t>is</w:t>
      </w:r>
      <w:r>
        <w:rPr>
          <w:spacing w:val="-15"/>
        </w:rPr>
        <w:t> </w:t>
      </w:r>
      <w:r>
        <w:rPr/>
        <w:t>an</w:t>
      </w:r>
      <w:r>
        <w:rPr>
          <w:spacing w:val="-15"/>
        </w:rPr>
        <w:t> </w:t>
      </w:r>
      <w:r>
        <w:rPr/>
        <w:t>access</w:t>
      </w:r>
      <w:r>
        <w:rPr>
          <w:spacing w:val="-15"/>
        </w:rPr>
        <w:t> </w:t>
      </w:r>
      <w:r>
        <w:rPr/>
        <w:t>application</w:t>
      </w:r>
      <w:r>
        <w:rPr>
          <w:spacing w:val="-15"/>
        </w:rPr>
        <w:t> </w:t>
      </w:r>
      <w:r>
        <w:rPr/>
        <w:t>for</w:t>
      </w:r>
      <w:r>
        <w:rPr>
          <w:spacing w:val="-15"/>
        </w:rPr>
        <w:t> </w:t>
      </w:r>
      <w:r>
        <w:rPr/>
        <w:t>personal</w:t>
      </w:r>
      <w:r>
        <w:rPr>
          <w:spacing w:val="-15"/>
        </w:rPr>
        <w:t> </w:t>
      </w:r>
      <w:r>
        <w:rPr/>
        <w:t>information</w:t>
      </w:r>
      <w:r>
        <w:rPr>
          <w:spacing w:val="-15"/>
        </w:rPr>
        <w:t> </w:t>
      </w:r>
      <w:r>
        <w:rPr>
          <w:spacing w:val="-3"/>
        </w:rPr>
        <w:t>(as</w:t>
      </w:r>
      <w:r>
        <w:rPr>
          <w:spacing w:val="-15"/>
        </w:rPr>
        <w:t> </w:t>
      </w:r>
      <w:r>
        <w:rPr/>
        <w:t>defined</w:t>
      </w:r>
      <w:r>
        <w:rPr>
          <w:spacing w:val="-15"/>
        </w:rPr>
        <w:t> </w:t>
      </w:r>
      <w:r>
        <w:rPr/>
        <w:t>in</w:t>
      </w:r>
      <w:r>
        <w:rPr>
          <w:spacing w:val="-15"/>
        </w:rPr>
        <w:t> </w:t>
      </w:r>
      <w:r>
        <w:rPr/>
        <w:t>clause</w:t>
      </w:r>
      <w:r>
        <w:rPr>
          <w:spacing w:val="-15"/>
        </w:rPr>
        <w:t> </w:t>
      </w:r>
      <w:r>
        <w:rPr/>
        <w:t>4</w:t>
      </w:r>
      <w:r>
        <w:rPr>
          <w:spacing w:val="-15"/>
        </w:rPr>
        <w:t> </w:t>
      </w:r>
      <w:r>
        <w:rPr/>
        <w:t>of</w:t>
      </w:r>
      <w:r>
        <w:rPr>
          <w:spacing w:val="-15"/>
        </w:rPr>
        <w:t> </w:t>
      </w:r>
      <w:r>
        <w:rPr/>
        <w:t>Schedule</w:t>
      </w:r>
      <w:r>
        <w:rPr>
          <w:spacing w:val="-15"/>
        </w:rPr>
        <w:t> </w:t>
      </w:r>
      <w:r>
        <w:rPr/>
        <w:t>4</w:t>
      </w:r>
      <w:r>
        <w:rPr>
          <w:spacing w:val="-15"/>
        </w:rPr>
        <w:t> </w:t>
      </w:r>
      <w:r>
        <w:rPr/>
        <w:t>to</w:t>
      </w:r>
      <w:r>
        <w:rPr>
          <w:spacing w:val="-15"/>
        </w:rPr>
        <w:t> </w:t>
      </w:r>
      <w:r>
        <w:rPr/>
        <w:t>the</w:t>
      </w:r>
      <w:r>
        <w:rPr>
          <w:spacing w:val="-15"/>
        </w:rPr>
        <w:t> </w:t>
      </w:r>
      <w:r>
        <w:rPr/>
        <w:t>Act)</w:t>
      </w:r>
      <w:r>
        <w:rPr>
          <w:spacing w:val="-15"/>
        </w:rPr>
        <w:t> </w:t>
      </w:r>
      <w:r>
        <w:rPr/>
        <w:t>about</w:t>
      </w:r>
      <w:r>
        <w:rPr>
          <w:spacing w:val="-15"/>
        </w:rPr>
        <w:t> </w:t>
      </w:r>
      <w:r>
        <w:rPr/>
        <w:t>the applicant</w:t>
      </w:r>
      <w:r>
        <w:rPr>
          <w:spacing w:val="-17"/>
        </w:rPr>
        <w:t> </w:t>
      </w:r>
      <w:r>
        <w:rPr/>
        <w:t>(the</w:t>
      </w:r>
      <w:r>
        <w:rPr>
          <w:spacing w:val="-17"/>
        </w:rPr>
        <w:t> </w:t>
      </w:r>
      <w:r>
        <w:rPr/>
        <w:t>applicant</w:t>
      </w:r>
      <w:r>
        <w:rPr>
          <w:spacing w:val="-17"/>
        </w:rPr>
        <w:t> </w:t>
      </w:r>
      <w:r>
        <w:rPr/>
        <w:t>being</w:t>
      </w:r>
      <w:r>
        <w:rPr>
          <w:spacing w:val="-17"/>
        </w:rPr>
        <w:t> </w:t>
      </w:r>
      <w:r>
        <w:rPr/>
        <w:t>an</w:t>
      </w:r>
      <w:r>
        <w:rPr>
          <w:spacing w:val="-17"/>
        </w:rPr>
        <w:t> </w:t>
      </w:r>
      <w:r>
        <w:rPr/>
        <w:t>individual).</w:t>
      </w:r>
    </w:p>
    <w:p>
      <w:pPr>
        <w:pStyle w:val="BodyText"/>
        <w:rPr>
          <w:sz w:val="14"/>
        </w:rPr>
      </w:pPr>
    </w:p>
    <w:p>
      <w:pPr>
        <w:pStyle w:val="BodyText"/>
        <w:ind w:left="326" w:right="503"/>
      </w:pPr>
      <w:r>
        <w:rPr/>
        <w:t>The total number of decisions in Table B should be the same as Table A.</w:t>
      </w:r>
    </w:p>
    <w:p>
      <w:pPr>
        <w:spacing w:after="0"/>
        <w:sectPr>
          <w:footerReference w:type="even" r:id="rId70"/>
          <w:footerReference w:type="default" r:id="rId71"/>
          <w:pgSz w:w="11910" w:h="16840"/>
          <w:pgMar w:footer="472" w:header="496" w:top="680" w:bottom="660" w:left="580" w:right="580"/>
        </w:sectPr>
      </w:pPr>
    </w:p>
    <w:p>
      <w:pPr>
        <w:pStyle w:val="BodyText"/>
        <w:rPr>
          <w:sz w:val="20"/>
        </w:rPr>
      </w:pPr>
      <w:r>
        <w:rPr/>
        <w:pict>
          <v:rect style="position:absolute;margin-left:34.015999pt;margin-top:45.355015pt;width:527.244pt;height:751.181pt;mso-position-horizontal-relative:page;mso-position-vertical-relative:page;z-index:-334720" filled="true" fillcolor="#e9e9e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7"/>
        <w:spacing w:before="1"/>
        <w:ind w:left="362" w:right="7611"/>
      </w:pPr>
      <w:r>
        <w:rPr>
          <w:color w:val="615C58"/>
          <w:w w:val="95"/>
        </w:rPr>
        <w:t>Table C: Invalid applications</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6874"/>
        <w:gridCol w:w="3208"/>
      </w:tblGrid>
      <w:tr>
        <w:trPr>
          <w:trHeight w:val="312" w:hRule="exact"/>
        </w:trPr>
        <w:tc>
          <w:tcPr>
            <w:tcW w:w="10081" w:type="dxa"/>
            <w:gridSpan w:val="2"/>
            <w:tcBorders>
              <w:top w:val="nil"/>
              <w:left w:val="nil"/>
              <w:bottom w:val="nil"/>
              <w:right w:val="nil"/>
            </w:tcBorders>
            <w:shd w:val="clear" w:color="auto" w:fill="949290"/>
          </w:tcPr>
          <w:p>
            <w:pPr>
              <w:pStyle w:val="TableParagraph"/>
              <w:spacing w:before="54"/>
              <w:ind w:right="586"/>
              <w:rPr>
                <w:rFonts w:ascii="Gotham Narrow Bold"/>
                <w:b/>
                <w:sz w:val="16"/>
              </w:rPr>
            </w:pPr>
            <w:r>
              <w:rPr>
                <w:rFonts w:ascii="Gotham Narrow Bold"/>
                <w:b/>
                <w:color w:val="FFFFFF"/>
                <w:w w:val="95"/>
                <w:sz w:val="16"/>
              </w:rPr>
              <w:t>NUMBER OF APPLICATIONS</w:t>
            </w:r>
          </w:p>
        </w:tc>
      </w:tr>
      <w:tr>
        <w:trPr>
          <w:trHeight w:val="312" w:hRule="exact"/>
        </w:trPr>
        <w:tc>
          <w:tcPr>
            <w:tcW w:w="6874" w:type="dxa"/>
            <w:tcBorders>
              <w:top w:val="nil"/>
            </w:tcBorders>
            <w:shd w:val="clear" w:color="auto" w:fill="E9E9E9"/>
          </w:tcPr>
          <w:p>
            <w:pPr>
              <w:pStyle w:val="TableParagraph"/>
              <w:spacing w:before="48"/>
              <w:ind w:left="74"/>
              <w:jc w:val="left"/>
              <w:rPr>
                <w:sz w:val="16"/>
              </w:rPr>
            </w:pPr>
            <w:r>
              <w:rPr>
                <w:sz w:val="16"/>
              </w:rPr>
              <w:t>Application does not comply with formal requirements (section 41 of the Act)</w:t>
            </w:r>
          </w:p>
        </w:tc>
        <w:tc>
          <w:tcPr>
            <w:tcW w:w="3208" w:type="dxa"/>
            <w:tcBorders>
              <w:top w:val="nil"/>
            </w:tcBorders>
            <w:shd w:val="clear" w:color="auto" w:fill="E9E9E9"/>
          </w:tcPr>
          <w:p>
            <w:pPr>
              <w:pStyle w:val="TableParagraph"/>
              <w:spacing w:before="48"/>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4"/>
              <w:jc w:val="left"/>
              <w:rPr>
                <w:sz w:val="16"/>
              </w:rPr>
            </w:pPr>
            <w:r>
              <w:rPr>
                <w:sz w:val="16"/>
              </w:rPr>
              <w:t>Application is for excluded information of the agency (section 43 of the Act)</w:t>
            </w:r>
          </w:p>
        </w:tc>
        <w:tc>
          <w:tcPr>
            <w:tcW w:w="3208" w:type="dxa"/>
            <w:shd w:val="clear" w:color="auto" w:fill="E9E9E9"/>
          </w:tcPr>
          <w:p>
            <w:pPr>
              <w:pStyle w:val="TableParagraph"/>
              <w:spacing w:before="43"/>
              <w:ind w:right="1573"/>
              <w:rPr>
                <w:sz w:val="16"/>
              </w:rPr>
            </w:pPr>
            <w:r>
              <w:rPr>
                <w:w w:val="54"/>
                <w:sz w:val="16"/>
              </w:rPr>
              <w:t>1</w:t>
            </w:r>
          </w:p>
        </w:tc>
      </w:tr>
      <w:tr>
        <w:trPr>
          <w:trHeight w:val="312" w:hRule="exact"/>
        </w:trPr>
        <w:tc>
          <w:tcPr>
            <w:tcW w:w="6874" w:type="dxa"/>
            <w:shd w:val="clear" w:color="auto" w:fill="E9E9E9"/>
          </w:tcPr>
          <w:p>
            <w:pPr>
              <w:pStyle w:val="TableParagraph"/>
              <w:spacing w:before="43"/>
              <w:ind w:left="74"/>
              <w:jc w:val="left"/>
              <w:rPr>
                <w:sz w:val="16"/>
              </w:rPr>
            </w:pPr>
            <w:r>
              <w:rPr>
                <w:spacing w:val="2"/>
                <w:w w:val="112"/>
                <w:sz w:val="16"/>
              </w:rPr>
              <w:t>A</w:t>
            </w:r>
            <w:r>
              <w:rPr>
                <w:spacing w:val="2"/>
                <w:w w:val="102"/>
                <w:sz w:val="16"/>
              </w:rPr>
              <w:t>pp</w:t>
            </w:r>
            <w:r>
              <w:rPr>
                <w:w w:val="95"/>
                <w:sz w:val="16"/>
              </w:rPr>
              <w:t>l</w:t>
            </w:r>
            <w:r>
              <w:rPr>
                <w:spacing w:val="1"/>
                <w:w w:val="95"/>
                <w:sz w:val="16"/>
              </w:rPr>
              <w:t>i</w:t>
            </w:r>
            <w:r>
              <w:rPr>
                <w:spacing w:val="3"/>
                <w:w w:val="102"/>
                <w:sz w:val="16"/>
              </w:rPr>
              <w:t>c</w:t>
            </w:r>
            <w:r>
              <w:rPr>
                <w:w w:val="94"/>
                <w:sz w:val="16"/>
              </w:rPr>
              <w:t>a</w:t>
            </w:r>
            <w:r>
              <w:rPr>
                <w:w w:val="102"/>
                <w:sz w:val="16"/>
              </w:rPr>
              <w:t>t</w:t>
            </w:r>
            <w:r>
              <w:rPr>
                <w:spacing w:val="1"/>
                <w:w w:val="95"/>
                <w:sz w:val="16"/>
              </w:rPr>
              <w:t>i</w:t>
            </w:r>
            <w:r>
              <w:rPr>
                <w:spacing w:val="2"/>
                <w:w w:val="100"/>
                <w:sz w:val="16"/>
              </w:rPr>
              <w:t>o</w:t>
            </w:r>
            <w:r>
              <w:rPr>
                <w:w w:val="95"/>
                <w:sz w:val="16"/>
              </w:rPr>
              <w:t>n</w:t>
            </w:r>
            <w:r>
              <w:rPr>
                <w:spacing w:val="-12"/>
                <w:sz w:val="16"/>
              </w:rPr>
              <w:t> </w:t>
            </w:r>
            <w:r>
              <w:rPr>
                <w:w w:val="102"/>
                <w:sz w:val="16"/>
              </w:rPr>
              <w:t>c</w:t>
            </w:r>
            <w:r>
              <w:rPr>
                <w:spacing w:val="2"/>
                <w:w w:val="100"/>
                <w:sz w:val="16"/>
              </w:rPr>
              <w:t>o</w:t>
            </w:r>
            <w:r>
              <w:rPr>
                <w:w w:val="95"/>
                <w:sz w:val="16"/>
              </w:rPr>
              <w:t>n</w:t>
            </w:r>
            <w:r>
              <w:rPr>
                <w:w w:val="102"/>
                <w:sz w:val="16"/>
              </w:rPr>
              <w:t>t</w:t>
            </w:r>
            <w:r>
              <w:rPr>
                <w:spacing w:val="2"/>
                <w:w w:val="95"/>
                <w:sz w:val="16"/>
              </w:rPr>
              <w:t>r</w:t>
            </w:r>
            <w:r>
              <w:rPr>
                <w:spacing w:val="-1"/>
                <w:w w:val="94"/>
                <w:sz w:val="16"/>
              </w:rPr>
              <w:t>a</w:t>
            </w:r>
            <w:r>
              <w:rPr>
                <w:spacing w:val="-1"/>
                <w:w w:val="101"/>
                <w:sz w:val="16"/>
              </w:rPr>
              <w:t>v</w:t>
            </w:r>
            <w:r>
              <w:rPr>
                <w:spacing w:val="2"/>
                <w:w w:val="95"/>
                <w:sz w:val="16"/>
              </w:rPr>
              <w:t>e</w:t>
            </w:r>
            <w:r>
              <w:rPr>
                <w:spacing w:val="2"/>
                <w:w w:val="95"/>
                <w:sz w:val="16"/>
              </w:rPr>
              <w:t>n</w:t>
            </w:r>
            <w:r>
              <w:rPr>
                <w:spacing w:val="3"/>
                <w:w w:val="95"/>
                <w:sz w:val="16"/>
              </w:rPr>
              <w:t>e</w:t>
            </w:r>
            <w:r>
              <w:rPr>
                <w:w w:val="95"/>
                <w:sz w:val="16"/>
              </w:rPr>
              <w:t>s</w:t>
            </w:r>
            <w:r>
              <w:rPr>
                <w:spacing w:val="-12"/>
                <w:sz w:val="16"/>
              </w:rPr>
              <w:t> </w:t>
            </w:r>
            <w:r>
              <w:rPr>
                <w:spacing w:val="-1"/>
                <w:w w:val="95"/>
                <w:sz w:val="16"/>
              </w:rPr>
              <w:t>r</w:t>
            </w:r>
            <w:r>
              <w:rPr>
                <w:spacing w:val="3"/>
                <w:w w:val="95"/>
                <w:sz w:val="16"/>
              </w:rPr>
              <w:t>e</w:t>
            </w:r>
            <w:r>
              <w:rPr>
                <w:spacing w:val="3"/>
                <w:w w:val="95"/>
                <w:sz w:val="16"/>
              </w:rPr>
              <w:t>s</w:t>
            </w:r>
            <w:r>
              <w:rPr>
                <w:w w:val="102"/>
                <w:sz w:val="16"/>
              </w:rPr>
              <w:t>t</w:t>
            </w:r>
            <w:r>
              <w:rPr>
                <w:spacing w:val="2"/>
                <w:w w:val="95"/>
                <w:sz w:val="16"/>
              </w:rPr>
              <w:t>r</w:t>
            </w:r>
            <w:r>
              <w:rPr>
                <w:spacing w:val="1"/>
                <w:w w:val="94"/>
                <w:sz w:val="16"/>
              </w:rPr>
              <w:t>a</w:t>
            </w:r>
            <w:r>
              <w:rPr>
                <w:spacing w:val="1"/>
                <w:w w:val="95"/>
                <w:sz w:val="16"/>
              </w:rPr>
              <w:t>i</w:t>
            </w:r>
            <w:r>
              <w:rPr>
                <w:w w:val="95"/>
                <w:sz w:val="16"/>
              </w:rPr>
              <w:t>n</w:t>
            </w:r>
            <w:r>
              <w:rPr>
                <w:w w:val="102"/>
                <w:sz w:val="16"/>
              </w:rPr>
              <w:t>t</w:t>
            </w:r>
            <w:r>
              <w:rPr>
                <w:spacing w:val="-12"/>
                <w:sz w:val="16"/>
              </w:rPr>
              <w:t> </w:t>
            </w:r>
            <w:r>
              <w:rPr>
                <w:spacing w:val="2"/>
                <w:w w:val="100"/>
                <w:sz w:val="16"/>
              </w:rPr>
              <w:t>o</w:t>
            </w:r>
            <w:r>
              <w:rPr>
                <w:spacing w:val="-1"/>
                <w:w w:val="95"/>
                <w:sz w:val="16"/>
              </w:rPr>
              <w:t>r</w:t>
            </w:r>
            <w:r>
              <w:rPr>
                <w:spacing w:val="2"/>
                <w:w w:val="102"/>
                <w:sz w:val="16"/>
              </w:rPr>
              <w:t>d</w:t>
            </w:r>
            <w:r>
              <w:rPr>
                <w:spacing w:val="2"/>
                <w:w w:val="95"/>
                <w:sz w:val="16"/>
              </w:rPr>
              <w:t>e</w:t>
            </w:r>
            <w:r>
              <w:rPr>
                <w:w w:val="95"/>
                <w:sz w:val="16"/>
              </w:rPr>
              <w:t>r</w:t>
            </w:r>
            <w:r>
              <w:rPr>
                <w:spacing w:val="-12"/>
                <w:sz w:val="16"/>
              </w:rPr>
              <w:t> </w:t>
            </w:r>
            <w:r>
              <w:rPr>
                <w:spacing w:val="-6"/>
                <w:w w:val="96"/>
                <w:sz w:val="16"/>
              </w:rPr>
              <w:t>(</w:t>
            </w:r>
            <w:r>
              <w:rPr>
                <w:spacing w:val="2"/>
                <w:w w:val="95"/>
                <w:sz w:val="16"/>
              </w:rPr>
              <w:t>s</w:t>
            </w:r>
            <w:r>
              <w:rPr>
                <w:spacing w:val="3"/>
                <w:w w:val="95"/>
                <w:sz w:val="16"/>
              </w:rPr>
              <w:t>e</w:t>
            </w:r>
            <w:r>
              <w:rPr>
                <w:spacing w:val="4"/>
                <w:w w:val="102"/>
                <w:sz w:val="16"/>
              </w:rPr>
              <w:t>c</w:t>
            </w:r>
            <w:r>
              <w:rPr>
                <w:w w:val="102"/>
                <w:sz w:val="16"/>
              </w:rPr>
              <w:t>t</w:t>
            </w:r>
            <w:r>
              <w:rPr>
                <w:spacing w:val="1"/>
                <w:w w:val="95"/>
                <w:sz w:val="16"/>
              </w:rPr>
              <w:t>i</w:t>
            </w:r>
            <w:r>
              <w:rPr>
                <w:spacing w:val="2"/>
                <w:w w:val="100"/>
                <w:sz w:val="16"/>
              </w:rPr>
              <w:t>o</w:t>
            </w:r>
            <w:r>
              <w:rPr>
                <w:w w:val="95"/>
                <w:sz w:val="16"/>
              </w:rPr>
              <w:t>n</w:t>
            </w:r>
            <w:r>
              <w:rPr>
                <w:spacing w:val="-12"/>
                <w:sz w:val="16"/>
              </w:rPr>
              <w:t> </w:t>
            </w:r>
            <w:r>
              <w:rPr>
                <w:spacing w:val="3"/>
                <w:w w:val="54"/>
                <w:sz w:val="16"/>
              </w:rPr>
              <w:t>1</w:t>
            </w:r>
            <w:r>
              <w:rPr>
                <w:spacing w:val="4"/>
                <w:w w:val="54"/>
                <w:sz w:val="16"/>
              </w:rPr>
              <w:t>1</w:t>
            </w:r>
            <w:r>
              <w:rPr>
                <w:w w:val="111"/>
                <w:sz w:val="16"/>
              </w:rPr>
              <w:t>0</w:t>
            </w:r>
            <w:r>
              <w:rPr>
                <w:spacing w:val="-12"/>
                <w:sz w:val="16"/>
              </w:rPr>
              <w:t> </w:t>
            </w:r>
            <w:r>
              <w:rPr>
                <w:w w:val="100"/>
                <w:sz w:val="16"/>
              </w:rPr>
              <w:t>o</w:t>
            </w:r>
            <w:r>
              <w:rPr>
                <w:w w:val="98"/>
                <w:sz w:val="16"/>
              </w:rPr>
              <w:t>f</w:t>
            </w:r>
            <w:r>
              <w:rPr>
                <w:spacing w:val="-12"/>
                <w:sz w:val="16"/>
              </w:rPr>
              <w:t> </w:t>
            </w:r>
            <w:r>
              <w:rPr>
                <w:w w:val="102"/>
                <w:sz w:val="16"/>
              </w:rPr>
              <w:t>t</w:t>
            </w:r>
            <w:r>
              <w:rPr>
                <w:spacing w:val="2"/>
                <w:w w:val="95"/>
                <w:sz w:val="16"/>
              </w:rPr>
              <w:t>h</w:t>
            </w:r>
            <w:r>
              <w:rPr>
                <w:w w:val="95"/>
                <w:sz w:val="16"/>
              </w:rPr>
              <w:t>e</w:t>
            </w:r>
            <w:r>
              <w:rPr>
                <w:spacing w:val="-12"/>
                <w:sz w:val="16"/>
              </w:rPr>
              <w:t> </w:t>
            </w:r>
            <w:r>
              <w:rPr>
                <w:spacing w:val="-1"/>
                <w:w w:val="112"/>
                <w:sz w:val="16"/>
              </w:rPr>
              <w:t>A</w:t>
            </w:r>
            <w:r>
              <w:rPr>
                <w:spacing w:val="4"/>
                <w:w w:val="102"/>
                <w:sz w:val="16"/>
              </w:rPr>
              <w:t>c</w:t>
            </w:r>
            <w:r>
              <w:rPr>
                <w:spacing w:val="-4"/>
                <w:w w:val="102"/>
                <w:sz w:val="16"/>
              </w:rPr>
              <w:t>t</w:t>
            </w:r>
            <w:r>
              <w:rPr>
                <w:w w:val="96"/>
                <w:sz w:val="16"/>
              </w:rPr>
              <w:t>)</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4"/>
              <w:jc w:val="left"/>
              <w:rPr>
                <w:sz w:val="16"/>
              </w:rPr>
            </w:pPr>
            <w:r>
              <w:rPr>
                <w:sz w:val="16"/>
              </w:rPr>
              <w:t>Invalid applications that subsequently became valid applications</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51"/>
              <w:ind w:left="74"/>
              <w:jc w:val="left"/>
              <w:rPr>
                <w:rFonts w:ascii="Calibri"/>
                <w:sz w:val="16"/>
              </w:rPr>
            </w:pPr>
            <w:r>
              <w:rPr>
                <w:rFonts w:ascii="Calibri"/>
                <w:w w:val="110"/>
                <w:sz w:val="16"/>
              </w:rPr>
              <w:t>Total number of invalid applications received</w:t>
            </w:r>
          </w:p>
        </w:tc>
        <w:tc>
          <w:tcPr>
            <w:tcW w:w="3208" w:type="dxa"/>
            <w:shd w:val="clear" w:color="auto" w:fill="E9E9E9"/>
          </w:tcPr>
          <w:p>
            <w:pPr>
              <w:pStyle w:val="TableParagraph"/>
              <w:spacing w:before="51"/>
              <w:ind w:right="1568"/>
              <w:rPr>
                <w:rFonts w:ascii="Calibri"/>
                <w:sz w:val="16"/>
              </w:rPr>
            </w:pPr>
            <w:r>
              <w:rPr>
                <w:rFonts w:ascii="Calibri"/>
                <w:w w:val="68"/>
                <w:sz w:val="16"/>
              </w:rPr>
              <w:t>1</w:t>
            </w:r>
          </w:p>
        </w:tc>
      </w:tr>
    </w:tbl>
    <w:p>
      <w:pPr>
        <w:pStyle w:val="BodyText"/>
        <w:spacing w:before="10"/>
        <w:rPr>
          <w:rFonts w:ascii="Gotham Narrow Bold"/>
          <w:b/>
          <w:sz w:val="14"/>
        </w:rPr>
      </w:pPr>
    </w:p>
    <w:p>
      <w:pPr>
        <w:spacing w:before="72"/>
        <w:ind w:left="327" w:right="503" w:firstLine="0"/>
        <w:jc w:val="left"/>
        <w:rPr>
          <w:rFonts w:ascii="Gotham Narrow Bold" w:hAnsi="Gotham Narrow Bold"/>
          <w:b/>
          <w:sz w:val="16"/>
        </w:rPr>
      </w:pPr>
      <w:r>
        <w:rPr>
          <w:rFonts w:ascii="Gotham Narrow Bold" w:hAnsi="Gotham Narrow Bold"/>
          <w:b/>
          <w:color w:val="615C58"/>
          <w:sz w:val="16"/>
        </w:rPr>
        <w:t>Table D: Conclusive presumption of overriding public interest against disclosure – matters listed in Schedule 1 of the Act</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6874"/>
        <w:gridCol w:w="3208"/>
      </w:tblGrid>
      <w:tr>
        <w:trPr>
          <w:trHeight w:val="312" w:hRule="exact"/>
        </w:trPr>
        <w:tc>
          <w:tcPr>
            <w:tcW w:w="10081" w:type="dxa"/>
            <w:gridSpan w:val="2"/>
            <w:tcBorders>
              <w:top w:val="nil"/>
              <w:left w:val="nil"/>
              <w:bottom w:val="nil"/>
              <w:right w:val="nil"/>
            </w:tcBorders>
            <w:shd w:val="clear" w:color="auto" w:fill="949290"/>
          </w:tcPr>
          <w:p>
            <w:pPr>
              <w:pStyle w:val="TableParagraph"/>
              <w:spacing w:before="54"/>
              <w:ind w:right="97"/>
              <w:rPr>
                <w:rFonts w:ascii="Gotham Narrow Bold"/>
                <w:b/>
                <w:sz w:val="16"/>
              </w:rPr>
            </w:pPr>
            <w:r>
              <w:rPr>
                <w:rFonts w:ascii="Gotham Narrow Bold"/>
                <w:b/>
                <w:color w:val="FFFFFF"/>
                <w:w w:val="95"/>
                <w:sz w:val="16"/>
              </w:rPr>
              <w:t>NUMBER OF TIMES CONSIDERATION USED*</w:t>
            </w:r>
          </w:p>
        </w:tc>
      </w:tr>
      <w:tr>
        <w:trPr>
          <w:trHeight w:val="312" w:hRule="exact"/>
        </w:trPr>
        <w:tc>
          <w:tcPr>
            <w:tcW w:w="6874" w:type="dxa"/>
            <w:tcBorders>
              <w:top w:val="nil"/>
            </w:tcBorders>
            <w:shd w:val="clear" w:color="auto" w:fill="E9E9E9"/>
          </w:tcPr>
          <w:p>
            <w:pPr>
              <w:pStyle w:val="TableParagraph"/>
              <w:spacing w:before="48"/>
              <w:ind w:left="75"/>
              <w:jc w:val="left"/>
              <w:rPr>
                <w:sz w:val="16"/>
              </w:rPr>
            </w:pPr>
            <w:r>
              <w:rPr>
                <w:sz w:val="16"/>
              </w:rPr>
              <w:t>Overriding secrecy laws</w:t>
            </w:r>
          </w:p>
        </w:tc>
        <w:tc>
          <w:tcPr>
            <w:tcW w:w="3208" w:type="dxa"/>
            <w:tcBorders>
              <w:top w:val="nil"/>
            </w:tcBorders>
            <w:shd w:val="clear" w:color="auto" w:fill="E9E9E9"/>
          </w:tcPr>
          <w:p>
            <w:pPr>
              <w:pStyle w:val="TableParagraph"/>
              <w:spacing w:before="48"/>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Cabinet information</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Executive Council information</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Contempt</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Legal professional privilege</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Excluded information</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Documents affecting law enforcement and public safety</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Transport safety</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Adoption</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Care and protection of children</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Ministerial code of conduct</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5"/>
              <w:jc w:val="left"/>
              <w:rPr>
                <w:sz w:val="16"/>
              </w:rPr>
            </w:pPr>
            <w:r>
              <w:rPr>
                <w:sz w:val="16"/>
              </w:rPr>
              <w:t>Aboriginal and environmental heritage</w:t>
            </w:r>
          </w:p>
        </w:tc>
        <w:tc>
          <w:tcPr>
            <w:tcW w:w="3208" w:type="dxa"/>
            <w:shd w:val="clear" w:color="auto" w:fill="E9E9E9"/>
          </w:tcPr>
          <w:p>
            <w:pPr>
              <w:pStyle w:val="TableParagraph"/>
              <w:spacing w:before="43"/>
              <w:ind w:right="1548"/>
              <w:rPr>
                <w:sz w:val="16"/>
              </w:rPr>
            </w:pPr>
            <w:r>
              <w:rPr>
                <w:w w:val="111"/>
                <w:sz w:val="16"/>
              </w:rPr>
              <w:t>0</w:t>
            </w:r>
          </w:p>
        </w:tc>
      </w:tr>
    </w:tbl>
    <w:p>
      <w:pPr>
        <w:pStyle w:val="BodyText"/>
        <w:spacing w:line="249" w:lineRule="auto" w:before="73"/>
        <w:ind w:left="391" w:right="503" w:hanging="65"/>
      </w:pPr>
      <w:r>
        <w:rPr/>
        <w:t>*More</w:t>
      </w:r>
      <w:r>
        <w:rPr>
          <w:spacing w:val="-18"/>
        </w:rPr>
        <w:t> </w:t>
      </w:r>
      <w:r>
        <w:rPr/>
        <w:t>than</w:t>
      </w:r>
      <w:r>
        <w:rPr>
          <w:spacing w:val="-18"/>
        </w:rPr>
        <w:t> </w:t>
      </w:r>
      <w:r>
        <w:rPr/>
        <w:t>one</w:t>
      </w:r>
      <w:r>
        <w:rPr>
          <w:spacing w:val="-18"/>
        </w:rPr>
        <w:t> </w:t>
      </w:r>
      <w:r>
        <w:rPr/>
        <w:t>public</w:t>
      </w:r>
      <w:r>
        <w:rPr>
          <w:spacing w:val="-18"/>
        </w:rPr>
        <w:t> </w:t>
      </w:r>
      <w:r>
        <w:rPr/>
        <w:t>interest</w:t>
      </w:r>
      <w:r>
        <w:rPr>
          <w:spacing w:val="-18"/>
        </w:rPr>
        <w:t> </w:t>
      </w:r>
      <w:r>
        <w:rPr/>
        <w:t>consideration</w:t>
      </w:r>
      <w:r>
        <w:rPr>
          <w:spacing w:val="-18"/>
        </w:rPr>
        <w:t> </w:t>
      </w:r>
      <w:r>
        <w:rPr/>
        <w:t>may</w:t>
      </w:r>
      <w:r>
        <w:rPr>
          <w:spacing w:val="-18"/>
        </w:rPr>
        <w:t> </w:t>
      </w:r>
      <w:r>
        <w:rPr/>
        <w:t>apply</w:t>
      </w:r>
      <w:r>
        <w:rPr>
          <w:spacing w:val="-18"/>
        </w:rPr>
        <w:t> </w:t>
      </w:r>
      <w:r>
        <w:rPr/>
        <w:t>in</w:t>
      </w:r>
      <w:r>
        <w:rPr>
          <w:spacing w:val="-18"/>
        </w:rPr>
        <w:t> </w:t>
      </w:r>
      <w:r>
        <w:rPr/>
        <w:t>relation</w:t>
      </w:r>
      <w:r>
        <w:rPr>
          <w:spacing w:val="-18"/>
        </w:rPr>
        <w:t> </w:t>
      </w:r>
      <w:r>
        <w:rPr/>
        <w:t>to</w:t>
      </w:r>
      <w:r>
        <w:rPr>
          <w:spacing w:val="-18"/>
        </w:rPr>
        <w:t> </w:t>
      </w:r>
      <w:r>
        <w:rPr/>
        <w:t>a</w:t>
      </w:r>
      <w:r>
        <w:rPr>
          <w:spacing w:val="-18"/>
        </w:rPr>
        <w:t> </w:t>
      </w:r>
      <w:r>
        <w:rPr/>
        <w:t>particular</w:t>
      </w:r>
      <w:r>
        <w:rPr>
          <w:spacing w:val="-18"/>
        </w:rPr>
        <w:t> </w:t>
      </w:r>
      <w:r>
        <w:rPr/>
        <w:t>access</w:t>
      </w:r>
      <w:r>
        <w:rPr>
          <w:spacing w:val="-18"/>
        </w:rPr>
        <w:t> </w:t>
      </w:r>
      <w:r>
        <w:rPr/>
        <w:t>application.</w:t>
      </w:r>
      <w:r>
        <w:rPr>
          <w:spacing w:val="-18"/>
        </w:rPr>
        <w:t> </w:t>
      </w:r>
      <w:r>
        <w:rPr/>
        <w:t>If</w:t>
      </w:r>
      <w:r>
        <w:rPr>
          <w:spacing w:val="-18"/>
        </w:rPr>
        <w:t> </w:t>
      </w:r>
      <w:r>
        <w:rPr/>
        <w:t>so,</w:t>
      </w:r>
      <w:r>
        <w:rPr>
          <w:spacing w:val="-18"/>
        </w:rPr>
        <w:t> </w:t>
      </w:r>
      <w:r>
        <w:rPr/>
        <w:t>each</w:t>
      </w:r>
      <w:r>
        <w:rPr>
          <w:spacing w:val="-18"/>
        </w:rPr>
        <w:t> </w:t>
      </w:r>
      <w:r>
        <w:rPr/>
        <w:t>such</w:t>
      </w:r>
      <w:r>
        <w:rPr>
          <w:spacing w:val="-18"/>
        </w:rPr>
        <w:t> </w:t>
      </w:r>
      <w:r>
        <w:rPr/>
        <w:t>consideration</w:t>
      </w:r>
      <w:r>
        <w:rPr>
          <w:spacing w:val="-18"/>
        </w:rPr>
        <w:t> </w:t>
      </w:r>
      <w:r>
        <w:rPr/>
        <w:t>is</w:t>
      </w:r>
      <w:r>
        <w:rPr>
          <w:spacing w:val="-18"/>
        </w:rPr>
        <w:t> </w:t>
      </w:r>
      <w:r>
        <w:rPr/>
        <w:t>to</w:t>
      </w:r>
      <w:r>
        <w:rPr>
          <w:spacing w:val="-18"/>
        </w:rPr>
        <w:t> </w:t>
      </w:r>
      <w:r>
        <w:rPr/>
        <w:t>be recorded</w:t>
      </w:r>
      <w:r>
        <w:rPr>
          <w:spacing w:val="-18"/>
        </w:rPr>
        <w:t> </w:t>
      </w:r>
      <w:r>
        <w:rPr/>
        <w:t>(but</w:t>
      </w:r>
      <w:r>
        <w:rPr>
          <w:spacing w:val="-18"/>
        </w:rPr>
        <w:t> </w:t>
      </w:r>
      <w:r>
        <w:rPr/>
        <w:t>only</w:t>
      </w:r>
      <w:r>
        <w:rPr>
          <w:spacing w:val="-18"/>
        </w:rPr>
        <w:t> </w:t>
      </w:r>
      <w:r>
        <w:rPr/>
        <w:t>once</w:t>
      </w:r>
      <w:r>
        <w:rPr>
          <w:spacing w:val="-18"/>
        </w:rPr>
        <w:t> </w:t>
      </w:r>
      <w:r>
        <w:rPr/>
        <w:t>per</w:t>
      </w:r>
      <w:r>
        <w:rPr>
          <w:spacing w:val="-18"/>
        </w:rPr>
        <w:t> </w:t>
      </w:r>
      <w:r>
        <w:rPr/>
        <w:t>application).</w:t>
      </w:r>
      <w:r>
        <w:rPr>
          <w:spacing w:val="-18"/>
        </w:rPr>
        <w:t> </w:t>
      </w:r>
      <w:r>
        <w:rPr/>
        <w:t>This</w:t>
      </w:r>
      <w:r>
        <w:rPr>
          <w:spacing w:val="-18"/>
        </w:rPr>
        <w:t> </w:t>
      </w:r>
      <w:r>
        <w:rPr/>
        <w:t>also</w:t>
      </w:r>
      <w:r>
        <w:rPr>
          <w:spacing w:val="-18"/>
        </w:rPr>
        <w:t> </w:t>
      </w:r>
      <w:r>
        <w:rPr/>
        <w:t>applies</w:t>
      </w:r>
      <w:r>
        <w:rPr>
          <w:spacing w:val="-18"/>
        </w:rPr>
        <w:t> </w:t>
      </w:r>
      <w:r>
        <w:rPr/>
        <w:t>to</w:t>
      </w:r>
      <w:r>
        <w:rPr>
          <w:spacing w:val="-18"/>
        </w:rPr>
        <w:t> </w:t>
      </w:r>
      <w:r>
        <w:rPr/>
        <w:t>Table</w:t>
      </w:r>
      <w:r>
        <w:rPr>
          <w:spacing w:val="-18"/>
        </w:rPr>
        <w:t> </w:t>
      </w:r>
      <w:r>
        <w:rPr/>
        <w:t>E.</w:t>
      </w:r>
    </w:p>
    <w:p>
      <w:pPr>
        <w:pStyle w:val="BodyText"/>
        <w:spacing w:before="11"/>
        <w:rPr>
          <w:sz w:val="23"/>
        </w:rPr>
      </w:pPr>
    </w:p>
    <w:p>
      <w:pPr>
        <w:pStyle w:val="Heading7"/>
        <w:ind w:left="327" w:right="503"/>
      </w:pPr>
      <w:r>
        <w:rPr>
          <w:color w:val="615C58"/>
        </w:rPr>
        <w:t>Table E: Other public interest considerations against disclosure – matters listed in table relate to section 14 of the Act</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6874"/>
        <w:gridCol w:w="3208"/>
      </w:tblGrid>
      <w:tr>
        <w:trPr>
          <w:trHeight w:val="488" w:hRule="exact"/>
        </w:trPr>
        <w:tc>
          <w:tcPr>
            <w:tcW w:w="10081" w:type="dxa"/>
            <w:gridSpan w:val="2"/>
            <w:tcBorders>
              <w:top w:val="nil"/>
              <w:left w:val="nil"/>
              <w:bottom w:val="nil"/>
              <w:right w:val="nil"/>
            </w:tcBorders>
            <w:shd w:val="clear" w:color="auto" w:fill="949290"/>
          </w:tcPr>
          <w:p>
            <w:pPr>
              <w:pStyle w:val="TableParagraph"/>
              <w:spacing w:line="249" w:lineRule="auto" w:before="54"/>
              <w:ind w:left="7295" w:right="419" w:firstLine="17"/>
              <w:rPr>
                <w:rFonts w:ascii="Gotham Narrow Bold"/>
                <w:b/>
                <w:sz w:val="16"/>
              </w:rPr>
            </w:pPr>
            <w:r>
              <w:rPr>
                <w:rFonts w:ascii="Gotham Narrow Bold"/>
                <w:b/>
                <w:color w:val="FFFFFF"/>
                <w:w w:val="95"/>
                <w:sz w:val="16"/>
              </w:rPr>
              <w:t>NUMBER OF OCCASIONS WHEN</w:t>
            </w:r>
            <w:r>
              <w:rPr>
                <w:rFonts w:ascii="Gotham Narrow Bold"/>
                <w:b/>
                <w:color w:val="FFFFFF"/>
                <w:w w:val="96"/>
                <w:sz w:val="16"/>
              </w:rPr>
              <w:t> </w:t>
            </w:r>
            <w:r>
              <w:rPr>
                <w:rFonts w:ascii="Gotham Narrow Bold"/>
                <w:b/>
                <w:color w:val="FFFFFF"/>
                <w:w w:val="95"/>
                <w:sz w:val="16"/>
              </w:rPr>
              <w:t>APPLICATION NOT SUCCESSFUL</w:t>
            </w:r>
          </w:p>
        </w:tc>
      </w:tr>
      <w:tr>
        <w:trPr>
          <w:trHeight w:val="312" w:hRule="exact"/>
        </w:trPr>
        <w:tc>
          <w:tcPr>
            <w:tcW w:w="6874" w:type="dxa"/>
            <w:tcBorders>
              <w:top w:val="nil"/>
            </w:tcBorders>
            <w:shd w:val="clear" w:color="auto" w:fill="E9E9E9"/>
          </w:tcPr>
          <w:p>
            <w:pPr>
              <w:pStyle w:val="TableParagraph"/>
              <w:spacing w:before="48"/>
              <w:ind w:left="74"/>
              <w:jc w:val="left"/>
              <w:rPr>
                <w:sz w:val="16"/>
              </w:rPr>
            </w:pPr>
            <w:r>
              <w:rPr>
                <w:sz w:val="16"/>
              </w:rPr>
              <w:t>Responsible and effective government</w:t>
            </w:r>
          </w:p>
        </w:tc>
        <w:tc>
          <w:tcPr>
            <w:tcW w:w="3208" w:type="dxa"/>
            <w:tcBorders>
              <w:top w:val="nil"/>
            </w:tcBorders>
            <w:shd w:val="clear" w:color="auto" w:fill="E9E9E9"/>
          </w:tcPr>
          <w:p>
            <w:pPr>
              <w:pStyle w:val="TableParagraph"/>
              <w:spacing w:before="48"/>
              <w:ind w:right="1555"/>
              <w:rPr>
                <w:sz w:val="16"/>
              </w:rPr>
            </w:pPr>
            <w:r>
              <w:rPr>
                <w:w w:val="94"/>
                <w:sz w:val="16"/>
              </w:rPr>
              <w:t>3</w:t>
            </w:r>
          </w:p>
        </w:tc>
      </w:tr>
      <w:tr>
        <w:trPr>
          <w:trHeight w:val="312" w:hRule="exact"/>
        </w:trPr>
        <w:tc>
          <w:tcPr>
            <w:tcW w:w="6874" w:type="dxa"/>
            <w:shd w:val="clear" w:color="auto" w:fill="E9E9E9"/>
          </w:tcPr>
          <w:p>
            <w:pPr>
              <w:pStyle w:val="TableParagraph"/>
              <w:spacing w:before="43"/>
              <w:ind w:left="74"/>
              <w:jc w:val="left"/>
              <w:rPr>
                <w:sz w:val="16"/>
              </w:rPr>
            </w:pPr>
            <w:r>
              <w:rPr>
                <w:sz w:val="16"/>
              </w:rPr>
              <w:t>Law enforcement and security</w:t>
            </w:r>
          </w:p>
        </w:tc>
        <w:tc>
          <w:tcPr>
            <w:tcW w:w="3208" w:type="dxa"/>
            <w:shd w:val="clear" w:color="auto" w:fill="E9E9E9"/>
          </w:tcPr>
          <w:p>
            <w:pPr>
              <w:pStyle w:val="TableParagraph"/>
              <w:spacing w:before="43"/>
              <w:ind w:right="1555"/>
              <w:rPr>
                <w:sz w:val="16"/>
              </w:rPr>
            </w:pPr>
            <w:r>
              <w:rPr>
                <w:w w:val="93"/>
                <w:sz w:val="16"/>
              </w:rPr>
              <w:t>2</w:t>
            </w:r>
          </w:p>
        </w:tc>
      </w:tr>
      <w:tr>
        <w:trPr>
          <w:trHeight w:val="312" w:hRule="exact"/>
        </w:trPr>
        <w:tc>
          <w:tcPr>
            <w:tcW w:w="6874" w:type="dxa"/>
            <w:shd w:val="clear" w:color="auto" w:fill="E9E9E9"/>
          </w:tcPr>
          <w:p>
            <w:pPr>
              <w:pStyle w:val="TableParagraph"/>
              <w:spacing w:before="43"/>
              <w:ind w:left="74"/>
              <w:jc w:val="left"/>
              <w:rPr>
                <w:sz w:val="16"/>
              </w:rPr>
            </w:pPr>
            <w:r>
              <w:rPr>
                <w:sz w:val="16"/>
              </w:rPr>
              <w:t>Individual rights, judicial processes and natural justice</w:t>
            </w:r>
          </w:p>
        </w:tc>
        <w:tc>
          <w:tcPr>
            <w:tcW w:w="3208" w:type="dxa"/>
            <w:shd w:val="clear" w:color="auto" w:fill="E9E9E9"/>
          </w:tcPr>
          <w:p>
            <w:pPr>
              <w:pStyle w:val="TableParagraph"/>
              <w:spacing w:before="43"/>
              <w:ind w:right="1555"/>
              <w:rPr>
                <w:sz w:val="16"/>
              </w:rPr>
            </w:pPr>
            <w:r>
              <w:rPr>
                <w:w w:val="94"/>
                <w:sz w:val="16"/>
              </w:rPr>
              <w:t>3</w:t>
            </w:r>
          </w:p>
        </w:tc>
      </w:tr>
      <w:tr>
        <w:trPr>
          <w:trHeight w:val="312" w:hRule="exact"/>
        </w:trPr>
        <w:tc>
          <w:tcPr>
            <w:tcW w:w="6874" w:type="dxa"/>
            <w:shd w:val="clear" w:color="auto" w:fill="E9E9E9"/>
          </w:tcPr>
          <w:p>
            <w:pPr>
              <w:pStyle w:val="TableParagraph"/>
              <w:spacing w:before="43"/>
              <w:ind w:left="74"/>
              <w:jc w:val="left"/>
              <w:rPr>
                <w:sz w:val="16"/>
              </w:rPr>
            </w:pPr>
            <w:r>
              <w:rPr>
                <w:sz w:val="16"/>
              </w:rPr>
              <w:t>Business interests of agencies and other persons</w:t>
            </w:r>
          </w:p>
        </w:tc>
        <w:tc>
          <w:tcPr>
            <w:tcW w:w="3208" w:type="dxa"/>
            <w:shd w:val="clear" w:color="auto" w:fill="E9E9E9"/>
          </w:tcPr>
          <w:p>
            <w:pPr>
              <w:pStyle w:val="TableParagraph"/>
              <w:spacing w:before="43"/>
              <w:ind w:right="1551"/>
              <w:rPr>
                <w:sz w:val="16"/>
              </w:rPr>
            </w:pPr>
            <w:r>
              <w:rPr>
                <w:w w:val="103"/>
                <w:sz w:val="16"/>
              </w:rPr>
              <w:t>4</w:t>
            </w:r>
          </w:p>
        </w:tc>
      </w:tr>
      <w:tr>
        <w:trPr>
          <w:trHeight w:val="312" w:hRule="exact"/>
        </w:trPr>
        <w:tc>
          <w:tcPr>
            <w:tcW w:w="6874" w:type="dxa"/>
            <w:shd w:val="clear" w:color="auto" w:fill="E9E9E9"/>
          </w:tcPr>
          <w:p>
            <w:pPr>
              <w:pStyle w:val="TableParagraph"/>
              <w:spacing w:before="43"/>
              <w:ind w:left="74"/>
              <w:jc w:val="left"/>
              <w:rPr>
                <w:sz w:val="16"/>
              </w:rPr>
            </w:pPr>
            <w:r>
              <w:rPr>
                <w:sz w:val="16"/>
              </w:rPr>
              <w:t>Environment, culture, economy and general matters</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4"/>
              <w:jc w:val="left"/>
              <w:rPr>
                <w:sz w:val="16"/>
              </w:rPr>
            </w:pPr>
            <w:r>
              <w:rPr>
                <w:sz w:val="16"/>
              </w:rPr>
              <w:t>Secrecy provisions</w:t>
            </w:r>
          </w:p>
        </w:tc>
        <w:tc>
          <w:tcPr>
            <w:tcW w:w="3208" w:type="dxa"/>
            <w:shd w:val="clear" w:color="auto" w:fill="E9E9E9"/>
          </w:tcPr>
          <w:p>
            <w:pPr>
              <w:pStyle w:val="TableParagraph"/>
              <w:spacing w:before="43"/>
              <w:ind w:right="1548"/>
              <w:rPr>
                <w:sz w:val="16"/>
              </w:rPr>
            </w:pPr>
            <w:r>
              <w:rPr>
                <w:w w:val="111"/>
                <w:sz w:val="16"/>
              </w:rPr>
              <w:t>0</w:t>
            </w:r>
          </w:p>
        </w:tc>
      </w:tr>
      <w:tr>
        <w:trPr>
          <w:trHeight w:val="312" w:hRule="exact"/>
        </w:trPr>
        <w:tc>
          <w:tcPr>
            <w:tcW w:w="6874" w:type="dxa"/>
            <w:shd w:val="clear" w:color="auto" w:fill="E9E9E9"/>
          </w:tcPr>
          <w:p>
            <w:pPr>
              <w:pStyle w:val="TableParagraph"/>
              <w:spacing w:before="43"/>
              <w:ind w:left="74"/>
              <w:jc w:val="left"/>
              <w:rPr>
                <w:sz w:val="16"/>
              </w:rPr>
            </w:pPr>
            <w:r>
              <w:rPr>
                <w:sz w:val="16"/>
              </w:rPr>
              <w:t>Exempt documents under interstate Freedom of Information legislation</w:t>
            </w:r>
          </w:p>
        </w:tc>
        <w:tc>
          <w:tcPr>
            <w:tcW w:w="3208" w:type="dxa"/>
            <w:shd w:val="clear" w:color="auto" w:fill="E9E9E9"/>
          </w:tcPr>
          <w:p>
            <w:pPr>
              <w:pStyle w:val="TableParagraph"/>
              <w:spacing w:before="43"/>
              <w:ind w:right="1548"/>
              <w:rPr>
                <w:sz w:val="16"/>
              </w:rPr>
            </w:pPr>
            <w:r>
              <w:rPr>
                <w:w w:val="111"/>
                <w:sz w:val="16"/>
              </w:rPr>
              <w:t>0</w:t>
            </w:r>
          </w:p>
        </w:tc>
      </w:tr>
    </w:tbl>
    <w:p>
      <w:pPr>
        <w:spacing w:after="0"/>
        <w:rPr>
          <w:sz w:val="16"/>
        </w:rPr>
        <w:sectPr>
          <w:pgSz w:w="11910" w:h="16840"/>
          <w:pgMar w:header="496" w:footer="472" w:top="680" w:bottom="660" w:left="580" w:right="580"/>
        </w:sectPr>
      </w:pPr>
    </w:p>
    <w:p>
      <w:pPr>
        <w:pStyle w:val="BodyText"/>
        <w:spacing w:before="8"/>
        <w:rPr>
          <w:rFonts w:ascii="Gotham Narrow Bold"/>
          <w:b/>
          <w:sz w:val="28"/>
        </w:rPr>
      </w:pPr>
      <w:r>
        <w:rPr/>
        <w:pict>
          <v:rect style="position:absolute;margin-left:34.015999pt;margin-top:45.355015pt;width:527.244pt;height:751.181pt;mso-position-horizontal-relative:page;mso-position-vertical-relative:page;z-index:-334696" filled="true" fillcolor="#e9e9e9" stroked="false">
            <v:fill type="solid"/>
            <w10:wrap type="none"/>
          </v:rect>
        </w:pict>
      </w:r>
    </w:p>
    <w:p>
      <w:pPr>
        <w:pStyle w:val="Heading1"/>
      </w:pPr>
      <w:r>
        <w:rPr>
          <w:w w:val="95"/>
        </w:rPr>
        <w:t>APPENDIX 8</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7"/>
        <w:spacing w:before="72"/>
        <w:ind w:left="327" w:right="7611"/>
      </w:pPr>
      <w:r>
        <w:rPr>
          <w:color w:val="615C58"/>
          <w:w w:val="95"/>
        </w:rPr>
        <w:t>Table F: Timeliness</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5154"/>
        <w:gridCol w:w="4927"/>
      </w:tblGrid>
      <w:tr>
        <w:trPr>
          <w:trHeight w:val="288" w:hRule="exact"/>
        </w:trPr>
        <w:tc>
          <w:tcPr>
            <w:tcW w:w="10081" w:type="dxa"/>
            <w:gridSpan w:val="2"/>
            <w:tcBorders>
              <w:top w:val="nil"/>
              <w:left w:val="nil"/>
              <w:bottom w:val="nil"/>
              <w:right w:val="nil"/>
            </w:tcBorders>
            <w:shd w:val="clear" w:color="auto" w:fill="949290"/>
          </w:tcPr>
          <w:p>
            <w:pPr>
              <w:pStyle w:val="TableParagraph"/>
              <w:spacing w:before="54"/>
              <w:ind w:left="6602"/>
              <w:jc w:val="left"/>
              <w:rPr>
                <w:rFonts w:ascii="Gotham Narrow Bold"/>
                <w:b/>
                <w:sz w:val="16"/>
              </w:rPr>
            </w:pPr>
            <w:r>
              <w:rPr>
                <w:rFonts w:ascii="Gotham Narrow Bold"/>
                <w:b/>
                <w:color w:val="FFFFFF"/>
                <w:w w:val="95"/>
                <w:sz w:val="16"/>
              </w:rPr>
              <w:t>NUMBER OF APPLICATIONS</w:t>
            </w:r>
          </w:p>
        </w:tc>
      </w:tr>
      <w:tr>
        <w:trPr>
          <w:trHeight w:val="288" w:hRule="exact"/>
        </w:trPr>
        <w:tc>
          <w:tcPr>
            <w:tcW w:w="5154" w:type="dxa"/>
            <w:tcBorders>
              <w:top w:val="nil"/>
            </w:tcBorders>
            <w:shd w:val="clear" w:color="auto" w:fill="E9E9E9"/>
          </w:tcPr>
          <w:p>
            <w:pPr>
              <w:pStyle w:val="TableParagraph"/>
              <w:spacing w:before="48"/>
              <w:ind w:left="74"/>
              <w:jc w:val="left"/>
              <w:rPr>
                <w:sz w:val="16"/>
              </w:rPr>
            </w:pPr>
            <w:r>
              <w:rPr>
                <w:sz w:val="16"/>
              </w:rPr>
              <w:t>Decided within the statutory timeframe (20 days plus any extensions)</w:t>
            </w:r>
          </w:p>
        </w:tc>
        <w:tc>
          <w:tcPr>
            <w:tcW w:w="4927" w:type="dxa"/>
            <w:tcBorders>
              <w:top w:val="nil"/>
            </w:tcBorders>
            <w:shd w:val="clear" w:color="auto" w:fill="E9E9E9"/>
          </w:tcPr>
          <w:p>
            <w:pPr>
              <w:pStyle w:val="TableParagraph"/>
              <w:spacing w:before="48"/>
              <w:jc w:val="center"/>
              <w:rPr>
                <w:sz w:val="16"/>
              </w:rPr>
            </w:pPr>
            <w:r>
              <w:rPr>
                <w:w w:val="101"/>
                <w:sz w:val="16"/>
              </w:rPr>
              <w:t>6</w:t>
            </w:r>
          </w:p>
        </w:tc>
      </w:tr>
      <w:tr>
        <w:trPr>
          <w:trHeight w:val="288" w:hRule="exact"/>
        </w:trPr>
        <w:tc>
          <w:tcPr>
            <w:tcW w:w="5154" w:type="dxa"/>
            <w:shd w:val="clear" w:color="auto" w:fill="E9E9E9"/>
          </w:tcPr>
          <w:p>
            <w:pPr>
              <w:pStyle w:val="TableParagraph"/>
              <w:spacing w:before="43"/>
              <w:ind w:left="74"/>
              <w:jc w:val="left"/>
              <w:rPr>
                <w:sz w:val="16"/>
              </w:rPr>
            </w:pPr>
            <w:r>
              <w:rPr>
                <w:sz w:val="16"/>
              </w:rPr>
              <w:t>Decided after 35 days (by agreement with applicant)</w:t>
            </w:r>
          </w:p>
        </w:tc>
        <w:tc>
          <w:tcPr>
            <w:tcW w:w="4927" w:type="dxa"/>
            <w:shd w:val="clear" w:color="auto" w:fill="E9E9E9"/>
          </w:tcPr>
          <w:p>
            <w:pPr>
              <w:pStyle w:val="TableParagraph"/>
              <w:spacing w:before="43"/>
              <w:jc w:val="center"/>
              <w:rPr>
                <w:sz w:val="16"/>
              </w:rPr>
            </w:pPr>
            <w:r>
              <w:rPr>
                <w:w w:val="93"/>
                <w:sz w:val="16"/>
              </w:rPr>
              <w:t>2</w:t>
            </w:r>
          </w:p>
        </w:tc>
      </w:tr>
      <w:tr>
        <w:trPr>
          <w:trHeight w:val="288" w:hRule="exact"/>
        </w:trPr>
        <w:tc>
          <w:tcPr>
            <w:tcW w:w="5154" w:type="dxa"/>
            <w:shd w:val="clear" w:color="auto" w:fill="E9E9E9"/>
          </w:tcPr>
          <w:p>
            <w:pPr>
              <w:pStyle w:val="TableParagraph"/>
              <w:spacing w:before="43"/>
              <w:ind w:left="74"/>
              <w:jc w:val="left"/>
              <w:rPr>
                <w:sz w:val="16"/>
              </w:rPr>
            </w:pPr>
            <w:r>
              <w:rPr>
                <w:sz w:val="16"/>
              </w:rPr>
              <w:t>Not decided within time (deemed refusal)</w:t>
            </w:r>
          </w:p>
        </w:tc>
        <w:tc>
          <w:tcPr>
            <w:tcW w:w="4927" w:type="dxa"/>
            <w:shd w:val="clear" w:color="auto" w:fill="E9E9E9"/>
          </w:tcPr>
          <w:p>
            <w:pPr>
              <w:pStyle w:val="TableParagraph"/>
              <w:spacing w:before="43"/>
              <w:jc w:val="center"/>
              <w:rPr>
                <w:sz w:val="16"/>
              </w:rPr>
            </w:pPr>
            <w:r>
              <w:rPr>
                <w:w w:val="111"/>
                <w:sz w:val="16"/>
              </w:rPr>
              <w:t>0</w:t>
            </w:r>
          </w:p>
        </w:tc>
      </w:tr>
      <w:tr>
        <w:trPr>
          <w:trHeight w:val="288" w:hRule="exact"/>
        </w:trPr>
        <w:tc>
          <w:tcPr>
            <w:tcW w:w="5154" w:type="dxa"/>
            <w:shd w:val="clear" w:color="auto" w:fill="E9E9E9"/>
          </w:tcPr>
          <w:p>
            <w:pPr>
              <w:pStyle w:val="TableParagraph"/>
              <w:spacing w:before="50"/>
              <w:ind w:left="74"/>
              <w:jc w:val="left"/>
              <w:rPr>
                <w:rFonts w:ascii="Calibri"/>
                <w:sz w:val="16"/>
              </w:rPr>
            </w:pPr>
            <w:r>
              <w:rPr>
                <w:rFonts w:ascii="Calibri"/>
                <w:w w:val="110"/>
                <w:sz w:val="16"/>
              </w:rPr>
              <w:t>Total</w:t>
            </w:r>
          </w:p>
        </w:tc>
        <w:tc>
          <w:tcPr>
            <w:tcW w:w="4927" w:type="dxa"/>
            <w:shd w:val="clear" w:color="auto" w:fill="E9E9E9"/>
          </w:tcPr>
          <w:p>
            <w:pPr>
              <w:pStyle w:val="TableParagraph"/>
              <w:spacing w:before="50"/>
              <w:jc w:val="center"/>
              <w:rPr>
                <w:rFonts w:ascii="Calibri"/>
                <w:sz w:val="16"/>
              </w:rPr>
            </w:pPr>
            <w:r>
              <w:rPr>
                <w:rFonts w:ascii="Calibri"/>
                <w:w w:val="109"/>
                <w:sz w:val="16"/>
              </w:rPr>
              <w:t>8</w:t>
            </w:r>
          </w:p>
        </w:tc>
      </w:tr>
    </w:tbl>
    <w:p>
      <w:pPr>
        <w:pStyle w:val="BodyText"/>
        <w:spacing w:before="10"/>
        <w:rPr>
          <w:rFonts w:ascii="Gotham Narrow Bold"/>
          <w:b/>
          <w:sz w:val="14"/>
        </w:rPr>
      </w:pPr>
    </w:p>
    <w:p>
      <w:pPr>
        <w:spacing w:before="72"/>
        <w:ind w:left="327" w:right="503" w:firstLine="0"/>
        <w:jc w:val="left"/>
        <w:rPr>
          <w:rFonts w:ascii="Gotham Narrow Bold"/>
          <w:b/>
          <w:sz w:val="16"/>
        </w:rPr>
      </w:pPr>
      <w:r>
        <w:rPr>
          <w:rFonts w:ascii="Gotham Narrow Bold"/>
          <w:b/>
          <w:color w:val="615C58"/>
          <w:sz w:val="16"/>
        </w:rPr>
        <w:t>Table G: Number of applications reviewed under Part 5 of the Act (by type of review and outcome)</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5154"/>
        <w:gridCol w:w="1644"/>
        <w:gridCol w:w="1644"/>
        <w:gridCol w:w="1644"/>
      </w:tblGrid>
      <w:tr>
        <w:trPr>
          <w:trHeight w:val="288" w:hRule="exact"/>
        </w:trPr>
        <w:tc>
          <w:tcPr>
            <w:tcW w:w="10086" w:type="dxa"/>
            <w:gridSpan w:val="4"/>
            <w:tcBorders>
              <w:top w:val="nil"/>
              <w:left w:val="nil"/>
              <w:bottom w:val="nil"/>
              <w:right w:val="nil"/>
            </w:tcBorders>
            <w:shd w:val="clear" w:color="auto" w:fill="949290"/>
          </w:tcPr>
          <w:p>
            <w:pPr>
              <w:pStyle w:val="TableParagraph"/>
              <w:tabs>
                <w:tab w:pos="6936" w:val="left" w:leader="none"/>
                <w:tab w:pos="9023" w:val="left" w:leader="none"/>
              </w:tabs>
              <w:spacing w:before="54"/>
              <w:ind w:left="5312"/>
              <w:jc w:val="left"/>
              <w:rPr>
                <w:rFonts w:ascii="Gotham Narrow Bold"/>
                <w:b/>
                <w:sz w:val="16"/>
              </w:rPr>
            </w:pPr>
            <w:r>
              <w:rPr>
                <w:rFonts w:ascii="Gotham Narrow Bold"/>
                <w:b/>
                <w:color w:val="FFFFFF"/>
                <w:spacing w:val="2"/>
                <w:sz w:val="16"/>
              </w:rPr>
              <w:t>DECISION</w:t>
            </w:r>
            <w:r>
              <w:rPr>
                <w:rFonts w:ascii="Gotham Narrow Bold"/>
                <w:b/>
                <w:color w:val="FFFFFF"/>
                <w:spacing w:val="-19"/>
                <w:sz w:val="16"/>
              </w:rPr>
              <w:t> </w:t>
            </w:r>
            <w:r>
              <w:rPr>
                <w:rFonts w:ascii="Gotham Narrow Bold"/>
                <w:b/>
                <w:color w:val="FFFFFF"/>
                <w:sz w:val="16"/>
              </w:rPr>
              <w:t>VARIED</w:t>
              <w:tab/>
            </w:r>
            <w:r>
              <w:rPr>
                <w:rFonts w:ascii="Gotham Narrow Bold"/>
                <w:b/>
                <w:color w:val="FFFFFF"/>
                <w:spacing w:val="2"/>
                <w:sz w:val="16"/>
              </w:rPr>
              <w:t>DECISION</w:t>
            </w:r>
            <w:r>
              <w:rPr>
                <w:rFonts w:ascii="Gotham Narrow Bold"/>
                <w:b/>
                <w:color w:val="FFFFFF"/>
                <w:spacing w:val="-20"/>
                <w:sz w:val="16"/>
              </w:rPr>
              <w:t> </w:t>
            </w:r>
            <w:r>
              <w:rPr>
                <w:rFonts w:ascii="Gotham Narrow Bold"/>
                <w:b/>
                <w:color w:val="FFFFFF"/>
                <w:spacing w:val="2"/>
                <w:sz w:val="16"/>
              </w:rPr>
              <w:t>UPHELD</w:t>
              <w:tab/>
            </w:r>
            <w:r>
              <w:rPr>
                <w:rFonts w:ascii="Gotham Narrow Bold"/>
                <w:b/>
                <w:color w:val="FFFFFF"/>
                <w:sz w:val="16"/>
              </w:rPr>
              <w:t>TOTAL</w:t>
            </w:r>
          </w:p>
        </w:tc>
      </w:tr>
      <w:tr>
        <w:trPr>
          <w:trHeight w:val="288" w:hRule="exact"/>
        </w:trPr>
        <w:tc>
          <w:tcPr>
            <w:tcW w:w="5154" w:type="dxa"/>
            <w:tcBorders>
              <w:top w:val="nil"/>
            </w:tcBorders>
            <w:shd w:val="clear" w:color="auto" w:fill="E9E9E9"/>
          </w:tcPr>
          <w:p>
            <w:pPr>
              <w:pStyle w:val="TableParagraph"/>
              <w:spacing w:before="48"/>
              <w:ind w:left="75"/>
              <w:jc w:val="left"/>
              <w:rPr>
                <w:sz w:val="16"/>
              </w:rPr>
            </w:pPr>
            <w:r>
              <w:rPr>
                <w:w w:val="95"/>
                <w:sz w:val="16"/>
              </w:rPr>
              <w:t>Internal review</w:t>
            </w:r>
          </w:p>
        </w:tc>
        <w:tc>
          <w:tcPr>
            <w:tcW w:w="1644" w:type="dxa"/>
            <w:tcBorders>
              <w:top w:val="nil"/>
            </w:tcBorders>
            <w:shd w:val="clear" w:color="auto" w:fill="E9E9E9"/>
          </w:tcPr>
          <w:p>
            <w:pPr>
              <w:pStyle w:val="TableParagraph"/>
              <w:spacing w:before="48"/>
              <w:ind w:left="768"/>
              <w:jc w:val="left"/>
              <w:rPr>
                <w:sz w:val="16"/>
              </w:rPr>
            </w:pPr>
            <w:r>
              <w:rPr>
                <w:w w:val="111"/>
                <w:sz w:val="16"/>
              </w:rPr>
              <w:t>0</w:t>
            </w:r>
          </w:p>
        </w:tc>
        <w:tc>
          <w:tcPr>
            <w:tcW w:w="1644" w:type="dxa"/>
            <w:tcBorders>
              <w:top w:val="nil"/>
            </w:tcBorders>
            <w:shd w:val="clear" w:color="auto" w:fill="E9E9E9"/>
          </w:tcPr>
          <w:p>
            <w:pPr>
              <w:pStyle w:val="TableParagraph"/>
              <w:spacing w:before="48"/>
              <w:jc w:val="center"/>
              <w:rPr>
                <w:sz w:val="16"/>
              </w:rPr>
            </w:pPr>
            <w:r>
              <w:rPr>
                <w:w w:val="111"/>
                <w:sz w:val="16"/>
              </w:rPr>
              <w:t>0</w:t>
            </w:r>
          </w:p>
        </w:tc>
        <w:tc>
          <w:tcPr>
            <w:tcW w:w="1644" w:type="dxa"/>
            <w:tcBorders>
              <w:top w:val="nil"/>
            </w:tcBorders>
            <w:shd w:val="clear" w:color="auto" w:fill="E9E9E9"/>
          </w:tcPr>
          <w:p>
            <w:pPr>
              <w:pStyle w:val="TableParagraph"/>
              <w:spacing w:before="48"/>
              <w:ind w:right="766"/>
              <w:rPr>
                <w:sz w:val="16"/>
              </w:rPr>
            </w:pPr>
            <w:r>
              <w:rPr>
                <w:w w:val="111"/>
                <w:sz w:val="16"/>
              </w:rPr>
              <w:t>0</w:t>
            </w:r>
          </w:p>
        </w:tc>
      </w:tr>
      <w:tr>
        <w:trPr>
          <w:trHeight w:val="288" w:hRule="exact"/>
        </w:trPr>
        <w:tc>
          <w:tcPr>
            <w:tcW w:w="5154" w:type="dxa"/>
            <w:shd w:val="clear" w:color="auto" w:fill="E9E9E9"/>
          </w:tcPr>
          <w:p>
            <w:pPr>
              <w:pStyle w:val="TableParagraph"/>
              <w:spacing w:before="43"/>
              <w:ind w:left="75"/>
              <w:jc w:val="left"/>
              <w:rPr>
                <w:sz w:val="16"/>
              </w:rPr>
            </w:pPr>
            <w:r>
              <w:rPr>
                <w:sz w:val="16"/>
              </w:rPr>
              <w:t>Review by Information Commissioner*</w:t>
            </w:r>
          </w:p>
        </w:tc>
        <w:tc>
          <w:tcPr>
            <w:tcW w:w="1644" w:type="dxa"/>
            <w:shd w:val="clear" w:color="auto" w:fill="E9E9E9"/>
          </w:tcPr>
          <w:p>
            <w:pPr>
              <w:pStyle w:val="TableParagraph"/>
              <w:spacing w:before="43"/>
              <w:ind w:left="768"/>
              <w:jc w:val="left"/>
              <w:rPr>
                <w:sz w:val="16"/>
              </w:rPr>
            </w:pPr>
            <w:r>
              <w:rPr>
                <w:w w:val="111"/>
                <w:sz w:val="16"/>
              </w:rPr>
              <w:t>0</w:t>
            </w:r>
          </w:p>
        </w:tc>
        <w:tc>
          <w:tcPr>
            <w:tcW w:w="1644" w:type="dxa"/>
            <w:shd w:val="clear" w:color="auto" w:fill="E9E9E9"/>
          </w:tcPr>
          <w:p>
            <w:pPr>
              <w:pStyle w:val="TableParagraph"/>
              <w:spacing w:before="43"/>
              <w:jc w:val="center"/>
              <w:rPr>
                <w:sz w:val="16"/>
              </w:rPr>
            </w:pPr>
            <w:r>
              <w:rPr>
                <w:w w:val="54"/>
                <w:sz w:val="16"/>
              </w:rPr>
              <w:t>1</w:t>
            </w:r>
          </w:p>
        </w:tc>
        <w:tc>
          <w:tcPr>
            <w:tcW w:w="1644" w:type="dxa"/>
            <w:shd w:val="clear" w:color="auto" w:fill="E9E9E9"/>
          </w:tcPr>
          <w:p>
            <w:pPr>
              <w:pStyle w:val="TableParagraph"/>
              <w:spacing w:before="43"/>
              <w:ind w:right="791"/>
              <w:rPr>
                <w:sz w:val="16"/>
              </w:rPr>
            </w:pPr>
            <w:r>
              <w:rPr>
                <w:w w:val="54"/>
                <w:sz w:val="16"/>
              </w:rPr>
              <w:t>1</w:t>
            </w:r>
          </w:p>
        </w:tc>
      </w:tr>
      <w:tr>
        <w:trPr>
          <w:trHeight w:val="288" w:hRule="exact"/>
        </w:trPr>
        <w:tc>
          <w:tcPr>
            <w:tcW w:w="5154" w:type="dxa"/>
            <w:shd w:val="clear" w:color="auto" w:fill="E9E9E9"/>
          </w:tcPr>
          <w:p>
            <w:pPr>
              <w:pStyle w:val="TableParagraph"/>
              <w:spacing w:before="43"/>
              <w:ind w:left="75"/>
              <w:jc w:val="left"/>
              <w:rPr>
                <w:sz w:val="16"/>
              </w:rPr>
            </w:pPr>
            <w:r>
              <w:rPr>
                <w:sz w:val="16"/>
              </w:rPr>
              <w:t>Internal review following recommendation under section 93 of the Act</w:t>
            </w:r>
          </w:p>
        </w:tc>
        <w:tc>
          <w:tcPr>
            <w:tcW w:w="1644" w:type="dxa"/>
            <w:shd w:val="clear" w:color="auto" w:fill="E9E9E9"/>
          </w:tcPr>
          <w:p>
            <w:pPr>
              <w:pStyle w:val="TableParagraph"/>
              <w:spacing w:before="43"/>
              <w:ind w:left="793"/>
              <w:jc w:val="left"/>
              <w:rPr>
                <w:sz w:val="16"/>
              </w:rPr>
            </w:pPr>
            <w:r>
              <w:rPr>
                <w:w w:val="54"/>
                <w:sz w:val="16"/>
              </w:rPr>
              <w:t>1</w:t>
            </w:r>
          </w:p>
        </w:tc>
        <w:tc>
          <w:tcPr>
            <w:tcW w:w="1644" w:type="dxa"/>
            <w:shd w:val="clear" w:color="auto" w:fill="E9E9E9"/>
          </w:tcPr>
          <w:p>
            <w:pPr>
              <w:pStyle w:val="TableParagraph"/>
              <w:spacing w:before="43"/>
              <w:jc w:val="center"/>
              <w:rPr>
                <w:sz w:val="16"/>
              </w:rPr>
            </w:pPr>
            <w:r>
              <w:rPr>
                <w:w w:val="111"/>
                <w:sz w:val="16"/>
              </w:rPr>
              <w:t>0</w:t>
            </w:r>
          </w:p>
        </w:tc>
        <w:tc>
          <w:tcPr>
            <w:tcW w:w="1644" w:type="dxa"/>
            <w:shd w:val="clear" w:color="auto" w:fill="E9E9E9"/>
          </w:tcPr>
          <w:p>
            <w:pPr>
              <w:pStyle w:val="TableParagraph"/>
              <w:spacing w:before="43"/>
              <w:ind w:right="791"/>
              <w:rPr>
                <w:sz w:val="16"/>
              </w:rPr>
            </w:pPr>
            <w:r>
              <w:rPr>
                <w:w w:val="54"/>
                <w:sz w:val="16"/>
              </w:rPr>
              <w:t>1</w:t>
            </w:r>
          </w:p>
        </w:tc>
      </w:tr>
      <w:tr>
        <w:trPr>
          <w:trHeight w:val="288" w:hRule="exact"/>
        </w:trPr>
        <w:tc>
          <w:tcPr>
            <w:tcW w:w="5154" w:type="dxa"/>
            <w:shd w:val="clear" w:color="auto" w:fill="E9E9E9"/>
          </w:tcPr>
          <w:p>
            <w:pPr>
              <w:pStyle w:val="TableParagraph"/>
              <w:spacing w:before="43"/>
              <w:ind w:left="75"/>
              <w:jc w:val="left"/>
              <w:rPr>
                <w:sz w:val="16"/>
              </w:rPr>
            </w:pPr>
            <w:r>
              <w:rPr>
                <w:sz w:val="16"/>
              </w:rPr>
              <w:t>Review by NSW Civil and Administrative Tribunal</w:t>
            </w:r>
          </w:p>
        </w:tc>
        <w:tc>
          <w:tcPr>
            <w:tcW w:w="1644" w:type="dxa"/>
            <w:shd w:val="clear" w:color="auto" w:fill="E9E9E9"/>
          </w:tcPr>
          <w:p>
            <w:pPr>
              <w:pStyle w:val="TableParagraph"/>
              <w:spacing w:before="43"/>
              <w:ind w:left="768"/>
              <w:jc w:val="left"/>
              <w:rPr>
                <w:sz w:val="16"/>
              </w:rPr>
            </w:pPr>
            <w:r>
              <w:rPr>
                <w:w w:val="111"/>
                <w:sz w:val="16"/>
              </w:rPr>
              <w:t>0</w:t>
            </w:r>
          </w:p>
        </w:tc>
        <w:tc>
          <w:tcPr>
            <w:tcW w:w="1644" w:type="dxa"/>
            <w:shd w:val="clear" w:color="auto" w:fill="E9E9E9"/>
          </w:tcPr>
          <w:p>
            <w:pPr>
              <w:pStyle w:val="TableParagraph"/>
              <w:spacing w:before="43"/>
              <w:jc w:val="center"/>
              <w:rPr>
                <w:sz w:val="16"/>
              </w:rPr>
            </w:pPr>
            <w:r>
              <w:rPr>
                <w:w w:val="111"/>
                <w:sz w:val="16"/>
              </w:rPr>
              <w:t>0</w:t>
            </w:r>
          </w:p>
        </w:tc>
        <w:tc>
          <w:tcPr>
            <w:tcW w:w="1644" w:type="dxa"/>
            <w:shd w:val="clear" w:color="auto" w:fill="E9E9E9"/>
          </w:tcPr>
          <w:p>
            <w:pPr>
              <w:pStyle w:val="TableParagraph"/>
              <w:spacing w:before="43"/>
              <w:ind w:right="766"/>
              <w:rPr>
                <w:sz w:val="16"/>
              </w:rPr>
            </w:pPr>
            <w:r>
              <w:rPr>
                <w:w w:val="111"/>
                <w:sz w:val="16"/>
              </w:rPr>
              <w:t>0</w:t>
            </w:r>
          </w:p>
        </w:tc>
      </w:tr>
      <w:tr>
        <w:trPr>
          <w:trHeight w:val="288" w:hRule="exact"/>
        </w:trPr>
        <w:tc>
          <w:tcPr>
            <w:tcW w:w="5154" w:type="dxa"/>
            <w:shd w:val="clear" w:color="auto" w:fill="E9E9E9"/>
          </w:tcPr>
          <w:p>
            <w:pPr>
              <w:pStyle w:val="TableParagraph"/>
              <w:spacing w:before="50"/>
              <w:ind w:left="75"/>
              <w:jc w:val="left"/>
              <w:rPr>
                <w:rFonts w:ascii="Calibri"/>
                <w:sz w:val="16"/>
              </w:rPr>
            </w:pPr>
            <w:r>
              <w:rPr>
                <w:rFonts w:ascii="Calibri"/>
                <w:w w:val="110"/>
                <w:sz w:val="16"/>
              </w:rPr>
              <w:t>Total</w:t>
            </w:r>
          </w:p>
        </w:tc>
        <w:tc>
          <w:tcPr>
            <w:tcW w:w="1644" w:type="dxa"/>
            <w:shd w:val="clear" w:color="auto" w:fill="E9E9E9"/>
          </w:tcPr>
          <w:p>
            <w:pPr>
              <w:pStyle w:val="TableParagraph"/>
              <w:spacing w:before="50"/>
              <w:ind w:left="789"/>
              <w:jc w:val="left"/>
              <w:rPr>
                <w:rFonts w:ascii="Calibri"/>
                <w:sz w:val="16"/>
              </w:rPr>
            </w:pPr>
            <w:r>
              <w:rPr>
                <w:rFonts w:ascii="Calibri"/>
                <w:w w:val="68"/>
                <w:sz w:val="16"/>
              </w:rPr>
              <w:t>1</w:t>
            </w:r>
          </w:p>
        </w:tc>
        <w:tc>
          <w:tcPr>
            <w:tcW w:w="1644" w:type="dxa"/>
            <w:shd w:val="clear" w:color="auto" w:fill="E9E9E9"/>
          </w:tcPr>
          <w:p>
            <w:pPr>
              <w:pStyle w:val="TableParagraph"/>
              <w:spacing w:before="50"/>
              <w:jc w:val="center"/>
              <w:rPr>
                <w:rFonts w:ascii="Calibri"/>
                <w:sz w:val="16"/>
              </w:rPr>
            </w:pPr>
            <w:r>
              <w:rPr>
                <w:rFonts w:ascii="Calibri"/>
                <w:w w:val="68"/>
                <w:sz w:val="16"/>
              </w:rPr>
              <w:t>1</w:t>
            </w:r>
          </w:p>
        </w:tc>
        <w:tc>
          <w:tcPr>
            <w:tcW w:w="1644" w:type="dxa"/>
            <w:shd w:val="clear" w:color="auto" w:fill="E9E9E9"/>
          </w:tcPr>
          <w:p>
            <w:pPr>
              <w:pStyle w:val="TableParagraph"/>
              <w:spacing w:before="50"/>
              <w:ind w:right="771"/>
              <w:rPr>
                <w:rFonts w:ascii="Calibri"/>
                <w:sz w:val="16"/>
              </w:rPr>
            </w:pPr>
            <w:r>
              <w:rPr>
                <w:rFonts w:ascii="Calibri"/>
                <w:w w:val="105"/>
                <w:sz w:val="16"/>
              </w:rPr>
              <w:t>2</w:t>
            </w:r>
          </w:p>
        </w:tc>
      </w:tr>
    </w:tbl>
    <w:p>
      <w:pPr>
        <w:pStyle w:val="BodyText"/>
        <w:spacing w:line="249" w:lineRule="auto" w:before="130"/>
        <w:ind w:left="392" w:right="503" w:hanging="65"/>
      </w:pPr>
      <w:r>
        <w:rPr/>
        <w:t>*The</w:t>
      </w:r>
      <w:r>
        <w:rPr>
          <w:spacing w:val="-19"/>
        </w:rPr>
        <w:t> </w:t>
      </w:r>
      <w:r>
        <w:rPr/>
        <w:t>Information</w:t>
      </w:r>
      <w:r>
        <w:rPr>
          <w:spacing w:val="-19"/>
        </w:rPr>
        <w:t> </w:t>
      </w:r>
      <w:r>
        <w:rPr/>
        <w:t>Commissioner</w:t>
      </w:r>
      <w:r>
        <w:rPr>
          <w:spacing w:val="-19"/>
        </w:rPr>
        <w:t> </w:t>
      </w:r>
      <w:r>
        <w:rPr/>
        <w:t>does</w:t>
      </w:r>
      <w:r>
        <w:rPr>
          <w:spacing w:val="-19"/>
        </w:rPr>
        <w:t> </w:t>
      </w:r>
      <w:r>
        <w:rPr/>
        <w:t>not</w:t>
      </w:r>
      <w:r>
        <w:rPr>
          <w:spacing w:val="-19"/>
        </w:rPr>
        <w:t> </w:t>
      </w:r>
      <w:r>
        <w:rPr/>
        <w:t>have</w:t>
      </w:r>
      <w:r>
        <w:rPr>
          <w:spacing w:val="-19"/>
        </w:rPr>
        <w:t> </w:t>
      </w:r>
      <w:r>
        <w:rPr/>
        <w:t>the</w:t>
      </w:r>
      <w:r>
        <w:rPr>
          <w:spacing w:val="-19"/>
        </w:rPr>
        <w:t> </w:t>
      </w:r>
      <w:r>
        <w:rPr/>
        <w:t>authority</w:t>
      </w:r>
      <w:r>
        <w:rPr>
          <w:spacing w:val="-19"/>
        </w:rPr>
        <w:t> </w:t>
      </w:r>
      <w:r>
        <w:rPr/>
        <w:t>to</w:t>
      </w:r>
      <w:r>
        <w:rPr>
          <w:spacing w:val="-19"/>
        </w:rPr>
        <w:t> </w:t>
      </w:r>
      <w:r>
        <w:rPr/>
        <w:t>vary</w:t>
      </w:r>
      <w:r>
        <w:rPr>
          <w:spacing w:val="-19"/>
        </w:rPr>
        <w:t> </w:t>
      </w:r>
      <w:r>
        <w:rPr/>
        <w:t>decisions,</w:t>
      </w:r>
      <w:r>
        <w:rPr>
          <w:spacing w:val="-19"/>
        </w:rPr>
        <w:t> </w:t>
      </w:r>
      <w:r>
        <w:rPr/>
        <w:t>but</w:t>
      </w:r>
      <w:r>
        <w:rPr>
          <w:spacing w:val="-19"/>
        </w:rPr>
        <w:t> </w:t>
      </w:r>
      <w:r>
        <w:rPr/>
        <w:t>can</w:t>
      </w:r>
      <w:r>
        <w:rPr>
          <w:spacing w:val="-19"/>
        </w:rPr>
        <w:t> </w:t>
      </w:r>
      <w:r>
        <w:rPr/>
        <w:t>make</w:t>
      </w:r>
      <w:r>
        <w:rPr>
          <w:spacing w:val="-19"/>
        </w:rPr>
        <w:t> </w:t>
      </w:r>
      <w:r>
        <w:rPr/>
        <w:t>recommendations</w:t>
      </w:r>
      <w:r>
        <w:rPr>
          <w:spacing w:val="-19"/>
        </w:rPr>
        <w:t> </w:t>
      </w:r>
      <w:r>
        <w:rPr/>
        <w:t>to</w:t>
      </w:r>
      <w:r>
        <w:rPr>
          <w:spacing w:val="-19"/>
        </w:rPr>
        <w:t> </w:t>
      </w:r>
      <w:r>
        <w:rPr/>
        <w:t>the</w:t>
      </w:r>
      <w:r>
        <w:rPr>
          <w:spacing w:val="-19"/>
        </w:rPr>
        <w:t> </w:t>
      </w:r>
      <w:r>
        <w:rPr/>
        <w:t>original</w:t>
      </w:r>
      <w:r>
        <w:rPr>
          <w:spacing w:val="-19"/>
        </w:rPr>
        <w:t> </w:t>
      </w:r>
      <w:r>
        <w:rPr/>
        <w:t>decision-maker. The</w:t>
      </w:r>
      <w:r>
        <w:rPr>
          <w:spacing w:val="-16"/>
        </w:rPr>
        <w:t> </w:t>
      </w:r>
      <w:r>
        <w:rPr/>
        <w:t>data</w:t>
      </w:r>
      <w:r>
        <w:rPr>
          <w:spacing w:val="-16"/>
        </w:rPr>
        <w:t> </w:t>
      </w:r>
      <w:r>
        <w:rPr/>
        <w:t>in</w:t>
      </w:r>
      <w:r>
        <w:rPr>
          <w:spacing w:val="-16"/>
        </w:rPr>
        <w:t> </w:t>
      </w:r>
      <w:r>
        <w:rPr/>
        <w:t>this</w:t>
      </w:r>
      <w:r>
        <w:rPr>
          <w:spacing w:val="-16"/>
        </w:rPr>
        <w:t> </w:t>
      </w:r>
      <w:r>
        <w:rPr/>
        <w:t>case</w:t>
      </w:r>
      <w:r>
        <w:rPr>
          <w:spacing w:val="-16"/>
        </w:rPr>
        <w:t> </w:t>
      </w:r>
      <w:r>
        <w:rPr/>
        <w:t>indicates</w:t>
      </w:r>
      <w:r>
        <w:rPr>
          <w:spacing w:val="-16"/>
        </w:rPr>
        <w:t> </w:t>
      </w:r>
      <w:r>
        <w:rPr/>
        <w:t>that</w:t>
      </w:r>
      <w:r>
        <w:rPr>
          <w:spacing w:val="-16"/>
        </w:rPr>
        <w:t> </w:t>
      </w:r>
      <w:r>
        <w:rPr/>
        <w:t>a</w:t>
      </w:r>
      <w:r>
        <w:rPr>
          <w:spacing w:val="-16"/>
        </w:rPr>
        <w:t> </w:t>
      </w:r>
      <w:r>
        <w:rPr/>
        <w:t>recommendation</w:t>
      </w:r>
      <w:r>
        <w:rPr>
          <w:spacing w:val="-16"/>
        </w:rPr>
        <w:t> </w:t>
      </w:r>
      <w:r>
        <w:rPr/>
        <w:t>to</w:t>
      </w:r>
      <w:r>
        <w:rPr>
          <w:spacing w:val="-16"/>
        </w:rPr>
        <w:t> </w:t>
      </w:r>
      <w:r>
        <w:rPr/>
        <w:t>vary</w:t>
      </w:r>
      <w:r>
        <w:rPr>
          <w:spacing w:val="-16"/>
        </w:rPr>
        <w:t> </w:t>
      </w:r>
      <w:r>
        <w:rPr/>
        <w:t>or</w:t>
      </w:r>
      <w:r>
        <w:rPr>
          <w:spacing w:val="-16"/>
        </w:rPr>
        <w:t> </w:t>
      </w:r>
      <w:r>
        <w:rPr/>
        <w:t>uphold</w:t>
      </w:r>
      <w:r>
        <w:rPr>
          <w:spacing w:val="-16"/>
        </w:rPr>
        <w:t> </w:t>
      </w:r>
      <w:r>
        <w:rPr/>
        <w:t>the</w:t>
      </w:r>
      <w:r>
        <w:rPr>
          <w:spacing w:val="-16"/>
        </w:rPr>
        <w:t> </w:t>
      </w:r>
      <w:r>
        <w:rPr/>
        <w:t>original</w:t>
      </w:r>
      <w:r>
        <w:rPr>
          <w:spacing w:val="-16"/>
        </w:rPr>
        <w:t> </w:t>
      </w:r>
      <w:r>
        <w:rPr/>
        <w:t>decision</w:t>
      </w:r>
      <w:r>
        <w:rPr>
          <w:spacing w:val="-16"/>
        </w:rPr>
        <w:t> </w:t>
      </w:r>
      <w:r>
        <w:rPr/>
        <w:t>has</w:t>
      </w:r>
      <w:r>
        <w:rPr>
          <w:spacing w:val="-16"/>
        </w:rPr>
        <w:t> </w:t>
      </w:r>
      <w:r>
        <w:rPr/>
        <w:t>been</w:t>
      </w:r>
      <w:r>
        <w:rPr>
          <w:spacing w:val="-16"/>
        </w:rPr>
        <w:t> </w:t>
      </w:r>
      <w:r>
        <w:rPr/>
        <w:t>made.</w:t>
      </w:r>
    </w:p>
    <w:p>
      <w:pPr>
        <w:pStyle w:val="BodyText"/>
        <w:spacing w:before="11"/>
        <w:rPr>
          <w:sz w:val="23"/>
        </w:rPr>
      </w:pPr>
    </w:p>
    <w:p>
      <w:pPr>
        <w:pStyle w:val="Heading7"/>
        <w:ind w:left="327" w:right="503"/>
      </w:pPr>
      <w:r>
        <w:rPr>
          <w:color w:val="615C58"/>
        </w:rPr>
        <w:t>Table H: Applications for review under Part 5 of the Act (by type of applicant)</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5154"/>
        <w:gridCol w:w="4927"/>
      </w:tblGrid>
      <w:tr>
        <w:trPr>
          <w:trHeight w:val="288" w:hRule="exact"/>
        </w:trPr>
        <w:tc>
          <w:tcPr>
            <w:tcW w:w="10081" w:type="dxa"/>
            <w:gridSpan w:val="2"/>
            <w:tcBorders>
              <w:top w:val="nil"/>
              <w:left w:val="nil"/>
              <w:bottom w:val="nil"/>
              <w:right w:val="nil"/>
            </w:tcBorders>
            <w:shd w:val="clear" w:color="auto" w:fill="949290"/>
          </w:tcPr>
          <w:p>
            <w:pPr>
              <w:pStyle w:val="TableParagraph"/>
              <w:spacing w:before="54"/>
              <w:ind w:left="6109"/>
              <w:jc w:val="left"/>
              <w:rPr>
                <w:rFonts w:ascii="Gotham Narrow Bold"/>
                <w:b/>
                <w:sz w:val="16"/>
              </w:rPr>
            </w:pPr>
            <w:r>
              <w:rPr>
                <w:rFonts w:ascii="Gotham Narrow Bold"/>
                <w:b/>
                <w:color w:val="FFFFFF"/>
                <w:w w:val="95"/>
                <w:sz w:val="16"/>
              </w:rPr>
              <w:t>NUMBER OF APPLICATIONS FOR REVIEW</w:t>
            </w:r>
          </w:p>
        </w:tc>
      </w:tr>
      <w:tr>
        <w:trPr>
          <w:trHeight w:val="288" w:hRule="exact"/>
        </w:trPr>
        <w:tc>
          <w:tcPr>
            <w:tcW w:w="5154" w:type="dxa"/>
            <w:tcBorders>
              <w:top w:val="nil"/>
            </w:tcBorders>
            <w:shd w:val="clear" w:color="auto" w:fill="E9E9E9"/>
          </w:tcPr>
          <w:p>
            <w:pPr>
              <w:pStyle w:val="TableParagraph"/>
              <w:spacing w:before="48"/>
              <w:ind w:left="74"/>
              <w:jc w:val="left"/>
              <w:rPr>
                <w:sz w:val="16"/>
              </w:rPr>
            </w:pPr>
            <w:r>
              <w:rPr>
                <w:sz w:val="16"/>
              </w:rPr>
              <w:t>Applications by access applicants</w:t>
            </w:r>
          </w:p>
        </w:tc>
        <w:tc>
          <w:tcPr>
            <w:tcW w:w="4927" w:type="dxa"/>
            <w:tcBorders>
              <w:top w:val="nil"/>
            </w:tcBorders>
            <w:shd w:val="clear" w:color="auto" w:fill="E9E9E9"/>
          </w:tcPr>
          <w:p>
            <w:pPr>
              <w:pStyle w:val="TableParagraph"/>
              <w:spacing w:before="48"/>
              <w:jc w:val="center"/>
              <w:rPr>
                <w:sz w:val="16"/>
              </w:rPr>
            </w:pPr>
            <w:r>
              <w:rPr>
                <w:w w:val="93"/>
                <w:sz w:val="16"/>
              </w:rPr>
              <w:t>2</w:t>
            </w:r>
          </w:p>
        </w:tc>
      </w:tr>
      <w:tr>
        <w:trPr>
          <w:trHeight w:val="488" w:hRule="exact"/>
        </w:trPr>
        <w:tc>
          <w:tcPr>
            <w:tcW w:w="5154" w:type="dxa"/>
            <w:shd w:val="clear" w:color="auto" w:fill="E9E9E9"/>
          </w:tcPr>
          <w:p>
            <w:pPr>
              <w:pStyle w:val="TableParagraph"/>
              <w:spacing w:line="249" w:lineRule="auto" w:before="43"/>
              <w:ind w:left="74"/>
              <w:jc w:val="left"/>
              <w:rPr>
                <w:sz w:val="16"/>
              </w:rPr>
            </w:pPr>
            <w:r>
              <w:rPr>
                <w:sz w:val="16"/>
              </w:rPr>
              <w:t>Applications</w:t>
            </w:r>
            <w:r>
              <w:rPr>
                <w:spacing w:val="-13"/>
                <w:sz w:val="16"/>
              </w:rPr>
              <w:t> </w:t>
            </w:r>
            <w:r>
              <w:rPr>
                <w:sz w:val="16"/>
              </w:rPr>
              <w:t>by</w:t>
            </w:r>
            <w:r>
              <w:rPr>
                <w:spacing w:val="-13"/>
                <w:sz w:val="16"/>
              </w:rPr>
              <w:t> </w:t>
            </w:r>
            <w:r>
              <w:rPr>
                <w:sz w:val="16"/>
              </w:rPr>
              <w:t>persons</w:t>
            </w:r>
            <w:r>
              <w:rPr>
                <w:spacing w:val="-13"/>
                <w:sz w:val="16"/>
              </w:rPr>
              <w:t> </w:t>
            </w:r>
            <w:r>
              <w:rPr>
                <w:sz w:val="16"/>
              </w:rPr>
              <w:t>to</w:t>
            </w:r>
            <w:r>
              <w:rPr>
                <w:spacing w:val="-13"/>
                <w:sz w:val="16"/>
              </w:rPr>
              <w:t> </w:t>
            </w:r>
            <w:r>
              <w:rPr>
                <w:sz w:val="16"/>
              </w:rPr>
              <w:t>whom</w:t>
            </w:r>
            <w:r>
              <w:rPr>
                <w:spacing w:val="-13"/>
                <w:sz w:val="16"/>
              </w:rPr>
              <w:t> </w:t>
            </w:r>
            <w:r>
              <w:rPr>
                <w:sz w:val="16"/>
              </w:rPr>
              <w:t>information</w:t>
            </w:r>
            <w:r>
              <w:rPr>
                <w:spacing w:val="-13"/>
                <w:sz w:val="16"/>
              </w:rPr>
              <w:t> </w:t>
            </w:r>
            <w:r>
              <w:rPr>
                <w:sz w:val="16"/>
              </w:rPr>
              <w:t>on</w:t>
            </w:r>
            <w:r>
              <w:rPr>
                <w:spacing w:val="-13"/>
                <w:sz w:val="16"/>
              </w:rPr>
              <w:t> </w:t>
            </w:r>
            <w:r>
              <w:rPr>
                <w:sz w:val="16"/>
              </w:rPr>
              <w:t>the</w:t>
            </w:r>
            <w:r>
              <w:rPr>
                <w:spacing w:val="-13"/>
                <w:sz w:val="16"/>
              </w:rPr>
              <w:t> </w:t>
            </w:r>
            <w:r>
              <w:rPr>
                <w:sz w:val="16"/>
              </w:rPr>
              <w:t>subject</w:t>
            </w:r>
            <w:r>
              <w:rPr>
                <w:spacing w:val="-13"/>
                <w:sz w:val="16"/>
              </w:rPr>
              <w:t> </w:t>
            </w:r>
            <w:r>
              <w:rPr>
                <w:sz w:val="16"/>
              </w:rPr>
              <w:t>of</w:t>
            </w:r>
            <w:r>
              <w:rPr>
                <w:spacing w:val="-13"/>
                <w:sz w:val="16"/>
              </w:rPr>
              <w:t> </w:t>
            </w:r>
            <w:r>
              <w:rPr>
                <w:sz w:val="16"/>
              </w:rPr>
              <w:t>access application</w:t>
            </w:r>
            <w:r>
              <w:rPr>
                <w:spacing w:val="-14"/>
                <w:sz w:val="16"/>
              </w:rPr>
              <w:t> </w:t>
            </w:r>
            <w:r>
              <w:rPr>
                <w:sz w:val="16"/>
              </w:rPr>
              <w:t>relates</w:t>
            </w:r>
            <w:r>
              <w:rPr>
                <w:spacing w:val="-14"/>
                <w:sz w:val="16"/>
              </w:rPr>
              <w:t> </w:t>
            </w:r>
            <w:r>
              <w:rPr>
                <w:sz w:val="16"/>
              </w:rPr>
              <w:t>(see</w:t>
            </w:r>
            <w:r>
              <w:rPr>
                <w:spacing w:val="-14"/>
                <w:sz w:val="16"/>
              </w:rPr>
              <w:t> </w:t>
            </w:r>
            <w:r>
              <w:rPr>
                <w:sz w:val="16"/>
              </w:rPr>
              <w:t>section</w:t>
            </w:r>
            <w:r>
              <w:rPr>
                <w:spacing w:val="-14"/>
                <w:sz w:val="16"/>
              </w:rPr>
              <w:t> </w:t>
            </w:r>
            <w:r>
              <w:rPr>
                <w:spacing w:val="2"/>
                <w:sz w:val="16"/>
              </w:rPr>
              <w:t>54</w:t>
            </w:r>
            <w:r>
              <w:rPr>
                <w:spacing w:val="-14"/>
                <w:sz w:val="16"/>
              </w:rPr>
              <w:t> </w:t>
            </w:r>
            <w:r>
              <w:rPr>
                <w:sz w:val="16"/>
              </w:rPr>
              <w:t>of</w:t>
            </w:r>
            <w:r>
              <w:rPr>
                <w:spacing w:val="-14"/>
                <w:sz w:val="16"/>
              </w:rPr>
              <w:t> </w:t>
            </w:r>
            <w:r>
              <w:rPr>
                <w:sz w:val="16"/>
              </w:rPr>
              <w:t>the</w:t>
            </w:r>
            <w:r>
              <w:rPr>
                <w:spacing w:val="-14"/>
                <w:sz w:val="16"/>
              </w:rPr>
              <w:t> </w:t>
            </w:r>
            <w:r>
              <w:rPr>
                <w:sz w:val="16"/>
              </w:rPr>
              <w:t>Act)</w:t>
            </w:r>
          </w:p>
        </w:tc>
        <w:tc>
          <w:tcPr>
            <w:tcW w:w="4927" w:type="dxa"/>
            <w:shd w:val="clear" w:color="auto" w:fill="E9E9E9"/>
          </w:tcPr>
          <w:p>
            <w:pPr>
              <w:pStyle w:val="TableParagraph"/>
              <w:spacing w:before="143"/>
              <w:jc w:val="center"/>
              <w:rPr>
                <w:sz w:val="16"/>
              </w:rPr>
            </w:pPr>
            <w:r>
              <w:rPr>
                <w:w w:val="111"/>
                <w:sz w:val="16"/>
              </w:rPr>
              <w:t>0</w:t>
            </w:r>
          </w:p>
        </w:tc>
      </w:tr>
    </w:tbl>
    <w:p>
      <w:pPr>
        <w:pStyle w:val="BodyText"/>
        <w:spacing w:before="10"/>
        <w:rPr>
          <w:rFonts w:ascii="Gotham Narrow Bold"/>
          <w:b/>
          <w:sz w:val="14"/>
        </w:rPr>
      </w:pPr>
    </w:p>
    <w:p>
      <w:pPr>
        <w:spacing w:before="72"/>
        <w:ind w:left="327" w:right="503" w:firstLine="0"/>
        <w:jc w:val="left"/>
        <w:rPr>
          <w:rFonts w:ascii="Gotham Narrow Bold"/>
          <w:b/>
          <w:sz w:val="16"/>
        </w:rPr>
      </w:pPr>
      <w:r>
        <w:rPr>
          <w:rFonts w:ascii="Gotham Narrow Bold"/>
          <w:b/>
          <w:color w:val="615C58"/>
          <w:sz w:val="16"/>
        </w:rPr>
        <w:t>Table I: Applications transferred to other agencies under Division 2 of Part 4 of the Act (by type of transfer)</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5154"/>
        <w:gridCol w:w="4927"/>
      </w:tblGrid>
      <w:tr>
        <w:trPr>
          <w:trHeight w:val="288" w:hRule="exact"/>
        </w:trPr>
        <w:tc>
          <w:tcPr>
            <w:tcW w:w="10081" w:type="dxa"/>
            <w:gridSpan w:val="2"/>
            <w:tcBorders>
              <w:top w:val="nil"/>
              <w:left w:val="nil"/>
              <w:bottom w:val="nil"/>
              <w:right w:val="nil"/>
            </w:tcBorders>
            <w:shd w:val="clear" w:color="auto" w:fill="949290"/>
          </w:tcPr>
          <w:p>
            <w:pPr>
              <w:pStyle w:val="TableParagraph"/>
              <w:spacing w:before="54"/>
              <w:ind w:left="6028"/>
              <w:jc w:val="left"/>
              <w:rPr>
                <w:rFonts w:ascii="Gotham Narrow Bold"/>
                <w:b/>
                <w:sz w:val="16"/>
              </w:rPr>
            </w:pPr>
            <w:r>
              <w:rPr>
                <w:rFonts w:ascii="Gotham Narrow Bold"/>
                <w:b/>
                <w:color w:val="FFFFFF"/>
                <w:w w:val="95"/>
                <w:sz w:val="16"/>
              </w:rPr>
              <w:t>NUMBER OF APPLICATIONS TRANSFERRED</w:t>
            </w:r>
          </w:p>
        </w:tc>
      </w:tr>
      <w:tr>
        <w:trPr>
          <w:trHeight w:val="288" w:hRule="exact"/>
        </w:trPr>
        <w:tc>
          <w:tcPr>
            <w:tcW w:w="5154" w:type="dxa"/>
            <w:tcBorders>
              <w:top w:val="nil"/>
            </w:tcBorders>
            <w:shd w:val="clear" w:color="auto" w:fill="E9E9E9"/>
          </w:tcPr>
          <w:p>
            <w:pPr>
              <w:pStyle w:val="TableParagraph"/>
              <w:spacing w:before="48"/>
              <w:ind w:left="75"/>
              <w:jc w:val="left"/>
              <w:rPr>
                <w:sz w:val="16"/>
              </w:rPr>
            </w:pPr>
            <w:r>
              <w:rPr>
                <w:sz w:val="16"/>
              </w:rPr>
              <w:t>Agency-initiated transfers</w:t>
            </w:r>
          </w:p>
        </w:tc>
        <w:tc>
          <w:tcPr>
            <w:tcW w:w="4927" w:type="dxa"/>
            <w:tcBorders>
              <w:top w:val="nil"/>
            </w:tcBorders>
            <w:shd w:val="clear" w:color="auto" w:fill="E9E9E9"/>
          </w:tcPr>
          <w:p>
            <w:pPr>
              <w:pStyle w:val="TableParagraph"/>
              <w:spacing w:before="48"/>
              <w:jc w:val="center"/>
              <w:rPr>
                <w:sz w:val="16"/>
              </w:rPr>
            </w:pPr>
            <w:r>
              <w:rPr>
                <w:w w:val="111"/>
                <w:sz w:val="16"/>
              </w:rPr>
              <w:t>0</w:t>
            </w:r>
          </w:p>
        </w:tc>
      </w:tr>
      <w:tr>
        <w:trPr>
          <w:trHeight w:val="288" w:hRule="exact"/>
        </w:trPr>
        <w:tc>
          <w:tcPr>
            <w:tcW w:w="5154" w:type="dxa"/>
            <w:shd w:val="clear" w:color="auto" w:fill="E9E9E9"/>
          </w:tcPr>
          <w:p>
            <w:pPr>
              <w:pStyle w:val="TableParagraph"/>
              <w:spacing w:before="43"/>
              <w:ind w:left="75"/>
              <w:jc w:val="left"/>
              <w:rPr>
                <w:sz w:val="16"/>
              </w:rPr>
            </w:pPr>
            <w:r>
              <w:rPr>
                <w:sz w:val="16"/>
              </w:rPr>
              <w:t>Applicant-initiated transfers</w:t>
            </w:r>
          </w:p>
        </w:tc>
        <w:tc>
          <w:tcPr>
            <w:tcW w:w="4927" w:type="dxa"/>
            <w:shd w:val="clear" w:color="auto" w:fill="E9E9E9"/>
          </w:tcPr>
          <w:p>
            <w:pPr>
              <w:pStyle w:val="TableParagraph"/>
              <w:spacing w:before="43"/>
              <w:jc w:val="center"/>
              <w:rPr>
                <w:sz w:val="16"/>
              </w:rPr>
            </w:pPr>
            <w:r>
              <w:rPr>
                <w:w w:val="111"/>
                <w:sz w:val="16"/>
              </w:rPr>
              <w:t>0</w:t>
            </w:r>
          </w:p>
        </w:tc>
      </w:tr>
    </w:tbl>
    <w:p>
      <w:pPr>
        <w:spacing w:after="0"/>
        <w:jc w:val="center"/>
        <w:rPr>
          <w:sz w:val="16"/>
        </w:rPr>
        <w:sectPr>
          <w:footerReference w:type="even" r:id="rId72"/>
          <w:footerReference w:type="default" r:id="rId73"/>
          <w:pgSz w:w="11910" w:h="16840"/>
          <w:pgMar w:footer="472" w:header="496" w:top="680" w:bottom="660" w:left="580" w:right="580"/>
          <w:pgNumType w:start="82"/>
        </w:sectPr>
      </w:pPr>
    </w:p>
    <w:p>
      <w:pPr>
        <w:pStyle w:val="BodyText"/>
        <w:spacing w:before="8"/>
        <w:rPr>
          <w:rFonts w:ascii="Gotham Narrow Bold"/>
          <w:b/>
          <w:sz w:val="28"/>
        </w:rPr>
      </w:pPr>
      <w:r>
        <w:rPr/>
        <w:pict>
          <v:rect style="position:absolute;margin-left:34.015999pt;margin-top:45.355015pt;width:527.244pt;height:751.181pt;mso-position-horizontal-relative:page;mso-position-vertical-relative:page;z-index:-334672" filled="true" fillcolor="#e9e9e9" stroked="false">
            <v:fill type="solid"/>
            <w10:wrap type="none"/>
          </v:rect>
        </w:pict>
      </w:r>
    </w:p>
    <w:p>
      <w:pPr>
        <w:spacing w:before="30"/>
        <w:ind w:left="327" w:right="7611" w:firstLine="0"/>
        <w:jc w:val="left"/>
        <w:rPr>
          <w:rFonts w:ascii="Gotham Narrow Bold"/>
          <w:b/>
          <w:sz w:val="40"/>
        </w:rPr>
      </w:pPr>
      <w:bookmarkStart w:name="_TOC_250007" w:id="47"/>
      <w:bookmarkEnd w:id="47"/>
      <w:r>
        <w:rPr>
          <w:rFonts w:ascii="Gotham Narrow Bold"/>
          <w:b/>
          <w:w w:val="95"/>
          <w:sz w:val="40"/>
        </w:rPr>
        <w:t>APPENDIX 9</w:t>
      </w: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spacing w:before="4"/>
        <w:rPr>
          <w:rFonts w:ascii="Gotham Narrow Bold"/>
          <w:b/>
          <w:sz w:val="30"/>
        </w:rPr>
      </w:pPr>
    </w:p>
    <w:p>
      <w:pPr>
        <w:pStyle w:val="Heading5"/>
        <w:spacing w:before="1"/>
        <w:ind w:left="327" w:right="7611"/>
      </w:pPr>
      <w:bookmarkStart w:name="_TOC_250006" w:id="48"/>
      <w:bookmarkEnd w:id="48"/>
      <w:r>
        <w:rPr>
          <w:w w:val="95"/>
        </w:rPr>
        <w:t>MAJOR CONSULTANCIES</w:t>
      </w:r>
    </w:p>
    <w:p>
      <w:pPr>
        <w:spacing w:before="102"/>
        <w:ind w:left="327" w:right="503" w:firstLine="0"/>
        <w:jc w:val="left"/>
        <w:rPr>
          <w:rFonts w:ascii="Gotham Narrow Bold"/>
          <w:b/>
          <w:sz w:val="16"/>
        </w:rPr>
      </w:pPr>
      <w:r>
        <w:rPr>
          <w:rFonts w:ascii="Gotham Narrow Bold"/>
          <w:b/>
          <w:color w:val="615C58"/>
          <w:w w:val="95"/>
          <w:sz w:val="16"/>
        </w:rPr>
        <w:t>Consultancies commissioned in 2016 amounting to $50,000 or more, included:</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969"/>
        <w:gridCol w:w="1186"/>
        <w:gridCol w:w="4932"/>
      </w:tblGrid>
      <w:tr>
        <w:trPr>
          <w:trHeight w:val="286" w:hRule="exact"/>
        </w:trPr>
        <w:tc>
          <w:tcPr>
            <w:tcW w:w="3969" w:type="dxa"/>
            <w:tcBorders>
              <w:top w:val="nil"/>
              <w:left w:val="nil"/>
              <w:bottom w:val="nil"/>
              <w:right w:val="single" w:sz="4" w:space="0" w:color="FFFFFF"/>
            </w:tcBorders>
            <w:shd w:val="clear" w:color="auto" w:fill="949290"/>
          </w:tcPr>
          <w:p>
            <w:pPr>
              <w:pStyle w:val="TableParagraph"/>
              <w:spacing w:before="64"/>
              <w:ind w:left="80"/>
              <w:jc w:val="left"/>
              <w:rPr>
                <w:rFonts w:ascii="Gotham Narrow Bold"/>
                <w:b/>
                <w:sz w:val="16"/>
              </w:rPr>
            </w:pPr>
            <w:r>
              <w:rPr>
                <w:rFonts w:ascii="Gotham Narrow Bold"/>
                <w:b/>
                <w:color w:val="FFFFFF"/>
                <w:sz w:val="16"/>
              </w:rPr>
              <w:t>CONSULTANT</w:t>
            </w:r>
          </w:p>
        </w:tc>
        <w:tc>
          <w:tcPr>
            <w:tcW w:w="1186" w:type="dxa"/>
            <w:tcBorders>
              <w:top w:val="nil"/>
              <w:left w:val="single" w:sz="4" w:space="0" w:color="FFFFFF"/>
              <w:bottom w:val="nil"/>
              <w:right w:val="single" w:sz="4" w:space="0" w:color="FFFFFF"/>
            </w:tcBorders>
            <w:shd w:val="clear" w:color="auto" w:fill="949290"/>
          </w:tcPr>
          <w:p>
            <w:pPr>
              <w:pStyle w:val="TableParagraph"/>
              <w:spacing w:before="64"/>
              <w:ind w:right="73"/>
              <w:rPr>
                <w:rFonts w:ascii="Gotham Narrow Bold"/>
                <w:b/>
                <w:sz w:val="16"/>
              </w:rPr>
            </w:pPr>
            <w:r>
              <w:rPr>
                <w:rFonts w:ascii="Gotham Narrow Bold"/>
                <w:b/>
                <w:color w:val="FFFFFF"/>
                <w:sz w:val="16"/>
              </w:rPr>
              <w:t>COST $</w:t>
            </w:r>
          </w:p>
        </w:tc>
        <w:tc>
          <w:tcPr>
            <w:tcW w:w="4932" w:type="dxa"/>
            <w:tcBorders>
              <w:top w:val="nil"/>
              <w:left w:val="single" w:sz="4" w:space="0" w:color="FFFFFF"/>
              <w:bottom w:val="nil"/>
              <w:right w:val="nil"/>
            </w:tcBorders>
            <w:shd w:val="clear" w:color="auto" w:fill="949290"/>
          </w:tcPr>
          <w:p>
            <w:pPr>
              <w:pStyle w:val="TableParagraph"/>
              <w:spacing w:before="64"/>
              <w:ind w:left="74"/>
              <w:jc w:val="left"/>
              <w:rPr>
                <w:rFonts w:ascii="Gotham Narrow Bold"/>
                <w:b/>
                <w:sz w:val="16"/>
              </w:rPr>
            </w:pPr>
            <w:r>
              <w:rPr>
                <w:rFonts w:ascii="Gotham Narrow Bold"/>
                <w:b/>
                <w:color w:val="FFFFFF"/>
                <w:w w:val="95"/>
                <w:sz w:val="16"/>
              </w:rPr>
              <w:t>TITLE AND NATURE OF CONSULTANCY</w:t>
            </w:r>
          </w:p>
        </w:tc>
      </w:tr>
      <w:tr>
        <w:trPr>
          <w:trHeight w:val="286" w:hRule="exact"/>
        </w:trPr>
        <w:tc>
          <w:tcPr>
            <w:tcW w:w="3969" w:type="dxa"/>
            <w:tcBorders>
              <w:top w:val="nil"/>
            </w:tcBorders>
            <w:shd w:val="clear" w:color="auto" w:fill="E9E9E9"/>
          </w:tcPr>
          <w:p>
            <w:pPr>
              <w:pStyle w:val="TableParagraph"/>
              <w:spacing w:before="65"/>
              <w:ind w:left="74"/>
              <w:jc w:val="left"/>
              <w:rPr>
                <w:rFonts w:ascii="Calibri"/>
                <w:sz w:val="16"/>
              </w:rPr>
            </w:pPr>
            <w:r>
              <w:rPr>
                <w:rFonts w:ascii="Calibri"/>
                <w:w w:val="110"/>
                <w:sz w:val="16"/>
              </w:rPr>
              <w:t>Finance and Accounting/Tax</w:t>
            </w:r>
          </w:p>
        </w:tc>
        <w:tc>
          <w:tcPr>
            <w:tcW w:w="1186" w:type="dxa"/>
            <w:tcBorders>
              <w:top w:val="nil"/>
            </w:tcBorders>
            <w:shd w:val="clear" w:color="auto" w:fill="E9E9E9"/>
          </w:tcPr>
          <w:p>
            <w:pPr/>
          </w:p>
        </w:tc>
        <w:tc>
          <w:tcPr>
            <w:tcW w:w="4932" w:type="dxa"/>
            <w:tcBorders>
              <w:top w:val="nil"/>
            </w:tcBorders>
            <w:shd w:val="clear" w:color="auto" w:fill="E9E9E9"/>
          </w:tcPr>
          <w:p>
            <w:pPr/>
          </w:p>
        </w:tc>
      </w:tr>
      <w:tr>
        <w:trPr>
          <w:trHeight w:val="286" w:hRule="exact"/>
        </w:trPr>
        <w:tc>
          <w:tcPr>
            <w:tcW w:w="3969" w:type="dxa"/>
            <w:shd w:val="clear" w:color="auto" w:fill="E9E9E9"/>
          </w:tcPr>
          <w:p>
            <w:pPr>
              <w:pStyle w:val="TableParagraph"/>
              <w:spacing w:before="52"/>
              <w:ind w:left="74"/>
              <w:jc w:val="left"/>
              <w:rPr>
                <w:sz w:val="16"/>
              </w:rPr>
            </w:pPr>
            <w:r>
              <w:rPr>
                <w:sz w:val="16"/>
              </w:rPr>
              <w:t>Cubewise Pty Ltd</w:t>
            </w:r>
          </w:p>
        </w:tc>
        <w:tc>
          <w:tcPr>
            <w:tcW w:w="1186" w:type="dxa"/>
            <w:shd w:val="clear" w:color="auto" w:fill="E9E9E9"/>
          </w:tcPr>
          <w:p>
            <w:pPr>
              <w:pStyle w:val="TableParagraph"/>
              <w:spacing w:before="52"/>
              <w:ind w:right="73"/>
              <w:rPr>
                <w:sz w:val="16"/>
              </w:rPr>
            </w:pPr>
            <w:r>
              <w:rPr>
                <w:w w:val="80"/>
                <w:sz w:val="16"/>
              </w:rPr>
              <w:t>187,431</w:t>
            </w:r>
          </w:p>
        </w:tc>
        <w:tc>
          <w:tcPr>
            <w:tcW w:w="4932" w:type="dxa"/>
            <w:shd w:val="clear" w:color="auto" w:fill="E9E9E9"/>
          </w:tcPr>
          <w:p>
            <w:pPr>
              <w:pStyle w:val="TableParagraph"/>
              <w:spacing w:before="52"/>
              <w:ind w:left="74"/>
              <w:jc w:val="left"/>
              <w:rPr>
                <w:sz w:val="16"/>
              </w:rPr>
            </w:pPr>
            <w:r>
              <w:rPr>
                <w:w w:val="90"/>
                <w:sz w:val="16"/>
              </w:rPr>
              <w:t>TM1</w:t>
            </w:r>
          </w:p>
        </w:tc>
      </w:tr>
      <w:tr>
        <w:trPr>
          <w:trHeight w:val="286" w:hRule="exact"/>
        </w:trPr>
        <w:tc>
          <w:tcPr>
            <w:tcW w:w="3969" w:type="dxa"/>
            <w:shd w:val="clear" w:color="auto" w:fill="E9E9E9"/>
          </w:tcPr>
          <w:p>
            <w:pPr>
              <w:pStyle w:val="TableParagraph"/>
              <w:spacing w:before="60"/>
              <w:ind w:left="74"/>
              <w:jc w:val="left"/>
              <w:rPr>
                <w:rFonts w:ascii="Calibri"/>
                <w:sz w:val="16"/>
              </w:rPr>
            </w:pPr>
            <w:r>
              <w:rPr>
                <w:rFonts w:ascii="Calibri"/>
                <w:w w:val="110"/>
                <w:sz w:val="16"/>
              </w:rPr>
              <w:t>Subtotal</w:t>
            </w:r>
          </w:p>
        </w:tc>
        <w:tc>
          <w:tcPr>
            <w:tcW w:w="1186" w:type="dxa"/>
            <w:shd w:val="clear" w:color="auto" w:fill="E9E9E9"/>
          </w:tcPr>
          <w:p>
            <w:pPr>
              <w:pStyle w:val="TableParagraph"/>
              <w:spacing w:before="60"/>
              <w:ind w:right="73"/>
              <w:rPr>
                <w:rFonts w:ascii="Calibri"/>
                <w:sz w:val="16"/>
              </w:rPr>
            </w:pPr>
            <w:r>
              <w:rPr>
                <w:rFonts w:ascii="Calibri"/>
                <w:w w:val="95"/>
                <w:sz w:val="16"/>
              </w:rPr>
              <w:t>187,431</w:t>
            </w:r>
          </w:p>
        </w:tc>
        <w:tc>
          <w:tcPr>
            <w:tcW w:w="4932" w:type="dxa"/>
            <w:shd w:val="clear" w:color="auto" w:fill="E9E9E9"/>
          </w:tcPr>
          <w:p>
            <w:pPr/>
          </w:p>
        </w:tc>
      </w:tr>
      <w:tr>
        <w:trPr>
          <w:trHeight w:val="286" w:hRule="exact"/>
        </w:trPr>
        <w:tc>
          <w:tcPr>
            <w:tcW w:w="10086" w:type="dxa"/>
            <w:gridSpan w:val="3"/>
            <w:shd w:val="clear" w:color="auto" w:fill="E9E9E9"/>
          </w:tcPr>
          <w:p>
            <w:pPr>
              <w:pStyle w:val="TableParagraph"/>
              <w:spacing w:before="60"/>
              <w:ind w:left="74"/>
              <w:jc w:val="left"/>
              <w:rPr>
                <w:rFonts w:ascii="Calibri"/>
                <w:sz w:val="16"/>
              </w:rPr>
            </w:pPr>
            <w:r>
              <w:rPr>
                <w:rFonts w:ascii="Calibri"/>
                <w:w w:val="110"/>
                <w:sz w:val="16"/>
              </w:rPr>
              <w:t>Information Technology</w:t>
            </w:r>
          </w:p>
        </w:tc>
      </w:tr>
      <w:tr>
        <w:trPr>
          <w:trHeight w:val="286" w:hRule="exact"/>
        </w:trPr>
        <w:tc>
          <w:tcPr>
            <w:tcW w:w="3969" w:type="dxa"/>
            <w:shd w:val="clear" w:color="auto" w:fill="E9E9E9"/>
          </w:tcPr>
          <w:p>
            <w:pPr>
              <w:pStyle w:val="TableParagraph"/>
              <w:spacing w:before="52"/>
              <w:ind w:left="74"/>
              <w:jc w:val="left"/>
              <w:rPr>
                <w:sz w:val="16"/>
              </w:rPr>
            </w:pPr>
            <w:r>
              <w:rPr>
                <w:sz w:val="16"/>
              </w:rPr>
              <w:t>Holt Innovations Pty Ltd</w:t>
            </w:r>
          </w:p>
        </w:tc>
        <w:tc>
          <w:tcPr>
            <w:tcW w:w="1186" w:type="dxa"/>
            <w:shd w:val="clear" w:color="auto" w:fill="E9E9E9"/>
          </w:tcPr>
          <w:p>
            <w:pPr>
              <w:pStyle w:val="TableParagraph"/>
              <w:spacing w:before="52"/>
              <w:ind w:right="68"/>
              <w:rPr>
                <w:sz w:val="16"/>
              </w:rPr>
            </w:pPr>
            <w:r>
              <w:rPr>
                <w:sz w:val="16"/>
              </w:rPr>
              <w:t>246,000</w:t>
            </w:r>
          </w:p>
        </w:tc>
        <w:tc>
          <w:tcPr>
            <w:tcW w:w="4932" w:type="dxa"/>
            <w:shd w:val="clear" w:color="auto" w:fill="E9E9E9"/>
          </w:tcPr>
          <w:p>
            <w:pPr>
              <w:pStyle w:val="TableParagraph"/>
              <w:spacing w:before="52"/>
              <w:ind w:left="74"/>
              <w:jc w:val="left"/>
              <w:rPr>
                <w:sz w:val="16"/>
              </w:rPr>
            </w:pPr>
            <w:r>
              <w:rPr>
                <w:sz w:val="16"/>
              </w:rPr>
              <w:t>Wi-Fi and Security Project</w:t>
            </w:r>
          </w:p>
        </w:tc>
      </w:tr>
      <w:tr>
        <w:trPr>
          <w:trHeight w:val="286" w:hRule="exact"/>
        </w:trPr>
        <w:tc>
          <w:tcPr>
            <w:tcW w:w="3969" w:type="dxa"/>
            <w:shd w:val="clear" w:color="auto" w:fill="E9E9E9"/>
          </w:tcPr>
          <w:p>
            <w:pPr>
              <w:pStyle w:val="TableParagraph"/>
              <w:spacing w:before="52"/>
              <w:ind w:left="74"/>
              <w:jc w:val="left"/>
              <w:rPr>
                <w:sz w:val="16"/>
              </w:rPr>
            </w:pPr>
            <w:r>
              <w:rPr>
                <w:sz w:val="16"/>
              </w:rPr>
              <w:t>GD Solutions Holdings Pty Ltd</w:t>
            </w:r>
          </w:p>
        </w:tc>
        <w:tc>
          <w:tcPr>
            <w:tcW w:w="1186" w:type="dxa"/>
            <w:shd w:val="clear" w:color="auto" w:fill="E9E9E9"/>
          </w:tcPr>
          <w:p>
            <w:pPr>
              <w:pStyle w:val="TableParagraph"/>
              <w:spacing w:before="52"/>
              <w:ind w:right="73"/>
              <w:rPr>
                <w:sz w:val="16"/>
              </w:rPr>
            </w:pPr>
            <w:r>
              <w:rPr>
                <w:spacing w:val="2"/>
                <w:w w:val="93"/>
                <w:sz w:val="16"/>
              </w:rPr>
              <w:t>2</w:t>
            </w:r>
            <w:r>
              <w:rPr>
                <w:spacing w:val="2"/>
                <w:w w:val="111"/>
                <w:sz w:val="16"/>
              </w:rPr>
              <w:t>0</w:t>
            </w:r>
            <w:r>
              <w:rPr>
                <w:spacing w:val="4"/>
                <w:w w:val="95"/>
                <w:sz w:val="16"/>
              </w:rPr>
              <w:t>5</w:t>
            </w:r>
            <w:r>
              <w:rPr>
                <w:w w:val="68"/>
                <w:sz w:val="16"/>
              </w:rPr>
              <w:t>,</w:t>
            </w:r>
            <w:r>
              <w:rPr>
                <w:spacing w:val="4"/>
                <w:w w:val="54"/>
                <w:sz w:val="16"/>
              </w:rPr>
              <w:t>1</w:t>
            </w:r>
            <w:r>
              <w:rPr>
                <w:spacing w:val="4"/>
                <w:w w:val="111"/>
                <w:sz w:val="16"/>
              </w:rPr>
              <w:t>0</w:t>
            </w:r>
            <w:r>
              <w:rPr>
                <w:w w:val="111"/>
                <w:sz w:val="16"/>
              </w:rPr>
              <w:t>0</w:t>
            </w:r>
          </w:p>
        </w:tc>
        <w:tc>
          <w:tcPr>
            <w:tcW w:w="4932" w:type="dxa"/>
            <w:shd w:val="clear" w:color="auto" w:fill="E9E9E9"/>
          </w:tcPr>
          <w:p>
            <w:pPr>
              <w:pStyle w:val="TableParagraph"/>
              <w:spacing w:before="52"/>
              <w:ind w:left="74"/>
              <w:jc w:val="left"/>
              <w:rPr>
                <w:sz w:val="16"/>
              </w:rPr>
            </w:pPr>
            <w:r>
              <w:rPr>
                <w:sz w:val="16"/>
              </w:rPr>
              <w:t>Student Management System Project</w:t>
            </w:r>
          </w:p>
        </w:tc>
      </w:tr>
      <w:tr>
        <w:trPr>
          <w:trHeight w:val="286" w:hRule="exact"/>
        </w:trPr>
        <w:tc>
          <w:tcPr>
            <w:tcW w:w="3969" w:type="dxa"/>
            <w:shd w:val="clear" w:color="auto" w:fill="E9E9E9"/>
          </w:tcPr>
          <w:p>
            <w:pPr>
              <w:pStyle w:val="TableParagraph"/>
              <w:spacing w:before="53"/>
              <w:ind w:left="74"/>
              <w:jc w:val="left"/>
              <w:rPr>
                <w:sz w:val="16"/>
              </w:rPr>
            </w:pPr>
            <w:r>
              <w:rPr>
                <w:sz w:val="16"/>
              </w:rPr>
              <w:t>Dell Australia Pty Ltd</w:t>
            </w:r>
          </w:p>
        </w:tc>
        <w:tc>
          <w:tcPr>
            <w:tcW w:w="1186" w:type="dxa"/>
            <w:shd w:val="clear" w:color="auto" w:fill="E9E9E9"/>
          </w:tcPr>
          <w:p>
            <w:pPr>
              <w:pStyle w:val="TableParagraph"/>
              <w:spacing w:before="53"/>
              <w:ind w:right="73"/>
              <w:rPr>
                <w:sz w:val="16"/>
              </w:rPr>
            </w:pPr>
            <w:r>
              <w:rPr>
                <w:w w:val="85"/>
                <w:sz w:val="16"/>
              </w:rPr>
              <w:t>178,283</w:t>
            </w:r>
          </w:p>
        </w:tc>
        <w:tc>
          <w:tcPr>
            <w:tcW w:w="4932" w:type="dxa"/>
            <w:shd w:val="clear" w:color="auto" w:fill="E9E9E9"/>
          </w:tcPr>
          <w:p>
            <w:pPr>
              <w:pStyle w:val="TableParagraph"/>
              <w:spacing w:before="53"/>
              <w:ind w:left="74"/>
              <w:jc w:val="left"/>
              <w:rPr>
                <w:sz w:val="16"/>
              </w:rPr>
            </w:pPr>
            <w:r>
              <w:rPr>
                <w:sz w:val="16"/>
              </w:rPr>
              <w:t>Desktop Specialist</w:t>
            </w:r>
          </w:p>
        </w:tc>
      </w:tr>
      <w:tr>
        <w:trPr>
          <w:trHeight w:val="286" w:hRule="exact"/>
        </w:trPr>
        <w:tc>
          <w:tcPr>
            <w:tcW w:w="3969" w:type="dxa"/>
            <w:shd w:val="clear" w:color="auto" w:fill="E9E9E9"/>
          </w:tcPr>
          <w:p>
            <w:pPr>
              <w:pStyle w:val="TableParagraph"/>
              <w:spacing w:before="53"/>
              <w:ind w:left="74"/>
              <w:jc w:val="left"/>
              <w:rPr>
                <w:sz w:val="16"/>
              </w:rPr>
            </w:pPr>
            <w:r>
              <w:rPr>
                <w:sz w:val="16"/>
              </w:rPr>
              <w:t>Cloud Sherpas Pty Ltd</w:t>
            </w:r>
          </w:p>
        </w:tc>
        <w:tc>
          <w:tcPr>
            <w:tcW w:w="1186" w:type="dxa"/>
            <w:shd w:val="clear" w:color="auto" w:fill="E9E9E9"/>
          </w:tcPr>
          <w:p>
            <w:pPr>
              <w:pStyle w:val="TableParagraph"/>
              <w:spacing w:before="53"/>
              <w:ind w:right="73"/>
              <w:rPr>
                <w:sz w:val="16"/>
              </w:rPr>
            </w:pPr>
            <w:r>
              <w:rPr>
                <w:spacing w:val="2"/>
                <w:w w:val="54"/>
                <w:sz w:val="16"/>
              </w:rPr>
              <w:t>1</w:t>
            </w:r>
            <w:r>
              <w:rPr>
                <w:spacing w:val="1"/>
                <w:w w:val="103"/>
                <w:sz w:val="16"/>
              </w:rPr>
              <w:t>4</w:t>
            </w:r>
            <w:r>
              <w:rPr>
                <w:spacing w:val="4"/>
                <w:w w:val="94"/>
                <w:sz w:val="16"/>
              </w:rPr>
              <w:t>3</w:t>
            </w:r>
            <w:r>
              <w:rPr>
                <w:spacing w:val="6"/>
                <w:w w:val="68"/>
                <w:sz w:val="16"/>
              </w:rPr>
              <w:t>,</w:t>
            </w:r>
            <w:r>
              <w:rPr>
                <w:spacing w:val="3"/>
                <w:w w:val="94"/>
                <w:sz w:val="16"/>
              </w:rPr>
              <w:t>3</w:t>
            </w:r>
            <w:r>
              <w:rPr>
                <w:spacing w:val="4"/>
                <w:w w:val="111"/>
                <w:sz w:val="16"/>
              </w:rPr>
              <w:t>0</w:t>
            </w:r>
            <w:r>
              <w:rPr>
                <w:w w:val="111"/>
                <w:sz w:val="16"/>
              </w:rPr>
              <w:t>0</w:t>
            </w:r>
          </w:p>
        </w:tc>
        <w:tc>
          <w:tcPr>
            <w:tcW w:w="4932" w:type="dxa"/>
            <w:shd w:val="clear" w:color="auto" w:fill="E9E9E9"/>
          </w:tcPr>
          <w:p>
            <w:pPr>
              <w:pStyle w:val="TableParagraph"/>
              <w:spacing w:before="53"/>
              <w:ind w:left="74"/>
              <w:jc w:val="left"/>
              <w:rPr>
                <w:sz w:val="16"/>
              </w:rPr>
            </w:pPr>
            <w:r>
              <w:rPr>
                <w:sz w:val="16"/>
              </w:rPr>
              <w:t>ITSM Toolset Platform</w:t>
            </w:r>
          </w:p>
        </w:tc>
      </w:tr>
      <w:tr>
        <w:trPr>
          <w:trHeight w:val="286" w:hRule="exact"/>
        </w:trPr>
        <w:tc>
          <w:tcPr>
            <w:tcW w:w="3969" w:type="dxa"/>
            <w:shd w:val="clear" w:color="auto" w:fill="E9E9E9"/>
          </w:tcPr>
          <w:p>
            <w:pPr>
              <w:pStyle w:val="TableParagraph"/>
              <w:spacing w:before="53"/>
              <w:ind w:left="74"/>
              <w:jc w:val="left"/>
              <w:rPr>
                <w:sz w:val="16"/>
              </w:rPr>
            </w:pPr>
            <w:r>
              <w:rPr>
                <w:sz w:val="16"/>
              </w:rPr>
              <w:t>Dimension Data Australia Pty Ltd</w:t>
            </w:r>
          </w:p>
        </w:tc>
        <w:tc>
          <w:tcPr>
            <w:tcW w:w="1186" w:type="dxa"/>
            <w:shd w:val="clear" w:color="auto" w:fill="E9E9E9"/>
          </w:tcPr>
          <w:p>
            <w:pPr>
              <w:pStyle w:val="TableParagraph"/>
              <w:spacing w:before="53"/>
              <w:ind w:right="73"/>
              <w:rPr>
                <w:sz w:val="16"/>
              </w:rPr>
            </w:pPr>
            <w:r>
              <w:rPr>
                <w:w w:val="75"/>
                <w:sz w:val="16"/>
              </w:rPr>
              <w:t>111,948</w:t>
            </w:r>
          </w:p>
        </w:tc>
        <w:tc>
          <w:tcPr>
            <w:tcW w:w="4932" w:type="dxa"/>
            <w:shd w:val="clear" w:color="auto" w:fill="E9E9E9"/>
          </w:tcPr>
          <w:p>
            <w:pPr>
              <w:pStyle w:val="TableParagraph"/>
              <w:spacing w:before="53"/>
              <w:ind w:left="74"/>
              <w:jc w:val="left"/>
              <w:rPr>
                <w:sz w:val="16"/>
              </w:rPr>
            </w:pPr>
            <w:r>
              <w:rPr>
                <w:sz w:val="16"/>
              </w:rPr>
              <w:t>Identity and Access Management</w:t>
            </w:r>
          </w:p>
        </w:tc>
      </w:tr>
      <w:tr>
        <w:trPr>
          <w:trHeight w:val="286" w:hRule="exact"/>
        </w:trPr>
        <w:tc>
          <w:tcPr>
            <w:tcW w:w="3969" w:type="dxa"/>
            <w:shd w:val="clear" w:color="auto" w:fill="E9E9E9"/>
          </w:tcPr>
          <w:p>
            <w:pPr>
              <w:pStyle w:val="TableParagraph"/>
              <w:spacing w:before="53"/>
              <w:ind w:left="74"/>
              <w:jc w:val="left"/>
              <w:rPr>
                <w:sz w:val="16"/>
              </w:rPr>
            </w:pPr>
            <w:r>
              <w:rPr>
                <w:sz w:val="16"/>
              </w:rPr>
              <w:t>Red Hat Asia Pacific Pty Ltd</w:t>
            </w:r>
          </w:p>
        </w:tc>
        <w:tc>
          <w:tcPr>
            <w:tcW w:w="1186" w:type="dxa"/>
            <w:shd w:val="clear" w:color="auto" w:fill="E9E9E9"/>
          </w:tcPr>
          <w:p>
            <w:pPr>
              <w:pStyle w:val="TableParagraph"/>
              <w:spacing w:before="53"/>
              <w:ind w:right="73"/>
              <w:rPr>
                <w:sz w:val="16"/>
              </w:rPr>
            </w:pPr>
            <w:r>
              <w:rPr>
                <w:spacing w:val="3"/>
                <w:w w:val="54"/>
                <w:sz w:val="16"/>
              </w:rPr>
              <w:t>1</w:t>
            </w:r>
            <w:r>
              <w:rPr>
                <w:spacing w:val="4"/>
                <w:w w:val="54"/>
                <w:sz w:val="16"/>
              </w:rPr>
              <w:t>1</w:t>
            </w:r>
            <w:r>
              <w:rPr>
                <w:spacing w:val="2"/>
                <w:w w:val="111"/>
                <w:sz w:val="16"/>
              </w:rPr>
              <w:t>0</w:t>
            </w:r>
            <w:r>
              <w:rPr>
                <w:spacing w:val="6"/>
                <w:w w:val="68"/>
                <w:sz w:val="16"/>
              </w:rPr>
              <w:t>,</w:t>
            </w:r>
            <w:r>
              <w:rPr>
                <w:spacing w:val="3"/>
                <w:w w:val="93"/>
                <w:sz w:val="16"/>
              </w:rPr>
              <w:t>2</w:t>
            </w:r>
            <w:r>
              <w:rPr>
                <w:spacing w:val="3"/>
                <w:w w:val="95"/>
                <w:sz w:val="16"/>
              </w:rPr>
              <w:t>5</w:t>
            </w:r>
            <w:r>
              <w:rPr>
                <w:w w:val="111"/>
                <w:sz w:val="16"/>
              </w:rPr>
              <w:t>0</w:t>
            </w:r>
          </w:p>
        </w:tc>
        <w:tc>
          <w:tcPr>
            <w:tcW w:w="4932" w:type="dxa"/>
            <w:shd w:val="clear" w:color="auto" w:fill="E9E9E9"/>
          </w:tcPr>
          <w:p>
            <w:pPr>
              <w:pStyle w:val="TableParagraph"/>
              <w:spacing w:before="53"/>
              <w:ind w:left="74"/>
              <w:jc w:val="left"/>
              <w:rPr>
                <w:sz w:val="16"/>
              </w:rPr>
            </w:pPr>
            <w:r>
              <w:rPr>
                <w:sz w:val="16"/>
              </w:rPr>
              <w:t>Improving the Integration Capability of University Systems</w:t>
            </w:r>
          </w:p>
        </w:tc>
      </w:tr>
      <w:tr>
        <w:trPr>
          <w:trHeight w:val="286" w:hRule="exact"/>
        </w:trPr>
        <w:tc>
          <w:tcPr>
            <w:tcW w:w="3969" w:type="dxa"/>
            <w:shd w:val="clear" w:color="auto" w:fill="E9E9E9"/>
          </w:tcPr>
          <w:p>
            <w:pPr>
              <w:pStyle w:val="TableParagraph"/>
              <w:spacing w:before="53"/>
              <w:ind w:left="74"/>
              <w:jc w:val="left"/>
              <w:rPr>
                <w:sz w:val="16"/>
              </w:rPr>
            </w:pPr>
            <w:r>
              <w:rPr>
                <w:sz w:val="16"/>
              </w:rPr>
              <w:t>Callista Software Services Pty Ltd</w:t>
            </w:r>
          </w:p>
        </w:tc>
        <w:tc>
          <w:tcPr>
            <w:tcW w:w="1186" w:type="dxa"/>
            <w:shd w:val="clear" w:color="auto" w:fill="E9E9E9"/>
          </w:tcPr>
          <w:p>
            <w:pPr>
              <w:pStyle w:val="TableParagraph"/>
              <w:spacing w:before="53"/>
              <w:ind w:right="73"/>
              <w:rPr>
                <w:sz w:val="16"/>
              </w:rPr>
            </w:pPr>
            <w:r>
              <w:rPr>
                <w:w w:val="90"/>
                <w:sz w:val="16"/>
              </w:rPr>
              <w:t>105,055</w:t>
            </w:r>
          </w:p>
        </w:tc>
        <w:tc>
          <w:tcPr>
            <w:tcW w:w="4932" w:type="dxa"/>
            <w:shd w:val="clear" w:color="auto" w:fill="E9E9E9"/>
          </w:tcPr>
          <w:p>
            <w:pPr>
              <w:pStyle w:val="TableParagraph"/>
              <w:spacing w:before="53"/>
              <w:ind w:left="74"/>
              <w:jc w:val="left"/>
              <w:rPr>
                <w:sz w:val="16"/>
              </w:rPr>
            </w:pPr>
            <w:r>
              <w:rPr>
                <w:sz w:val="16"/>
              </w:rPr>
              <w:t>Callista Release Upgrade</w:t>
            </w:r>
          </w:p>
        </w:tc>
      </w:tr>
      <w:tr>
        <w:trPr>
          <w:trHeight w:val="286" w:hRule="exact"/>
        </w:trPr>
        <w:tc>
          <w:tcPr>
            <w:tcW w:w="3969" w:type="dxa"/>
            <w:shd w:val="clear" w:color="auto" w:fill="E9E9E9"/>
          </w:tcPr>
          <w:p>
            <w:pPr>
              <w:pStyle w:val="TableParagraph"/>
              <w:spacing w:before="53"/>
              <w:ind w:left="74"/>
              <w:jc w:val="left"/>
              <w:rPr>
                <w:sz w:val="16"/>
              </w:rPr>
            </w:pPr>
            <w:r>
              <w:rPr>
                <w:sz w:val="16"/>
              </w:rPr>
              <w:t>Callista Software Services Pty Ltd</w:t>
            </w:r>
          </w:p>
        </w:tc>
        <w:tc>
          <w:tcPr>
            <w:tcW w:w="1186" w:type="dxa"/>
            <w:shd w:val="clear" w:color="auto" w:fill="E9E9E9"/>
          </w:tcPr>
          <w:p>
            <w:pPr>
              <w:pStyle w:val="TableParagraph"/>
              <w:spacing w:before="53"/>
              <w:ind w:right="73"/>
              <w:rPr>
                <w:sz w:val="16"/>
              </w:rPr>
            </w:pPr>
            <w:r>
              <w:rPr>
                <w:spacing w:val="4"/>
                <w:w w:val="54"/>
                <w:sz w:val="16"/>
              </w:rPr>
              <w:t>1</w:t>
            </w:r>
            <w:r>
              <w:rPr>
                <w:spacing w:val="1"/>
                <w:w w:val="111"/>
                <w:sz w:val="16"/>
              </w:rPr>
              <w:t>0</w:t>
            </w:r>
            <w:r>
              <w:rPr>
                <w:spacing w:val="4"/>
                <w:w w:val="54"/>
                <w:sz w:val="16"/>
              </w:rPr>
              <w:t>1</w:t>
            </w:r>
            <w:r>
              <w:rPr>
                <w:spacing w:val="2"/>
                <w:w w:val="68"/>
                <w:sz w:val="16"/>
              </w:rPr>
              <w:t>,</w:t>
            </w:r>
            <w:r>
              <w:rPr>
                <w:spacing w:val="4"/>
                <w:w w:val="103"/>
                <w:sz w:val="16"/>
              </w:rPr>
              <w:t>4</w:t>
            </w:r>
            <w:r>
              <w:rPr>
                <w:w w:val="101"/>
                <w:sz w:val="16"/>
              </w:rPr>
              <w:t>69</w:t>
            </w:r>
          </w:p>
        </w:tc>
        <w:tc>
          <w:tcPr>
            <w:tcW w:w="4932" w:type="dxa"/>
            <w:shd w:val="clear" w:color="auto" w:fill="E9E9E9"/>
          </w:tcPr>
          <w:p>
            <w:pPr>
              <w:pStyle w:val="TableParagraph"/>
              <w:spacing w:before="53"/>
              <w:ind w:left="74"/>
              <w:jc w:val="left"/>
              <w:rPr>
                <w:sz w:val="16"/>
              </w:rPr>
            </w:pPr>
            <w:r>
              <w:rPr>
                <w:sz w:val="16"/>
              </w:rPr>
              <w:t>DBA Support</w:t>
            </w:r>
          </w:p>
        </w:tc>
      </w:tr>
      <w:tr>
        <w:trPr>
          <w:trHeight w:val="286" w:hRule="exact"/>
        </w:trPr>
        <w:tc>
          <w:tcPr>
            <w:tcW w:w="3969" w:type="dxa"/>
            <w:shd w:val="clear" w:color="auto" w:fill="E9E9E9"/>
          </w:tcPr>
          <w:p>
            <w:pPr>
              <w:pStyle w:val="TableParagraph"/>
              <w:spacing w:before="53"/>
              <w:ind w:left="74"/>
              <w:jc w:val="left"/>
              <w:rPr>
                <w:sz w:val="16"/>
              </w:rPr>
            </w:pPr>
            <w:r>
              <w:rPr>
                <w:sz w:val="16"/>
              </w:rPr>
              <w:t>Dimension Data Australia Pty Ltd</w:t>
            </w:r>
          </w:p>
        </w:tc>
        <w:tc>
          <w:tcPr>
            <w:tcW w:w="1186" w:type="dxa"/>
            <w:shd w:val="clear" w:color="auto" w:fill="E9E9E9"/>
          </w:tcPr>
          <w:p>
            <w:pPr>
              <w:pStyle w:val="TableParagraph"/>
              <w:spacing w:before="53"/>
              <w:ind w:right="68"/>
              <w:rPr>
                <w:sz w:val="16"/>
              </w:rPr>
            </w:pPr>
            <w:r>
              <w:rPr>
                <w:spacing w:val="4"/>
                <w:w w:val="54"/>
                <w:sz w:val="16"/>
              </w:rPr>
              <w:t>1</w:t>
            </w:r>
            <w:r>
              <w:rPr>
                <w:spacing w:val="4"/>
                <w:w w:val="111"/>
                <w:sz w:val="16"/>
              </w:rPr>
              <w:t>0</w:t>
            </w:r>
            <w:r>
              <w:rPr>
                <w:spacing w:val="2"/>
                <w:w w:val="111"/>
                <w:sz w:val="16"/>
              </w:rPr>
              <w:t>0</w:t>
            </w:r>
            <w:r>
              <w:rPr>
                <w:spacing w:val="1"/>
                <w:w w:val="68"/>
                <w:sz w:val="16"/>
              </w:rPr>
              <w:t>,</w:t>
            </w:r>
            <w:r>
              <w:rPr>
                <w:spacing w:val="4"/>
                <w:w w:val="111"/>
                <w:sz w:val="16"/>
              </w:rPr>
              <w:t>000</w:t>
            </w:r>
          </w:p>
        </w:tc>
        <w:tc>
          <w:tcPr>
            <w:tcW w:w="4932" w:type="dxa"/>
            <w:shd w:val="clear" w:color="auto" w:fill="E9E9E9"/>
          </w:tcPr>
          <w:p>
            <w:pPr>
              <w:pStyle w:val="TableParagraph"/>
              <w:spacing w:before="53"/>
              <w:ind w:left="74"/>
              <w:jc w:val="left"/>
              <w:rPr>
                <w:sz w:val="16"/>
              </w:rPr>
            </w:pPr>
            <w:r>
              <w:rPr>
                <w:sz w:val="16"/>
              </w:rPr>
              <w:t>E-forms Platform</w:t>
            </w:r>
          </w:p>
        </w:tc>
      </w:tr>
      <w:tr>
        <w:trPr>
          <w:trHeight w:val="286" w:hRule="exact"/>
        </w:trPr>
        <w:tc>
          <w:tcPr>
            <w:tcW w:w="3969" w:type="dxa"/>
            <w:shd w:val="clear" w:color="auto" w:fill="E9E9E9"/>
          </w:tcPr>
          <w:p>
            <w:pPr>
              <w:pStyle w:val="TableParagraph"/>
              <w:spacing w:before="53"/>
              <w:ind w:left="74"/>
              <w:jc w:val="left"/>
              <w:rPr>
                <w:sz w:val="16"/>
              </w:rPr>
            </w:pPr>
            <w:r>
              <w:rPr>
                <w:sz w:val="16"/>
              </w:rPr>
              <w:t>Dell Australia Pty Ltd</w:t>
            </w:r>
          </w:p>
        </w:tc>
        <w:tc>
          <w:tcPr>
            <w:tcW w:w="1186" w:type="dxa"/>
            <w:shd w:val="clear" w:color="auto" w:fill="E9E9E9"/>
          </w:tcPr>
          <w:p>
            <w:pPr>
              <w:pStyle w:val="TableParagraph"/>
              <w:spacing w:before="53"/>
              <w:ind w:right="73"/>
              <w:rPr>
                <w:sz w:val="16"/>
              </w:rPr>
            </w:pPr>
            <w:r>
              <w:rPr>
                <w:spacing w:val="2"/>
                <w:w w:val="101"/>
                <w:sz w:val="16"/>
              </w:rPr>
              <w:t>9</w:t>
            </w:r>
            <w:r>
              <w:rPr>
                <w:spacing w:val="4"/>
                <w:w w:val="54"/>
                <w:sz w:val="16"/>
              </w:rPr>
              <w:t>1</w:t>
            </w:r>
            <w:r>
              <w:rPr>
                <w:w w:val="59"/>
                <w:sz w:val="16"/>
              </w:rPr>
              <w:t>,</w:t>
            </w:r>
            <w:r>
              <w:rPr>
                <w:spacing w:val="2"/>
                <w:w w:val="59"/>
                <w:sz w:val="16"/>
              </w:rPr>
              <w:t>1</w:t>
            </w:r>
            <w:r>
              <w:rPr>
                <w:spacing w:val="4"/>
                <w:w w:val="103"/>
                <w:sz w:val="16"/>
              </w:rPr>
              <w:t>4</w:t>
            </w:r>
            <w:r>
              <w:rPr>
                <w:w w:val="111"/>
                <w:sz w:val="16"/>
              </w:rPr>
              <w:t>0</w:t>
            </w:r>
          </w:p>
        </w:tc>
        <w:tc>
          <w:tcPr>
            <w:tcW w:w="4932" w:type="dxa"/>
            <w:shd w:val="clear" w:color="auto" w:fill="E9E9E9"/>
          </w:tcPr>
          <w:p>
            <w:pPr>
              <w:pStyle w:val="TableParagraph"/>
              <w:spacing w:before="53"/>
              <w:ind w:left="74"/>
              <w:jc w:val="left"/>
              <w:rPr>
                <w:sz w:val="16"/>
              </w:rPr>
            </w:pPr>
            <w:r>
              <w:rPr>
                <w:sz w:val="16"/>
              </w:rPr>
              <w:t>Citrix Environment Upgrade</w:t>
            </w:r>
          </w:p>
        </w:tc>
      </w:tr>
      <w:tr>
        <w:trPr>
          <w:trHeight w:val="286" w:hRule="exact"/>
        </w:trPr>
        <w:tc>
          <w:tcPr>
            <w:tcW w:w="3969" w:type="dxa"/>
            <w:shd w:val="clear" w:color="auto" w:fill="E9E9E9"/>
          </w:tcPr>
          <w:p>
            <w:pPr>
              <w:pStyle w:val="TableParagraph"/>
              <w:spacing w:before="53"/>
              <w:ind w:left="74"/>
              <w:jc w:val="left"/>
              <w:rPr>
                <w:sz w:val="16"/>
              </w:rPr>
            </w:pPr>
            <w:r>
              <w:rPr>
                <w:sz w:val="16"/>
              </w:rPr>
              <w:t>Hewlett-Packard Australia Pty Ltd</w:t>
            </w:r>
          </w:p>
        </w:tc>
        <w:tc>
          <w:tcPr>
            <w:tcW w:w="1186" w:type="dxa"/>
            <w:shd w:val="clear" w:color="auto" w:fill="E9E9E9"/>
          </w:tcPr>
          <w:p>
            <w:pPr>
              <w:pStyle w:val="TableParagraph"/>
              <w:spacing w:before="53"/>
              <w:ind w:right="73"/>
              <w:rPr>
                <w:sz w:val="16"/>
              </w:rPr>
            </w:pPr>
            <w:r>
              <w:rPr>
                <w:sz w:val="16"/>
              </w:rPr>
              <w:t>89,300</w:t>
            </w:r>
          </w:p>
        </w:tc>
        <w:tc>
          <w:tcPr>
            <w:tcW w:w="4932" w:type="dxa"/>
            <w:shd w:val="clear" w:color="auto" w:fill="E9E9E9"/>
          </w:tcPr>
          <w:p>
            <w:pPr>
              <w:pStyle w:val="TableParagraph"/>
              <w:spacing w:before="53"/>
              <w:ind w:left="74"/>
              <w:jc w:val="left"/>
              <w:rPr>
                <w:sz w:val="16"/>
              </w:rPr>
            </w:pPr>
            <w:r>
              <w:rPr>
                <w:sz w:val="16"/>
              </w:rPr>
              <w:t>MS Office 365 Migration</w:t>
            </w:r>
          </w:p>
        </w:tc>
      </w:tr>
      <w:tr>
        <w:trPr>
          <w:trHeight w:val="286" w:hRule="exact"/>
        </w:trPr>
        <w:tc>
          <w:tcPr>
            <w:tcW w:w="3969" w:type="dxa"/>
            <w:shd w:val="clear" w:color="auto" w:fill="E9E9E9"/>
          </w:tcPr>
          <w:p>
            <w:pPr>
              <w:pStyle w:val="TableParagraph"/>
              <w:spacing w:before="53"/>
              <w:ind w:left="74"/>
              <w:jc w:val="left"/>
              <w:rPr>
                <w:sz w:val="16"/>
              </w:rPr>
            </w:pPr>
            <w:r>
              <w:rPr>
                <w:sz w:val="16"/>
              </w:rPr>
              <w:t>Whitesmiths Group Pty Ltd</w:t>
            </w:r>
          </w:p>
        </w:tc>
        <w:tc>
          <w:tcPr>
            <w:tcW w:w="1186" w:type="dxa"/>
            <w:shd w:val="clear" w:color="auto" w:fill="E9E9E9"/>
          </w:tcPr>
          <w:p>
            <w:pPr>
              <w:pStyle w:val="TableParagraph"/>
              <w:spacing w:before="53"/>
              <w:ind w:right="73"/>
              <w:rPr>
                <w:sz w:val="16"/>
              </w:rPr>
            </w:pPr>
            <w:r>
              <w:rPr>
                <w:w w:val="95"/>
                <w:sz w:val="16"/>
              </w:rPr>
              <w:t>83,200</w:t>
            </w:r>
          </w:p>
        </w:tc>
        <w:tc>
          <w:tcPr>
            <w:tcW w:w="4932" w:type="dxa"/>
            <w:shd w:val="clear" w:color="auto" w:fill="E9E9E9"/>
          </w:tcPr>
          <w:p>
            <w:pPr>
              <w:pStyle w:val="TableParagraph"/>
              <w:spacing w:before="53"/>
              <w:ind w:left="74"/>
              <w:jc w:val="left"/>
              <w:rPr>
                <w:sz w:val="16"/>
              </w:rPr>
            </w:pPr>
            <w:r>
              <w:rPr>
                <w:sz w:val="16"/>
              </w:rPr>
              <w:t>Archibus Replacement Project</w:t>
            </w:r>
          </w:p>
        </w:tc>
      </w:tr>
      <w:tr>
        <w:trPr>
          <w:trHeight w:val="286" w:hRule="exact"/>
        </w:trPr>
        <w:tc>
          <w:tcPr>
            <w:tcW w:w="3969" w:type="dxa"/>
            <w:shd w:val="clear" w:color="auto" w:fill="E9E9E9"/>
          </w:tcPr>
          <w:p>
            <w:pPr>
              <w:pStyle w:val="TableParagraph"/>
              <w:spacing w:before="53"/>
              <w:ind w:left="74"/>
              <w:jc w:val="left"/>
              <w:rPr>
                <w:sz w:val="16"/>
              </w:rPr>
            </w:pPr>
            <w:r>
              <w:rPr>
                <w:sz w:val="16"/>
              </w:rPr>
              <w:t>Black Ink Networks Pty Ltd</w:t>
            </w:r>
          </w:p>
        </w:tc>
        <w:tc>
          <w:tcPr>
            <w:tcW w:w="1186" w:type="dxa"/>
            <w:shd w:val="clear" w:color="auto" w:fill="E9E9E9"/>
          </w:tcPr>
          <w:p>
            <w:pPr>
              <w:pStyle w:val="TableParagraph"/>
              <w:spacing w:before="53"/>
              <w:ind w:right="73"/>
              <w:rPr>
                <w:sz w:val="16"/>
              </w:rPr>
            </w:pPr>
            <w:r>
              <w:rPr>
                <w:w w:val="90"/>
                <w:sz w:val="16"/>
              </w:rPr>
              <w:t>82,556</w:t>
            </w:r>
          </w:p>
        </w:tc>
        <w:tc>
          <w:tcPr>
            <w:tcW w:w="4932" w:type="dxa"/>
            <w:shd w:val="clear" w:color="auto" w:fill="E9E9E9"/>
          </w:tcPr>
          <w:p>
            <w:pPr>
              <w:pStyle w:val="TableParagraph"/>
              <w:spacing w:before="53"/>
              <w:ind w:left="74"/>
              <w:jc w:val="left"/>
              <w:rPr>
                <w:sz w:val="16"/>
              </w:rPr>
            </w:pPr>
            <w:r>
              <w:rPr>
                <w:spacing w:val="2"/>
                <w:w w:val="105"/>
                <w:sz w:val="16"/>
              </w:rPr>
              <w:t>W</w:t>
            </w:r>
            <w:r>
              <w:rPr>
                <w:spacing w:val="1"/>
                <w:w w:val="95"/>
                <w:sz w:val="16"/>
              </w:rPr>
              <w:t>i</w:t>
            </w:r>
            <w:r>
              <w:rPr>
                <w:spacing w:val="2"/>
                <w:w w:val="95"/>
                <w:sz w:val="16"/>
              </w:rPr>
              <w:t>n</w:t>
            </w:r>
            <w:r>
              <w:rPr>
                <w:spacing w:val="2"/>
                <w:w w:val="102"/>
                <w:sz w:val="16"/>
              </w:rPr>
              <w:t>d</w:t>
            </w:r>
            <w:r>
              <w:rPr>
                <w:spacing w:val="-1"/>
                <w:w w:val="100"/>
                <w:sz w:val="16"/>
              </w:rPr>
              <w:t>o</w:t>
            </w:r>
            <w:r>
              <w:rPr>
                <w:w w:val="101"/>
                <w:sz w:val="16"/>
              </w:rPr>
              <w:t>w</w:t>
            </w:r>
            <w:r>
              <w:rPr>
                <w:w w:val="95"/>
                <w:sz w:val="16"/>
              </w:rPr>
              <w:t>s</w:t>
            </w:r>
            <w:r>
              <w:rPr>
                <w:spacing w:val="-12"/>
                <w:sz w:val="16"/>
              </w:rPr>
              <w:t> </w:t>
            </w:r>
            <w:r>
              <w:rPr>
                <w:spacing w:val="4"/>
                <w:w w:val="54"/>
                <w:sz w:val="16"/>
              </w:rPr>
              <w:t>1</w:t>
            </w:r>
            <w:r>
              <w:rPr>
                <w:w w:val="111"/>
                <w:sz w:val="16"/>
              </w:rPr>
              <w:t>0</w:t>
            </w:r>
            <w:r>
              <w:rPr>
                <w:spacing w:val="-12"/>
                <w:sz w:val="16"/>
              </w:rPr>
              <w:t> </w:t>
            </w:r>
            <w:r>
              <w:rPr>
                <w:spacing w:val="2"/>
                <w:w w:val="98"/>
                <w:sz w:val="16"/>
              </w:rPr>
              <w:t>S</w:t>
            </w:r>
            <w:r>
              <w:rPr>
                <w:spacing w:val="3"/>
                <w:w w:val="100"/>
                <w:sz w:val="16"/>
              </w:rPr>
              <w:t>O</w:t>
            </w:r>
            <w:r>
              <w:rPr>
                <w:w w:val="100"/>
                <w:sz w:val="16"/>
              </w:rPr>
              <w:t>E</w:t>
            </w:r>
            <w:r>
              <w:rPr>
                <w:spacing w:val="-12"/>
                <w:sz w:val="16"/>
              </w:rPr>
              <w:t> </w:t>
            </w:r>
            <w:r>
              <w:rPr>
                <w:spacing w:val="2"/>
                <w:w w:val="104"/>
                <w:sz w:val="16"/>
              </w:rPr>
              <w:t>P</w:t>
            </w:r>
            <w:r>
              <w:rPr>
                <w:spacing w:val="-1"/>
                <w:w w:val="95"/>
                <w:sz w:val="16"/>
              </w:rPr>
              <w:t>r</w:t>
            </w:r>
            <w:r>
              <w:rPr>
                <w:spacing w:val="2"/>
                <w:w w:val="100"/>
                <w:sz w:val="16"/>
              </w:rPr>
              <w:t>o</w:t>
            </w:r>
            <w:r>
              <w:rPr>
                <w:spacing w:val="2"/>
                <w:w w:val="102"/>
                <w:sz w:val="16"/>
              </w:rPr>
              <w:t>g</w:t>
            </w:r>
            <w:r>
              <w:rPr>
                <w:spacing w:val="2"/>
                <w:w w:val="95"/>
                <w:sz w:val="16"/>
              </w:rPr>
              <w:t>r</w:t>
            </w:r>
            <w:r>
              <w:rPr>
                <w:spacing w:val="2"/>
                <w:w w:val="94"/>
                <w:sz w:val="16"/>
              </w:rPr>
              <w:t>a</w:t>
            </w:r>
            <w:r>
              <w:rPr>
                <w:w w:val="98"/>
                <w:sz w:val="16"/>
              </w:rPr>
              <w:t>m</w:t>
            </w:r>
          </w:p>
        </w:tc>
      </w:tr>
      <w:tr>
        <w:trPr>
          <w:trHeight w:val="286" w:hRule="exact"/>
        </w:trPr>
        <w:tc>
          <w:tcPr>
            <w:tcW w:w="3969" w:type="dxa"/>
            <w:shd w:val="clear" w:color="auto" w:fill="E9E9E9"/>
          </w:tcPr>
          <w:p>
            <w:pPr>
              <w:pStyle w:val="TableParagraph"/>
              <w:spacing w:before="53"/>
              <w:ind w:left="74"/>
              <w:jc w:val="left"/>
              <w:rPr>
                <w:sz w:val="16"/>
              </w:rPr>
            </w:pPr>
            <w:r>
              <w:rPr>
                <w:sz w:val="16"/>
              </w:rPr>
              <w:t>Quantum Information Technology Pty Ltd</w:t>
            </w:r>
          </w:p>
        </w:tc>
        <w:tc>
          <w:tcPr>
            <w:tcW w:w="1186" w:type="dxa"/>
            <w:shd w:val="clear" w:color="auto" w:fill="E9E9E9"/>
          </w:tcPr>
          <w:p>
            <w:pPr>
              <w:pStyle w:val="TableParagraph"/>
              <w:spacing w:before="53"/>
              <w:ind w:right="73"/>
              <w:rPr>
                <w:sz w:val="16"/>
              </w:rPr>
            </w:pPr>
            <w:r>
              <w:rPr>
                <w:w w:val="95"/>
                <w:sz w:val="16"/>
              </w:rPr>
              <w:t>75,600</w:t>
            </w:r>
          </w:p>
        </w:tc>
        <w:tc>
          <w:tcPr>
            <w:tcW w:w="4932" w:type="dxa"/>
            <w:shd w:val="clear" w:color="auto" w:fill="E9E9E9"/>
          </w:tcPr>
          <w:p>
            <w:pPr>
              <w:pStyle w:val="TableParagraph"/>
              <w:spacing w:before="53"/>
              <w:ind w:left="74"/>
              <w:jc w:val="left"/>
              <w:rPr>
                <w:sz w:val="16"/>
              </w:rPr>
            </w:pPr>
            <w:r>
              <w:rPr>
                <w:sz w:val="16"/>
              </w:rPr>
              <w:t>Student Placement System</w:t>
            </w:r>
          </w:p>
        </w:tc>
      </w:tr>
      <w:tr>
        <w:trPr>
          <w:trHeight w:val="286" w:hRule="exact"/>
        </w:trPr>
        <w:tc>
          <w:tcPr>
            <w:tcW w:w="3969" w:type="dxa"/>
            <w:shd w:val="clear" w:color="auto" w:fill="E9E9E9"/>
          </w:tcPr>
          <w:p>
            <w:pPr>
              <w:pStyle w:val="TableParagraph"/>
              <w:spacing w:before="53"/>
              <w:ind w:left="74"/>
              <w:jc w:val="left"/>
              <w:rPr>
                <w:sz w:val="16"/>
              </w:rPr>
            </w:pPr>
            <w:r>
              <w:rPr>
                <w:sz w:val="16"/>
              </w:rPr>
              <w:t>EMC Global Holdings Company of Australia</w:t>
            </w:r>
          </w:p>
        </w:tc>
        <w:tc>
          <w:tcPr>
            <w:tcW w:w="1186" w:type="dxa"/>
            <w:shd w:val="clear" w:color="auto" w:fill="E9E9E9"/>
          </w:tcPr>
          <w:p>
            <w:pPr>
              <w:pStyle w:val="TableParagraph"/>
              <w:spacing w:before="53"/>
              <w:ind w:right="73"/>
              <w:rPr>
                <w:sz w:val="16"/>
              </w:rPr>
            </w:pPr>
            <w:r>
              <w:rPr>
                <w:w w:val="75"/>
                <w:sz w:val="16"/>
              </w:rPr>
              <w:t>73,131</w:t>
            </w:r>
          </w:p>
        </w:tc>
        <w:tc>
          <w:tcPr>
            <w:tcW w:w="4932" w:type="dxa"/>
            <w:shd w:val="clear" w:color="auto" w:fill="E9E9E9"/>
          </w:tcPr>
          <w:p>
            <w:pPr>
              <w:pStyle w:val="TableParagraph"/>
              <w:spacing w:before="53"/>
              <w:ind w:left="74"/>
              <w:jc w:val="left"/>
              <w:rPr>
                <w:sz w:val="16"/>
              </w:rPr>
            </w:pPr>
            <w:r>
              <w:rPr>
                <w:sz w:val="16"/>
              </w:rPr>
              <w:t>Software Upgrade</w:t>
            </w:r>
          </w:p>
        </w:tc>
      </w:tr>
      <w:tr>
        <w:trPr>
          <w:trHeight w:val="286" w:hRule="exact"/>
        </w:trPr>
        <w:tc>
          <w:tcPr>
            <w:tcW w:w="3969" w:type="dxa"/>
            <w:shd w:val="clear" w:color="auto" w:fill="E9E9E9"/>
          </w:tcPr>
          <w:p>
            <w:pPr>
              <w:pStyle w:val="TableParagraph"/>
              <w:spacing w:before="53"/>
              <w:ind w:left="74"/>
              <w:jc w:val="left"/>
              <w:rPr>
                <w:sz w:val="16"/>
              </w:rPr>
            </w:pPr>
            <w:r>
              <w:rPr>
                <w:sz w:val="16"/>
              </w:rPr>
              <w:t>NEC Australia Pty Ltd</w:t>
            </w:r>
          </w:p>
        </w:tc>
        <w:tc>
          <w:tcPr>
            <w:tcW w:w="1186" w:type="dxa"/>
            <w:shd w:val="clear" w:color="auto" w:fill="E9E9E9"/>
          </w:tcPr>
          <w:p>
            <w:pPr>
              <w:pStyle w:val="TableParagraph"/>
              <w:spacing w:before="53"/>
              <w:ind w:right="73"/>
              <w:rPr>
                <w:sz w:val="16"/>
              </w:rPr>
            </w:pPr>
            <w:r>
              <w:rPr>
                <w:w w:val="90"/>
                <w:sz w:val="16"/>
              </w:rPr>
              <w:t>67,835</w:t>
            </w:r>
          </w:p>
        </w:tc>
        <w:tc>
          <w:tcPr>
            <w:tcW w:w="4932" w:type="dxa"/>
            <w:shd w:val="clear" w:color="auto" w:fill="E9E9E9"/>
          </w:tcPr>
          <w:p>
            <w:pPr>
              <w:pStyle w:val="TableParagraph"/>
              <w:spacing w:before="53"/>
              <w:ind w:left="74"/>
              <w:jc w:val="left"/>
              <w:rPr>
                <w:sz w:val="16"/>
              </w:rPr>
            </w:pPr>
            <w:r>
              <w:rPr>
                <w:sz w:val="16"/>
              </w:rPr>
              <w:t>Oracle Policy Automation</w:t>
            </w:r>
          </w:p>
        </w:tc>
      </w:tr>
      <w:tr>
        <w:trPr>
          <w:trHeight w:val="286" w:hRule="exact"/>
        </w:trPr>
        <w:tc>
          <w:tcPr>
            <w:tcW w:w="3969" w:type="dxa"/>
            <w:shd w:val="clear" w:color="auto" w:fill="E9E9E9"/>
          </w:tcPr>
          <w:p>
            <w:pPr>
              <w:pStyle w:val="TableParagraph"/>
              <w:spacing w:before="53"/>
              <w:ind w:left="74"/>
              <w:jc w:val="left"/>
              <w:rPr>
                <w:sz w:val="16"/>
              </w:rPr>
            </w:pPr>
            <w:r>
              <w:rPr>
                <w:sz w:val="16"/>
              </w:rPr>
              <w:t>Dimension Data Australia Pty Ltd</w:t>
            </w:r>
          </w:p>
        </w:tc>
        <w:tc>
          <w:tcPr>
            <w:tcW w:w="1186" w:type="dxa"/>
            <w:shd w:val="clear" w:color="auto" w:fill="E9E9E9"/>
          </w:tcPr>
          <w:p>
            <w:pPr>
              <w:pStyle w:val="TableParagraph"/>
              <w:spacing w:before="53"/>
              <w:ind w:right="73"/>
              <w:rPr>
                <w:sz w:val="16"/>
              </w:rPr>
            </w:pPr>
            <w:r>
              <w:rPr>
                <w:w w:val="95"/>
                <w:sz w:val="16"/>
              </w:rPr>
              <w:t>67,008</w:t>
            </w:r>
          </w:p>
        </w:tc>
        <w:tc>
          <w:tcPr>
            <w:tcW w:w="4932" w:type="dxa"/>
            <w:shd w:val="clear" w:color="auto" w:fill="E9E9E9"/>
          </w:tcPr>
          <w:p>
            <w:pPr>
              <w:pStyle w:val="TableParagraph"/>
              <w:spacing w:before="53"/>
              <w:ind w:left="74"/>
              <w:jc w:val="left"/>
              <w:rPr>
                <w:sz w:val="16"/>
              </w:rPr>
            </w:pPr>
            <w:r>
              <w:rPr>
                <w:sz w:val="16"/>
              </w:rPr>
              <w:t>Identity Management Strategy &amp; Deployment</w:t>
            </w:r>
          </w:p>
        </w:tc>
      </w:tr>
      <w:tr>
        <w:trPr>
          <w:trHeight w:val="286" w:hRule="exact"/>
        </w:trPr>
        <w:tc>
          <w:tcPr>
            <w:tcW w:w="3969" w:type="dxa"/>
            <w:shd w:val="clear" w:color="auto" w:fill="E9E9E9"/>
          </w:tcPr>
          <w:p>
            <w:pPr>
              <w:pStyle w:val="TableParagraph"/>
              <w:spacing w:before="53"/>
              <w:ind w:left="74"/>
              <w:jc w:val="left"/>
              <w:rPr>
                <w:sz w:val="16"/>
              </w:rPr>
            </w:pPr>
            <w:r>
              <w:rPr>
                <w:sz w:val="16"/>
              </w:rPr>
              <w:t>Dimension Data Australia Pty Ltd</w:t>
            </w:r>
          </w:p>
        </w:tc>
        <w:tc>
          <w:tcPr>
            <w:tcW w:w="1186" w:type="dxa"/>
            <w:shd w:val="clear" w:color="auto" w:fill="E9E9E9"/>
          </w:tcPr>
          <w:p>
            <w:pPr>
              <w:pStyle w:val="TableParagraph"/>
              <w:spacing w:before="53"/>
              <w:ind w:right="73"/>
              <w:rPr>
                <w:sz w:val="16"/>
              </w:rPr>
            </w:pPr>
            <w:r>
              <w:rPr>
                <w:w w:val="90"/>
                <w:sz w:val="16"/>
              </w:rPr>
              <w:t>66,377</w:t>
            </w:r>
          </w:p>
        </w:tc>
        <w:tc>
          <w:tcPr>
            <w:tcW w:w="4932" w:type="dxa"/>
            <w:shd w:val="clear" w:color="auto" w:fill="E9E9E9"/>
          </w:tcPr>
          <w:p>
            <w:pPr>
              <w:pStyle w:val="TableParagraph"/>
              <w:spacing w:before="53"/>
              <w:ind w:left="74"/>
              <w:jc w:val="left"/>
              <w:rPr>
                <w:sz w:val="16"/>
              </w:rPr>
            </w:pPr>
            <w:r>
              <w:rPr>
                <w:sz w:val="16"/>
              </w:rPr>
              <w:t>CRM Implementation</w:t>
            </w:r>
          </w:p>
        </w:tc>
      </w:tr>
      <w:tr>
        <w:trPr>
          <w:trHeight w:val="286" w:hRule="exact"/>
        </w:trPr>
        <w:tc>
          <w:tcPr>
            <w:tcW w:w="3969" w:type="dxa"/>
            <w:shd w:val="clear" w:color="auto" w:fill="E9E9E9"/>
          </w:tcPr>
          <w:p>
            <w:pPr>
              <w:pStyle w:val="TableParagraph"/>
              <w:spacing w:before="53"/>
              <w:ind w:left="74"/>
              <w:jc w:val="left"/>
              <w:rPr>
                <w:sz w:val="16"/>
              </w:rPr>
            </w:pPr>
            <w:r>
              <w:rPr>
                <w:sz w:val="16"/>
              </w:rPr>
              <w:t>Dimension Data Australia Pty Ltd</w:t>
            </w:r>
          </w:p>
        </w:tc>
        <w:tc>
          <w:tcPr>
            <w:tcW w:w="1186" w:type="dxa"/>
            <w:shd w:val="clear" w:color="auto" w:fill="E9E9E9"/>
          </w:tcPr>
          <w:p>
            <w:pPr>
              <w:pStyle w:val="TableParagraph"/>
              <w:spacing w:before="53"/>
              <w:ind w:right="73"/>
              <w:rPr>
                <w:sz w:val="16"/>
              </w:rPr>
            </w:pPr>
            <w:r>
              <w:rPr>
                <w:w w:val="95"/>
                <w:sz w:val="16"/>
              </w:rPr>
              <w:t>57,600</w:t>
            </w:r>
          </w:p>
        </w:tc>
        <w:tc>
          <w:tcPr>
            <w:tcW w:w="4932" w:type="dxa"/>
            <w:shd w:val="clear" w:color="auto" w:fill="E9E9E9"/>
          </w:tcPr>
          <w:p>
            <w:pPr>
              <w:pStyle w:val="TableParagraph"/>
              <w:spacing w:before="53"/>
              <w:ind w:left="74"/>
              <w:jc w:val="left"/>
              <w:rPr>
                <w:sz w:val="16"/>
              </w:rPr>
            </w:pPr>
            <w:r>
              <w:rPr>
                <w:sz w:val="16"/>
              </w:rPr>
              <w:t>CRM Cloud Hosting</w:t>
            </w:r>
          </w:p>
        </w:tc>
      </w:tr>
      <w:tr>
        <w:trPr>
          <w:trHeight w:val="286" w:hRule="exact"/>
        </w:trPr>
        <w:tc>
          <w:tcPr>
            <w:tcW w:w="3969" w:type="dxa"/>
            <w:shd w:val="clear" w:color="auto" w:fill="E9E9E9"/>
          </w:tcPr>
          <w:p>
            <w:pPr>
              <w:pStyle w:val="TableParagraph"/>
              <w:spacing w:before="53"/>
              <w:ind w:left="74"/>
              <w:jc w:val="left"/>
              <w:rPr>
                <w:sz w:val="16"/>
              </w:rPr>
            </w:pPr>
            <w:r>
              <w:rPr>
                <w:sz w:val="16"/>
              </w:rPr>
              <w:t>Nous Group Pty Ltd</w:t>
            </w:r>
          </w:p>
        </w:tc>
        <w:tc>
          <w:tcPr>
            <w:tcW w:w="1186" w:type="dxa"/>
            <w:shd w:val="clear" w:color="auto" w:fill="E9E9E9"/>
          </w:tcPr>
          <w:p>
            <w:pPr>
              <w:pStyle w:val="TableParagraph"/>
              <w:spacing w:before="53"/>
              <w:ind w:right="68"/>
              <w:rPr>
                <w:sz w:val="16"/>
              </w:rPr>
            </w:pPr>
            <w:r>
              <w:rPr>
                <w:sz w:val="16"/>
              </w:rPr>
              <w:t>56,000</w:t>
            </w:r>
          </w:p>
        </w:tc>
        <w:tc>
          <w:tcPr>
            <w:tcW w:w="4932" w:type="dxa"/>
            <w:shd w:val="clear" w:color="auto" w:fill="E9E9E9"/>
          </w:tcPr>
          <w:p>
            <w:pPr>
              <w:pStyle w:val="TableParagraph"/>
              <w:spacing w:before="53"/>
              <w:ind w:left="74"/>
              <w:jc w:val="left"/>
              <w:rPr>
                <w:sz w:val="16"/>
              </w:rPr>
            </w:pPr>
            <w:r>
              <w:rPr>
                <w:sz w:val="16"/>
              </w:rPr>
              <w:t>Application Managed Service (CIDO)</w:t>
            </w:r>
          </w:p>
        </w:tc>
      </w:tr>
      <w:tr>
        <w:trPr>
          <w:trHeight w:val="286" w:hRule="exact"/>
        </w:trPr>
        <w:tc>
          <w:tcPr>
            <w:tcW w:w="3969" w:type="dxa"/>
            <w:shd w:val="clear" w:color="auto" w:fill="E9E9E9"/>
          </w:tcPr>
          <w:p>
            <w:pPr>
              <w:pStyle w:val="TableParagraph"/>
              <w:spacing w:before="61"/>
              <w:ind w:left="74"/>
              <w:jc w:val="left"/>
              <w:rPr>
                <w:rFonts w:ascii="Calibri"/>
                <w:sz w:val="16"/>
              </w:rPr>
            </w:pPr>
            <w:r>
              <w:rPr>
                <w:rFonts w:ascii="Calibri"/>
                <w:w w:val="110"/>
                <w:sz w:val="16"/>
              </w:rPr>
              <w:t>Subtotal</w:t>
            </w:r>
          </w:p>
        </w:tc>
        <w:tc>
          <w:tcPr>
            <w:tcW w:w="1186" w:type="dxa"/>
            <w:shd w:val="clear" w:color="auto" w:fill="E9E9E9"/>
          </w:tcPr>
          <w:p>
            <w:pPr>
              <w:pStyle w:val="TableParagraph"/>
              <w:spacing w:before="61"/>
              <w:ind w:right="73"/>
              <w:rPr>
                <w:rFonts w:ascii="Calibri"/>
                <w:sz w:val="16"/>
              </w:rPr>
            </w:pPr>
            <w:r>
              <w:rPr>
                <w:rFonts w:ascii="Calibri"/>
                <w:w w:val="85"/>
                <w:sz w:val="16"/>
              </w:rPr>
              <w:t>2,111,152</w:t>
            </w:r>
          </w:p>
        </w:tc>
        <w:tc>
          <w:tcPr>
            <w:tcW w:w="4932" w:type="dxa"/>
            <w:shd w:val="clear" w:color="auto" w:fill="E9E9E9"/>
          </w:tcPr>
          <w:p>
            <w:pPr/>
          </w:p>
        </w:tc>
      </w:tr>
      <w:tr>
        <w:trPr>
          <w:trHeight w:val="286" w:hRule="exact"/>
        </w:trPr>
        <w:tc>
          <w:tcPr>
            <w:tcW w:w="10086" w:type="dxa"/>
            <w:gridSpan w:val="3"/>
            <w:shd w:val="clear" w:color="auto" w:fill="E9E9E9"/>
          </w:tcPr>
          <w:p>
            <w:pPr>
              <w:pStyle w:val="TableParagraph"/>
              <w:spacing w:before="61"/>
              <w:ind w:left="74"/>
              <w:jc w:val="left"/>
              <w:rPr>
                <w:rFonts w:ascii="Calibri"/>
                <w:sz w:val="16"/>
              </w:rPr>
            </w:pPr>
            <w:r>
              <w:rPr>
                <w:rFonts w:ascii="Calibri"/>
                <w:w w:val="105"/>
                <w:sz w:val="16"/>
              </w:rPr>
              <w:t>Management Services</w:t>
            </w:r>
          </w:p>
        </w:tc>
      </w:tr>
      <w:tr>
        <w:trPr>
          <w:trHeight w:val="286" w:hRule="exact"/>
        </w:trPr>
        <w:tc>
          <w:tcPr>
            <w:tcW w:w="3969" w:type="dxa"/>
            <w:shd w:val="clear" w:color="auto" w:fill="E9E9E9"/>
          </w:tcPr>
          <w:p>
            <w:pPr>
              <w:pStyle w:val="TableParagraph"/>
              <w:spacing w:before="53"/>
              <w:ind w:left="74"/>
              <w:jc w:val="left"/>
              <w:rPr>
                <w:sz w:val="16"/>
              </w:rPr>
            </w:pPr>
            <w:r>
              <w:rPr>
                <w:sz w:val="16"/>
              </w:rPr>
              <w:t>BizTech Software Services Unit Trust</w:t>
            </w:r>
          </w:p>
        </w:tc>
        <w:tc>
          <w:tcPr>
            <w:tcW w:w="1186" w:type="dxa"/>
            <w:shd w:val="clear" w:color="auto" w:fill="E9E9E9"/>
          </w:tcPr>
          <w:p>
            <w:pPr>
              <w:pStyle w:val="TableParagraph"/>
              <w:spacing w:before="53"/>
              <w:ind w:right="73"/>
              <w:rPr>
                <w:sz w:val="16"/>
              </w:rPr>
            </w:pPr>
            <w:r>
              <w:rPr>
                <w:spacing w:val="4"/>
                <w:w w:val="54"/>
                <w:sz w:val="16"/>
              </w:rPr>
              <w:t>1</w:t>
            </w:r>
            <w:r>
              <w:rPr>
                <w:spacing w:val="2"/>
                <w:w w:val="75"/>
                <w:sz w:val="16"/>
              </w:rPr>
              <w:t>,9</w:t>
            </w:r>
            <w:r>
              <w:rPr>
                <w:spacing w:val="3"/>
                <w:w w:val="75"/>
                <w:sz w:val="16"/>
              </w:rPr>
              <w:t>1</w:t>
            </w:r>
            <w:r>
              <w:rPr>
                <w:spacing w:val="4"/>
                <w:w w:val="54"/>
                <w:sz w:val="16"/>
              </w:rPr>
              <w:t>1</w:t>
            </w:r>
            <w:r>
              <w:rPr>
                <w:spacing w:val="1"/>
                <w:w w:val="68"/>
                <w:sz w:val="16"/>
              </w:rPr>
              <w:t>,</w:t>
            </w:r>
            <w:r>
              <w:rPr>
                <w:spacing w:val="-3"/>
                <w:w w:val="111"/>
                <w:sz w:val="16"/>
              </w:rPr>
              <w:t>0</w:t>
            </w:r>
            <w:r>
              <w:rPr>
                <w:spacing w:val="6"/>
                <w:w w:val="91"/>
                <w:sz w:val="16"/>
              </w:rPr>
              <w:t>7</w:t>
            </w:r>
            <w:r>
              <w:rPr>
                <w:w w:val="54"/>
                <w:sz w:val="16"/>
              </w:rPr>
              <w:t>1</w:t>
            </w:r>
          </w:p>
        </w:tc>
        <w:tc>
          <w:tcPr>
            <w:tcW w:w="4932" w:type="dxa"/>
            <w:shd w:val="clear" w:color="auto" w:fill="E9E9E9"/>
          </w:tcPr>
          <w:p>
            <w:pPr>
              <w:pStyle w:val="TableParagraph"/>
              <w:spacing w:before="53"/>
              <w:ind w:left="74"/>
              <w:jc w:val="left"/>
              <w:rPr>
                <w:sz w:val="16"/>
              </w:rPr>
            </w:pPr>
            <w:r>
              <w:rPr>
                <w:sz w:val="16"/>
              </w:rPr>
              <w:t>The White Agency Design Discovery for Lumbar</w:t>
            </w:r>
          </w:p>
        </w:tc>
      </w:tr>
      <w:tr>
        <w:trPr>
          <w:trHeight w:val="286" w:hRule="exact"/>
        </w:trPr>
        <w:tc>
          <w:tcPr>
            <w:tcW w:w="3969" w:type="dxa"/>
            <w:shd w:val="clear" w:color="auto" w:fill="E9E9E9"/>
          </w:tcPr>
          <w:p>
            <w:pPr>
              <w:pStyle w:val="TableParagraph"/>
              <w:spacing w:before="53"/>
              <w:ind w:left="74"/>
              <w:jc w:val="left"/>
              <w:rPr>
                <w:sz w:val="16"/>
              </w:rPr>
            </w:pPr>
            <w:r>
              <w:rPr>
                <w:w w:val="105"/>
                <w:sz w:val="16"/>
              </w:rPr>
              <w:t>VCD Pty Ltd</w:t>
            </w:r>
          </w:p>
        </w:tc>
        <w:tc>
          <w:tcPr>
            <w:tcW w:w="1186" w:type="dxa"/>
            <w:shd w:val="clear" w:color="auto" w:fill="E9E9E9"/>
          </w:tcPr>
          <w:p>
            <w:pPr>
              <w:pStyle w:val="TableParagraph"/>
              <w:spacing w:before="53"/>
              <w:ind w:right="68"/>
              <w:rPr>
                <w:sz w:val="16"/>
              </w:rPr>
            </w:pPr>
            <w:r>
              <w:rPr>
                <w:w w:val="90"/>
                <w:sz w:val="16"/>
              </w:rPr>
              <w:t>703,222</w:t>
            </w:r>
          </w:p>
        </w:tc>
        <w:tc>
          <w:tcPr>
            <w:tcW w:w="4932" w:type="dxa"/>
            <w:shd w:val="clear" w:color="auto" w:fill="E9E9E9"/>
          </w:tcPr>
          <w:p>
            <w:pPr>
              <w:pStyle w:val="TableParagraph"/>
              <w:spacing w:before="53"/>
              <w:ind w:left="74"/>
              <w:jc w:val="left"/>
              <w:rPr>
                <w:sz w:val="16"/>
              </w:rPr>
            </w:pPr>
            <w:r>
              <w:rPr>
                <w:sz w:val="16"/>
              </w:rPr>
              <w:t>Rebranding Project</w:t>
            </w:r>
          </w:p>
        </w:tc>
      </w:tr>
      <w:tr>
        <w:trPr>
          <w:trHeight w:val="286" w:hRule="exact"/>
        </w:trPr>
        <w:tc>
          <w:tcPr>
            <w:tcW w:w="3969" w:type="dxa"/>
            <w:shd w:val="clear" w:color="auto" w:fill="E9E9E9"/>
          </w:tcPr>
          <w:p>
            <w:pPr>
              <w:pStyle w:val="TableParagraph"/>
              <w:spacing w:before="53"/>
              <w:ind w:left="74"/>
              <w:jc w:val="left"/>
              <w:rPr>
                <w:sz w:val="16"/>
              </w:rPr>
            </w:pPr>
            <w:r>
              <w:rPr>
                <w:sz w:val="16"/>
              </w:rPr>
              <w:t>Archerfield Capital Partners Pty Ltd</w:t>
            </w:r>
          </w:p>
        </w:tc>
        <w:tc>
          <w:tcPr>
            <w:tcW w:w="1186" w:type="dxa"/>
            <w:shd w:val="clear" w:color="auto" w:fill="E9E9E9"/>
          </w:tcPr>
          <w:p>
            <w:pPr>
              <w:pStyle w:val="TableParagraph"/>
              <w:spacing w:before="53"/>
              <w:ind w:right="68"/>
              <w:rPr>
                <w:sz w:val="16"/>
              </w:rPr>
            </w:pPr>
            <w:r>
              <w:rPr>
                <w:w w:val="105"/>
                <w:sz w:val="16"/>
              </w:rPr>
              <w:t>440,000</w:t>
            </w:r>
          </w:p>
        </w:tc>
        <w:tc>
          <w:tcPr>
            <w:tcW w:w="4932" w:type="dxa"/>
            <w:shd w:val="clear" w:color="auto" w:fill="E9E9E9"/>
          </w:tcPr>
          <w:p>
            <w:pPr>
              <w:pStyle w:val="TableParagraph"/>
              <w:spacing w:before="53"/>
              <w:ind w:left="74"/>
              <w:jc w:val="left"/>
              <w:rPr>
                <w:sz w:val="16"/>
              </w:rPr>
            </w:pPr>
            <w:r>
              <w:rPr>
                <w:sz w:val="16"/>
              </w:rPr>
              <w:t>Parramatta CBD Project</w:t>
            </w:r>
          </w:p>
        </w:tc>
      </w:tr>
      <w:tr>
        <w:trPr>
          <w:trHeight w:val="286" w:hRule="exact"/>
        </w:trPr>
        <w:tc>
          <w:tcPr>
            <w:tcW w:w="3969" w:type="dxa"/>
            <w:shd w:val="clear" w:color="auto" w:fill="E9E9E9"/>
          </w:tcPr>
          <w:p>
            <w:pPr>
              <w:pStyle w:val="TableParagraph"/>
              <w:spacing w:before="53"/>
              <w:ind w:left="74"/>
              <w:jc w:val="left"/>
              <w:rPr>
                <w:sz w:val="16"/>
              </w:rPr>
            </w:pPr>
            <w:r>
              <w:rPr>
                <w:w w:val="105"/>
                <w:sz w:val="16"/>
              </w:rPr>
              <w:t>VCD Pty Ltd</w:t>
            </w:r>
          </w:p>
        </w:tc>
        <w:tc>
          <w:tcPr>
            <w:tcW w:w="1186" w:type="dxa"/>
            <w:shd w:val="clear" w:color="auto" w:fill="E9E9E9"/>
          </w:tcPr>
          <w:p>
            <w:pPr>
              <w:pStyle w:val="TableParagraph"/>
              <w:spacing w:before="53"/>
              <w:ind w:right="70"/>
              <w:rPr>
                <w:sz w:val="16"/>
              </w:rPr>
            </w:pPr>
            <w:r>
              <w:rPr>
                <w:w w:val="85"/>
                <w:sz w:val="16"/>
              </w:rPr>
              <w:t>361,425</w:t>
            </w:r>
          </w:p>
        </w:tc>
        <w:tc>
          <w:tcPr>
            <w:tcW w:w="4932" w:type="dxa"/>
            <w:shd w:val="clear" w:color="auto" w:fill="E9E9E9"/>
          </w:tcPr>
          <w:p>
            <w:pPr>
              <w:pStyle w:val="TableParagraph"/>
              <w:spacing w:before="53"/>
              <w:ind w:left="74"/>
              <w:jc w:val="left"/>
              <w:rPr>
                <w:sz w:val="16"/>
              </w:rPr>
            </w:pPr>
            <w:r>
              <w:rPr>
                <w:sz w:val="16"/>
              </w:rPr>
              <w:t>Studio Unlimited Support</w:t>
            </w:r>
          </w:p>
        </w:tc>
      </w:tr>
      <w:tr>
        <w:trPr>
          <w:trHeight w:val="286" w:hRule="exact"/>
        </w:trPr>
        <w:tc>
          <w:tcPr>
            <w:tcW w:w="3969" w:type="dxa"/>
            <w:shd w:val="clear" w:color="auto" w:fill="E9E9E9"/>
          </w:tcPr>
          <w:p>
            <w:pPr>
              <w:pStyle w:val="TableParagraph"/>
              <w:spacing w:before="53"/>
              <w:ind w:left="74"/>
              <w:jc w:val="left"/>
              <w:rPr>
                <w:sz w:val="16"/>
              </w:rPr>
            </w:pPr>
            <w:r>
              <w:rPr>
                <w:sz w:val="16"/>
              </w:rPr>
              <w:t>Charter Hall Holdings Pty Ltd</w:t>
            </w:r>
          </w:p>
        </w:tc>
        <w:tc>
          <w:tcPr>
            <w:tcW w:w="1186" w:type="dxa"/>
            <w:shd w:val="clear" w:color="auto" w:fill="E9E9E9"/>
          </w:tcPr>
          <w:p>
            <w:pPr>
              <w:pStyle w:val="TableParagraph"/>
              <w:spacing w:before="53"/>
              <w:ind w:right="73"/>
              <w:rPr>
                <w:sz w:val="16"/>
              </w:rPr>
            </w:pPr>
            <w:r>
              <w:rPr>
                <w:w w:val="85"/>
                <w:sz w:val="16"/>
              </w:rPr>
              <w:t>319,386</w:t>
            </w:r>
          </w:p>
        </w:tc>
        <w:tc>
          <w:tcPr>
            <w:tcW w:w="4932" w:type="dxa"/>
            <w:shd w:val="clear" w:color="auto" w:fill="E9E9E9"/>
          </w:tcPr>
          <w:p>
            <w:pPr>
              <w:pStyle w:val="TableParagraph"/>
              <w:spacing w:before="53"/>
              <w:ind w:left="74"/>
              <w:jc w:val="left"/>
              <w:rPr>
                <w:sz w:val="16"/>
              </w:rPr>
            </w:pPr>
            <w:r>
              <w:rPr>
                <w:sz w:val="16"/>
              </w:rPr>
              <w:t>Project Patagonia</w:t>
            </w:r>
          </w:p>
        </w:tc>
      </w:tr>
      <w:tr>
        <w:trPr>
          <w:trHeight w:val="286" w:hRule="exact"/>
        </w:trPr>
        <w:tc>
          <w:tcPr>
            <w:tcW w:w="3969" w:type="dxa"/>
            <w:shd w:val="clear" w:color="auto" w:fill="E9E9E9"/>
          </w:tcPr>
          <w:p>
            <w:pPr>
              <w:pStyle w:val="TableParagraph"/>
              <w:spacing w:before="53"/>
              <w:ind w:left="74"/>
              <w:jc w:val="left"/>
              <w:rPr>
                <w:sz w:val="16"/>
              </w:rPr>
            </w:pPr>
            <w:r>
              <w:rPr>
                <w:sz w:val="16"/>
              </w:rPr>
              <w:t>Accordant Pty Ltd</w:t>
            </w:r>
          </w:p>
        </w:tc>
        <w:tc>
          <w:tcPr>
            <w:tcW w:w="1186" w:type="dxa"/>
            <w:shd w:val="clear" w:color="auto" w:fill="E9E9E9"/>
          </w:tcPr>
          <w:p>
            <w:pPr>
              <w:pStyle w:val="TableParagraph"/>
              <w:spacing w:before="53"/>
              <w:ind w:right="73"/>
              <w:rPr>
                <w:sz w:val="16"/>
              </w:rPr>
            </w:pPr>
            <w:r>
              <w:rPr>
                <w:w w:val="80"/>
                <w:sz w:val="16"/>
              </w:rPr>
              <w:t>213,148</w:t>
            </w:r>
          </w:p>
        </w:tc>
        <w:tc>
          <w:tcPr>
            <w:tcW w:w="4932" w:type="dxa"/>
            <w:shd w:val="clear" w:color="auto" w:fill="E9E9E9"/>
          </w:tcPr>
          <w:p>
            <w:pPr>
              <w:pStyle w:val="TableParagraph"/>
              <w:spacing w:before="53"/>
              <w:ind w:left="74"/>
              <w:jc w:val="left"/>
              <w:rPr>
                <w:sz w:val="16"/>
              </w:rPr>
            </w:pPr>
            <w:r>
              <w:rPr>
                <w:sz w:val="16"/>
              </w:rPr>
              <w:t>Marketing Automation Systems</w:t>
            </w:r>
          </w:p>
        </w:tc>
      </w:tr>
      <w:tr>
        <w:trPr>
          <w:trHeight w:val="286" w:hRule="exact"/>
        </w:trPr>
        <w:tc>
          <w:tcPr>
            <w:tcW w:w="3969" w:type="dxa"/>
            <w:shd w:val="clear" w:color="auto" w:fill="E9E9E9"/>
          </w:tcPr>
          <w:p>
            <w:pPr>
              <w:pStyle w:val="TableParagraph"/>
              <w:spacing w:before="53"/>
              <w:ind w:left="74"/>
              <w:jc w:val="left"/>
              <w:rPr>
                <w:sz w:val="16"/>
              </w:rPr>
            </w:pPr>
            <w:r>
              <w:rPr>
                <w:sz w:val="16"/>
              </w:rPr>
              <w:t>Bulldogs Rugby League Club Ltd</w:t>
            </w:r>
          </w:p>
        </w:tc>
        <w:tc>
          <w:tcPr>
            <w:tcW w:w="1186" w:type="dxa"/>
            <w:shd w:val="clear" w:color="auto" w:fill="E9E9E9"/>
          </w:tcPr>
          <w:p>
            <w:pPr>
              <w:pStyle w:val="TableParagraph"/>
              <w:spacing w:before="53"/>
              <w:ind w:right="73"/>
              <w:rPr>
                <w:sz w:val="16"/>
              </w:rPr>
            </w:pPr>
            <w:r>
              <w:rPr>
                <w:w w:val="54"/>
                <w:sz w:val="16"/>
              </w:rPr>
              <w:t>1</w:t>
            </w:r>
            <w:r>
              <w:rPr>
                <w:spacing w:val="4"/>
                <w:w w:val="91"/>
                <w:sz w:val="16"/>
              </w:rPr>
              <w:t>7</w:t>
            </w:r>
            <w:r>
              <w:rPr>
                <w:spacing w:val="-9"/>
                <w:w w:val="83"/>
                <w:sz w:val="16"/>
              </w:rPr>
              <w:t>7</w:t>
            </w:r>
            <w:r>
              <w:rPr>
                <w:spacing w:val="2"/>
                <w:w w:val="83"/>
                <w:sz w:val="16"/>
              </w:rPr>
              <w:t>,</w:t>
            </w:r>
            <w:r>
              <w:rPr>
                <w:spacing w:val="4"/>
                <w:w w:val="103"/>
                <w:sz w:val="16"/>
              </w:rPr>
              <w:t>4</w:t>
            </w:r>
            <w:r>
              <w:rPr>
                <w:spacing w:val="4"/>
                <w:w w:val="111"/>
                <w:sz w:val="16"/>
              </w:rPr>
              <w:t>0</w:t>
            </w:r>
            <w:r>
              <w:rPr>
                <w:w w:val="111"/>
                <w:sz w:val="16"/>
              </w:rPr>
              <w:t>0</w:t>
            </w:r>
          </w:p>
        </w:tc>
        <w:tc>
          <w:tcPr>
            <w:tcW w:w="4932" w:type="dxa"/>
            <w:shd w:val="clear" w:color="auto" w:fill="E9E9E9"/>
          </w:tcPr>
          <w:p>
            <w:pPr>
              <w:pStyle w:val="TableParagraph"/>
              <w:spacing w:before="53"/>
              <w:ind w:left="74"/>
              <w:jc w:val="left"/>
              <w:rPr>
                <w:sz w:val="16"/>
              </w:rPr>
            </w:pPr>
            <w:r>
              <w:rPr>
                <w:sz w:val="16"/>
              </w:rPr>
              <w:t>Be All In Program Delivery</w:t>
            </w:r>
          </w:p>
        </w:tc>
      </w:tr>
      <w:tr>
        <w:trPr>
          <w:trHeight w:val="286" w:hRule="exact"/>
        </w:trPr>
        <w:tc>
          <w:tcPr>
            <w:tcW w:w="3969" w:type="dxa"/>
            <w:shd w:val="clear" w:color="auto" w:fill="E9E9E9"/>
          </w:tcPr>
          <w:p>
            <w:pPr>
              <w:pStyle w:val="TableParagraph"/>
              <w:spacing w:before="53"/>
              <w:ind w:left="74"/>
              <w:jc w:val="left"/>
              <w:rPr>
                <w:sz w:val="16"/>
              </w:rPr>
            </w:pPr>
            <w:r>
              <w:rPr>
                <w:sz w:val="16"/>
              </w:rPr>
              <w:t>Western Sydney Football Club Ltd</w:t>
            </w:r>
          </w:p>
        </w:tc>
        <w:tc>
          <w:tcPr>
            <w:tcW w:w="1186" w:type="dxa"/>
            <w:shd w:val="clear" w:color="auto" w:fill="E9E9E9"/>
          </w:tcPr>
          <w:p>
            <w:pPr>
              <w:pStyle w:val="TableParagraph"/>
              <w:spacing w:before="53"/>
              <w:ind w:right="68"/>
              <w:rPr>
                <w:sz w:val="16"/>
              </w:rPr>
            </w:pPr>
            <w:r>
              <w:rPr>
                <w:spacing w:val="2"/>
                <w:w w:val="54"/>
                <w:sz w:val="16"/>
              </w:rPr>
              <w:t>1</w:t>
            </w:r>
            <w:r>
              <w:rPr>
                <w:spacing w:val="3"/>
                <w:w w:val="95"/>
                <w:sz w:val="16"/>
              </w:rPr>
              <w:t>5</w:t>
            </w:r>
            <w:r>
              <w:rPr>
                <w:spacing w:val="2"/>
                <w:w w:val="111"/>
                <w:sz w:val="16"/>
              </w:rPr>
              <w:t>0</w:t>
            </w:r>
            <w:r>
              <w:rPr>
                <w:spacing w:val="1"/>
                <w:w w:val="68"/>
                <w:sz w:val="16"/>
              </w:rPr>
              <w:t>,</w:t>
            </w:r>
            <w:r>
              <w:rPr>
                <w:spacing w:val="4"/>
                <w:w w:val="111"/>
                <w:sz w:val="16"/>
              </w:rPr>
              <w:t>000</w:t>
            </w:r>
          </w:p>
        </w:tc>
        <w:tc>
          <w:tcPr>
            <w:tcW w:w="4932" w:type="dxa"/>
            <w:shd w:val="clear" w:color="auto" w:fill="E9E9E9"/>
          </w:tcPr>
          <w:p>
            <w:pPr>
              <w:pStyle w:val="TableParagraph"/>
              <w:spacing w:before="53"/>
              <w:ind w:left="74"/>
              <w:jc w:val="left"/>
              <w:rPr>
                <w:sz w:val="16"/>
              </w:rPr>
            </w:pPr>
            <w:r>
              <w:rPr>
                <w:sz w:val="16"/>
              </w:rPr>
              <w:t>Intensive Mentoring Program for Low SES</w:t>
            </w:r>
          </w:p>
        </w:tc>
      </w:tr>
    </w:tbl>
    <w:p>
      <w:pPr>
        <w:spacing w:after="0"/>
        <w:jc w:val="left"/>
        <w:rPr>
          <w:sz w:val="16"/>
        </w:rPr>
        <w:sectPr>
          <w:pgSz w:w="11910" w:h="16840"/>
          <w:pgMar w:header="496" w:footer="472" w:top="680" w:bottom="660" w:left="580" w:right="580"/>
        </w:sectPr>
      </w:pPr>
    </w:p>
    <w:p>
      <w:pPr>
        <w:pStyle w:val="BodyText"/>
        <w:spacing w:before="8"/>
        <w:rPr>
          <w:rFonts w:ascii="Gotham Narrow Bold"/>
          <w:b/>
          <w:sz w:val="28"/>
        </w:rPr>
      </w:pPr>
      <w:r>
        <w:rPr/>
        <w:pict>
          <v:rect style="position:absolute;margin-left:34.015999pt;margin-top:45.355015pt;width:527.244pt;height:751.181pt;mso-position-horizontal-relative:page;mso-position-vertical-relative:page;z-index:-334648" filled="true" fillcolor="#e9e9e9" stroked="false">
            <v:fill type="solid"/>
            <w10:wrap type="none"/>
          </v:rect>
        </w:pict>
      </w:r>
    </w:p>
    <w:p>
      <w:pPr>
        <w:spacing w:before="30"/>
        <w:ind w:left="327" w:right="7611" w:firstLine="0"/>
        <w:jc w:val="left"/>
        <w:rPr>
          <w:rFonts w:ascii="Gotham Narrow Bold"/>
          <w:b/>
          <w:sz w:val="40"/>
        </w:rPr>
      </w:pPr>
      <w:r>
        <w:rPr>
          <w:rFonts w:ascii="Gotham Narrow Bold"/>
          <w:b/>
          <w:w w:val="95"/>
          <w:sz w:val="40"/>
        </w:rPr>
        <w:t>APPENDIX 9</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14"/>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969"/>
        <w:gridCol w:w="1186"/>
        <w:gridCol w:w="4932"/>
      </w:tblGrid>
      <w:tr>
        <w:trPr>
          <w:trHeight w:val="286" w:hRule="exact"/>
        </w:trPr>
        <w:tc>
          <w:tcPr>
            <w:tcW w:w="3969" w:type="dxa"/>
            <w:tcBorders>
              <w:top w:val="nil"/>
              <w:left w:val="nil"/>
              <w:bottom w:val="nil"/>
              <w:right w:val="single" w:sz="4" w:space="0" w:color="FFFFFF"/>
            </w:tcBorders>
            <w:shd w:val="clear" w:color="auto" w:fill="949290"/>
          </w:tcPr>
          <w:p>
            <w:pPr>
              <w:pStyle w:val="TableParagraph"/>
              <w:spacing w:before="64"/>
              <w:ind w:left="80"/>
              <w:jc w:val="left"/>
              <w:rPr>
                <w:rFonts w:ascii="Gotham Narrow Bold"/>
                <w:b/>
                <w:sz w:val="16"/>
              </w:rPr>
            </w:pPr>
            <w:r>
              <w:rPr>
                <w:rFonts w:ascii="Gotham Narrow Bold"/>
                <w:b/>
                <w:color w:val="FFFFFF"/>
                <w:sz w:val="16"/>
              </w:rPr>
              <w:t>CONSULTANT</w:t>
            </w:r>
          </w:p>
        </w:tc>
        <w:tc>
          <w:tcPr>
            <w:tcW w:w="1186" w:type="dxa"/>
            <w:tcBorders>
              <w:top w:val="nil"/>
              <w:left w:val="single" w:sz="4" w:space="0" w:color="FFFFFF"/>
              <w:bottom w:val="nil"/>
              <w:right w:val="single" w:sz="4" w:space="0" w:color="FFFFFF"/>
            </w:tcBorders>
            <w:shd w:val="clear" w:color="auto" w:fill="949290"/>
          </w:tcPr>
          <w:p>
            <w:pPr>
              <w:pStyle w:val="TableParagraph"/>
              <w:spacing w:before="64"/>
              <w:ind w:right="73"/>
              <w:rPr>
                <w:rFonts w:ascii="Gotham Narrow Bold"/>
                <w:b/>
                <w:sz w:val="16"/>
              </w:rPr>
            </w:pPr>
            <w:r>
              <w:rPr>
                <w:rFonts w:ascii="Gotham Narrow Bold"/>
                <w:b/>
                <w:color w:val="FFFFFF"/>
                <w:sz w:val="16"/>
              </w:rPr>
              <w:t>COST $</w:t>
            </w:r>
          </w:p>
        </w:tc>
        <w:tc>
          <w:tcPr>
            <w:tcW w:w="4932" w:type="dxa"/>
            <w:tcBorders>
              <w:top w:val="nil"/>
              <w:left w:val="single" w:sz="4" w:space="0" w:color="FFFFFF"/>
              <w:bottom w:val="nil"/>
              <w:right w:val="nil"/>
            </w:tcBorders>
            <w:shd w:val="clear" w:color="auto" w:fill="949290"/>
          </w:tcPr>
          <w:p>
            <w:pPr>
              <w:pStyle w:val="TableParagraph"/>
              <w:spacing w:before="64"/>
              <w:ind w:left="74"/>
              <w:jc w:val="left"/>
              <w:rPr>
                <w:rFonts w:ascii="Gotham Narrow Bold"/>
                <w:b/>
                <w:sz w:val="16"/>
              </w:rPr>
            </w:pPr>
            <w:r>
              <w:rPr>
                <w:rFonts w:ascii="Gotham Narrow Bold"/>
                <w:b/>
                <w:color w:val="FFFFFF"/>
                <w:w w:val="95"/>
                <w:sz w:val="16"/>
              </w:rPr>
              <w:t>TITLE AND NATURE OF CONSULTANCY</w:t>
            </w:r>
          </w:p>
        </w:tc>
      </w:tr>
      <w:tr>
        <w:trPr>
          <w:trHeight w:val="286" w:hRule="exact"/>
        </w:trPr>
        <w:tc>
          <w:tcPr>
            <w:tcW w:w="3969" w:type="dxa"/>
            <w:tcBorders>
              <w:top w:val="nil"/>
            </w:tcBorders>
            <w:shd w:val="clear" w:color="auto" w:fill="E9E9E9"/>
          </w:tcPr>
          <w:p>
            <w:pPr>
              <w:pStyle w:val="TableParagraph"/>
              <w:spacing w:before="57"/>
              <w:ind w:left="74"/>
              <w:jc w:val="left"/>
              <w:rPr>
                <w:sz w:val="16"/>
              </w:rPr>
            </w:pPr>
            <w:r>
              <w:rPr>
                <w:sz w:val="16"/>
              </w:rPr>
              <w:t>The Trustee For Sagacity Consulting Group Trust</w:t>
            </w:r>
          </w:p>
        </w:tc>
        <w:tc>
          <w:tcPr>
            <w:tcW w:w="1186" w:type="dxa"/>
            <w:tcBorders>
              <w:top w:val="nil"/>
            </w:tcBorders>
            <w:shd w:val="clear" w:color="auto" w:fill="E9E9E9"/>
          </w:tcPr>
          <w:p>
            <w:pPr>
              <w:pStyle w:val="TableParagraph"/>
              <w:spacing w:before="57"/>
              <w:ind w:right="68"/>
              <w:rPr>
                <w:sz w:val="16"/>
              </w:rPr>
            </w:pPr>
            <w:r>
              <w:rPr>
                <w:spacing w:val="2"/>
                <w:w w:val="54"/>
                <w:sz w:val="16"/>
              </w:rPr>
              <w:t>1</w:t>
            </w:r>
            <w:r>
              <w:rPr>
                <w:spacing w:val="3"/>
                <w:w w:val="95"/>
                <w:sz w:val="16"/>
              </w:rPr>
              <w:t>5</w:t>
            </w:r>
            <w:r>
              <w:rPr>
                <w:spacing w:val="2"/>
                <w:w w:val="111"/>
                <w:sz w:val="16"/>
              </w:rPr>
              <w:t>0</w:t>
            </w:r>
            <w:r>
              <w:rPr>
                <w:spacing w:val="1"/>
                <w:w w:val="68"/>
                <w:sz w:val="16"/>
              </w:rPr>
              <w:t>,</w:t>
            </w:r>
            <w:r>
              <w:rPr>
                <w:spacing w:val="4"/>
                <w:w w:val="111"/>
                <w:sz w:val="16"/>
              </w:rPr>
              <w:t>000</w:t>
            </w:r>
          </w:p>
        </w:tc>
        <w:tc>
          <w:tcPr>
            <w:tcW w:w="4932" w:type="dxa"/>
            <w:tcBorders>
              <w:top w:val="nil"/>
            </w:tcBorders>
            <w:shd w:val="clear" w:color="auto" w:fill="E9E9E9"/>
          </w:tcPr>
          <w:p>
            <w:pPr>
              <w:pStyle w:val="TableParagraph"/>
              <w:spacing w:before="57"/>
              <w:ind w:left="74"/>
              <w:jc w:val="left"/>
              <w:rPr>
                <w:sz w:val="16"/>
              </w:rPr>
            </w:pPr>
            <w:r>
              <w:rPr>
                <w:sz w:val="16"/>
              </w:rPr>
              <w:t>Early Offer Program</w:t>
            </w:r>
          </w:p>
        </w:tc>
      </w:tr>
      <w:tr>
        <w:trPr>
          <w:trHeight w:val="286" w:hRule="exact"/>
        </w:trPr>
        <w:tc>
          <w:tcPr>
            <w:tcW w:w="3969" w:type="dxa"/>
            <w:shd w:val="clear" w:color="auto" w:fill="E9E9E9"/>
          </w:tcPr>
          <w:p>
            <w:pPr>
              <w:pStyle w:val="TableParagraph"/>
              <w:spacing w:before="52"/>
              <w:ind w:left="74"/>
              <w:jc w:val="left"/>
              <w:rPr>
                <w:sz w:val="16"/>
              </w:rPr>
            </w:pPr>
            <w:r>
              <w:rPr>
                <w:sz w:val="16"/>
              </w:rPr>
              <w:t>J.P. Morgan Australia Ltd</w:t>
            </w:r>
          </w:p>
        </w:tc>
        <w:tc>
          <w:tcPr>
            <w:tcW w:w="1186" w:type="dxa"/>
            <w:shd w:val="clear" w:color="auto" w:fill="E9E9E9"/>
          </w:tcPr>
          <w:p>
            <w:pPr>
              <w:pStyle w:val="TableParagraph"/>
              <w:spacing w:before="52"/>
              <w:ind w:right="68"/>
              <w:rPr>
                <w:sz w:val="16"/>
              </w:rPr>
            </w:pPr>
            <w:r>
              <w:rPr>
                <w:spacing w:val="2"/>
                <w:w w:val="54"/>
                <w:sz w:val="16"/>
              </w:rPr>
              <w:t>1</w:t>
            </w:r>
            <w:r>
              <w:rPr>
                <w:spacing w:val="3"/>
                <w:w w:val="95"/>
                <w:sz w:val="16"/>
              </w:rPr>
              <w:t>5</w:t>
            </w:r>
            <w:r>
              <w:rPr>
                <w:spacing w:val="2"/>
                <w:w w:val="111"/>
                <w:sz w:val="16"/>
              </w:rPr>
              <w:t>0</w:t>
            </w:r>
            <w:r>
              <w:rPr>
                <w:spacing w:val="1"/>
                <w:w w:val="68"/>
                <w:sz w:val="16"/>
              </w:rPr>
              <w:t>,</w:t>
            </w:r>
            <w:r>
              <w:rPr>
                <w:spacing w:val="4"/>
                <w:w w:val="111"/>
                <w:sz w:val="16"/>
              </w:rPr>
              <w:t>000</w:t>
            </w:r>
          </w:p>
        </w:tc>
        <w:tc>
          <w:tcPr>
            <w:tcW w:w="4932" w:type="dxa"/>
            <w:shd w:val="clear" w:color="auto" w:fill="E9E9E9"/>
          </w:tcPr>
          <w:p>
            <w:pPr>
              <w:pStyle w:val="TableParagraph"/>
              <w:spacing w:before="52"/>
              <w:ind w:left="74"/>
              <w:jc w:val="left"/>
              <w:rPr>
                <w:sz w:val="16"/>
              </w:rPr>
            </w:pPr>
            <w:r>
              <w:rPr>
                <w:sz w:val="16"/>
              </w:rPr>
              <w:t>Project Patagonia</w:t>
            </w:r>
          </w:p>
        </w:tc>
      </w:tr>
      <w:tr>
        <w:trPr>
          <w:trHeight w:val="286" w:hRule="exact"/>
        </w:trPr>
        <w:tc>
          <w:tcPr>
            <w:tcW w:w="3969" w:type="dxa"/>
            <w:shd w:val="clear" w:color="auto" w:fill="E9E9E9"/>
          </w:tcPr>
          <w:p>
            <w:pPr>
              <w:pStyle w:val="TableParagraph"/>
              <w:spacing w:before="52"/>
              <w:ind w:left="74"/>
              <w:jc w:val="left"/>
              <w:rPr>
                <w:sz w:val="16"/>
              </w:rPr>
            </w:pPr>
            <w:r>
              <w:rPr>
                <w:sz w:val="16"/>
              </w:rPr>
              <w:t>Woods Bagot Pty Ltd</w:t>
            </w:r>
          </w:p>
        </w:tc>
        <w:tc>
          <w:tcPr>
            <w:tcW w:w="1186" w:type="dxa"/>
            <w:shd w:val="clear" w:color="auto" w:fill="E9E9E9"/>
          </w:tcPr>
          <w:p>
            <w:pPr>
              <w:pStyle w:val="TableParagraph"/>
              <w:spacing w:before="52"/>
              <w:ind w:right="73"/>
              <w:rPr>
                <w:sz w:val="16"/>
              </w:rPr>
            </w:pPr>
            <w:r>
              <w:rPr>
                <w:w w:val="90"/>
                <w:sz w:val="16"/>
              </w:rPr>
              <w:t>143,729</w:t>
            </w:r>
          </w:p>
        </w:tc>
        <w:tc>
          <w:tcPr>
            <w:tcW w:w="4932" w:type="dxa"/>
            <w:shd w:val="clear" w:color="auto" w:fill="E9E9E9"/>
          </w:tcPr>
          <w:p>
            <w:pPr>
              <w:pStyle w:val="TableParagraph"/>
              <w:spacing w:before="52"/>
              <w:ind w:left="74"/>
              <w:jc w:val="left"/>
              <w:rPr>
                <w:sz w:val="16"/>
              </w:rPr>
            </w:pPr>
            <w:r>
              <w:rPr>
                <w:sz w:val="16"/>
              </w:rPr>
              <w:t>Parramatta CBD Project</w:t>
            </w:r>
          </w:p>
        </w:tc>
      </w:tr>
      <w:tr>
        <w:trPr>
          <w:trHeight w:val="286" w:hRule="exact"/>
        </w:trPr>
        <w:tc>
          <w:tcPr>
            <w:tcW w:w="3969" w:type="dxa"/>
            <w:shd w:val="clear" w:color="auto" w:fill="E9E9E9"/>
          </w:tcPr>
          <w:p>
            <w:pPr>
              <w:pStyle w:val="TableParagraph"/>
              <w:spacing w:before="52"/>
              <w:ind w:left="74"/>
              <w:jc w:val="left"/>
              <w:rPr>
                <w:sz w:val="16"/>
              </w:rPr>
            </w:pPr>
            <w:r>
              <w:rPr>
                <w:sz w:val="16"/>
              </w:rPr>
              <w:t>Gibber Australia Pty Ltd</w:t>
            </w:r>
          </w:p>
        </w:tc>
        <w:tc>
          <w:tcPr>
            <w:tcW w:w="1186" w:type="dxa"/>
            <w:shd w:val="clear" w:color="auto" w:fill="E9E9E9"/>
          </w:tcPr>
          <w:p>
            <w:pPr>
              <w:pStyle w:val="TableParagraph"/>
              <w:spacing w:before="52"/>
              <w:ind w:right="73"/>
              <w:rPr>
                <w:sz w:val="16"/>
              </w:rPr>
            </w:pPr>
            <w:r>
              <w:rPr>
                <w:w w:val="95"/>
                <w:sz w:val="16"/>
              </w:rPr>
              <w:t>140,000</w:t>
            </w:r>
          </w:p>
        </w:tc>
        <w:tc>
          <w:tcPr>
            <w:tcW w:w="4932" w:type="dxa"/>
            <w:shd w:val="clear" w:color="auto" w:fill="E9E9E9"/>
          </w:tcPr>
          <w:p>
            <w:pPr>
              <w:pStyle w:val="TableParagraph"/>
              <w:spacing w:before="52"/>
              <w:ind w:left="74"/>
              <w:jc w:val="left"/>
              <w:rPr>
                <w:sz w:val="16"/>
              </w:rPr>
            </w:pPr>
            <w:r>
              <w:rPr>
                <w:sz w:val="16"/>
              </w:rPr>
              <w:t>Educational Opportunities Program</w:t>
            </w:r>
          </w:p>
        </w:tc>
      </w:tr>
      <w:tr>
        <w:trPr>
          <w:trHeight w:val="286" w:hRule="exact"/>
        </w:trPr>
        <w:tc>
          <w:tcPr>
            <w:tcW w:w="3969" w:type="dxa"/>
            <w:shd w:val="clear" w:color="auto" w:fill="E9E9E9"/>
          </w:tcPr>
          <w:p>
            <w:pPr>
              <w:pStyle w:val="TableParagraph"/>
              <w:spacing w:before="52"/>
              <w:ind w:left="74"/>
              <w:jc w:val="left"/>
              <w:rPr>
                <w:sz w:val="16"/>
              </w:rPr>
            </w:pPr>
            <w:r>
              <w:rPr>
                <w:sz w:val="16"/>
              </w:rPr>
              <w:t>Hobsons Australia Pty Ltd</w:t>
            </w:r>
          </w:p>
        </w:tc>
        <w:tc>
          <w:tcPr>
            <w:tcW w:w="1186" w:type="dxa"/>
            <w:shd w:val="clear" w:color="auto" w:fill="E9E9E9"/>
          </w:tcPr>
          <w:p>
            <w:pPr>
              <w:pStyle w:val="TableParagraph"/>
              <w:spacing w:before="52"/>
              <w:ind w:right="73"/>
              <w:rPr>
                <w:sz w:val="16"/>
              </w:rPr>
            </w:pPr>
            <w:r>
              <w:rPr>
                <w:spacing w:val="2"/>
                <w:w w:val="54"/>
                <w:sz w:val="16"/>
              </w:rPr>
              <w:t>1</w:t>
            </w:r>
            <w:r>
              <w:rPr>
                <w:spacing w:val="5"/>
                <w:w w:val="94"/>
                <w:sz w:val="16"/>
              </w:rPr>
              <w:t>3</w:t>
            </w:r>
            <w:r>
              <w:rPr>
                <w:spacing w:val="4"/>
                <w:w w:val="54"/>
                <w:sz w:val="16"/>
              </w:rPr>
              <w:t>1</w:t>
            </w:r>
            <w:r>
              <w:rPr>
                <w:spacing w:val="6"/>
                <w:w w:val="68"/>
                <w:sz w:val="16"/>
              </w:rPr>
              <w:t>,</w:t>
            </w:r>
            <w:r>
              <w:rPr>
                <w:spacing w:val="2"/>
                <w:w w:val="93"/>
                <w:sz w:val="16"/>
              </w:rPr>
              <w:t>2</w:t>
            </w:r>
            <w:r>
              <w:rPr>
                <w:spacing w:val="4"/>
                <w:w w:val="98"/>
                <w:sz w:val="16"/>
              </w:rPr>
              <w:t>8</w:t>
            </w:r>
            <w:r>
              <w:rPr>
                <w:w w:val="111"/>
                <w:sz w:val="16"/>
              </w:rPr>
              <w:t>0</w:t>
            </w:r>
          </w:p>
        </w:tc>
        <w:tc>
          <w:tcPr>
            <w:tcW w:w="4932" w:type="dxa"/>
            <w:shd w:val="clear" w:color="auto" w:fill="E9E9E9"/>
          </w:tcPr>
          <w:p>
            <w:pPr>
              <w:pStyle w:val="TableParagraph"/>
              <w:spacing w:before="52"/>
              <w:ind w:left="74"/>
              <w:jc w:val="left"/>
              <w:rPr>
                <w:sz w:val="16"/>
              </w:rPr>
            </w:pPr>
            <w:r>
              <w:rPr>
                <w:sz w:val="16"/>
              </w:rPr>
              <w:t>Digital</w:t>
            </w:r>
            <w:r>
              <w:rPr>
                <w:spacing w:val="-21"/>
                <w:sz w:val="16"/>
              </w:rPr>
              <w:t> </w:t>
            </w:r>
            <w:r>
              <w:rPr>
                <w:sz w:val="16"/>
              </w:rPr>
              <w:t>Lead</w:t>
            </w:r>
            <w:r>
              <w:rPr>
                <w:spacing w:val="-21"/>
                <w:sz w:val="16"/>
              </w:rPr>
              <w:t> </w:t>
            </w:r>
            <w:r>
              <w:rPr>
                <w:sz w:val="16"/>
              </w:rPr>
              <w:t>Generation</w:t>
            </w:r>
            <w:r>
              <w:rPr>
                <w:spacing w:val="-21"/>
                <w:sz w:val="16"/>
              </w:rPr>
              <w:t> </w:t>
            </w:r>
            <w:r>
              <w:rPr>
                <w:sz w:val="16"/>
              </w:rPr>
              <w:t>Strategy</w:t>
            </w:r>
            <w:r>
              <w:rPr>
                <w:spacing w:val="-21"/>
                <w:sz w:val="16"/>
              </w:rPr>
              <w:t> </w:t>
            </w:r>
            <w:r>
              <w:rPr>
                <w:sz w:val="16"/>
              </w:rPr>
              <w:t>–</w:t>
            </w:r>
            <w:r>
              <w:rPr>
                <w:spacing w:val="-21"/>
                <w:sz w:val="16"/>
              </w:rPr>
              <w:t> </w:t>
            </w:r>
            <w:r>
              <w:rPr>
                <w:sz w:val="16"/>
              </w:rPr>
              <w:t>International</w:t>
            </w:r>
            <w:r>
              <w:rPr>
                <w:spacing w:val="-21"/>
                <w:sz w:val="16"/>
              </w:rPr>
              <w:t> </w:t>
            </w:r>
            <w:r>
              <w:rPr>
                <w:sz w:val="16"/>
              </w:rPr>
              <w:t>Student</w:t>
            </w:r>
            <w:r>
              <w:rPr>
                <w:spacing w:val="-21"/>
                <w:sz w:val="16"/>
              </w:rPr>
              <w:t> </w:t>
            </w:r>
            <w:r>
              <w:rPr>
                <w:sz w:val="16"/>
              </w:rPr>
              <w:t>Recruitment</w:t>
            </w:r>
          </w:p>
        </w:tc>
      </w:tr>
      <w:tr>
        <w:trPr>
          <w:trHeight w:val="286" w:hRule="exact"/>
        </w:trPr>
        <w:tc>
          <w:tcPr>
            <w:tcW w:w="3969" w:type="dxa"/>
            <w:shd w:val="clear" w:color="auto" w:fill="E9E9E9"/>
          </w:tcPr>
          <w:p>
            <w:pPr>
              <w:pStyle w:val="TableParagraph"/>
              <w:spacing w:before="52"/>
              <w:ind w:left="74"/>
              <w:jc w:val="left"/>
              <w:rPr>
                <w:sz w:val="16"/>
              </w:rPr>
            </w:pPr>
            <w:r>
              <w:rPr>
                <w:sz w:val="16"/>
              </w:rPr>
              <w:t>Fayshell Pty Ltd</w:t>
            </w:r>
          </w:p>
        </w:tc>
        <w:tc>
          <w:tcPr>
            <w:tcW w:w="1186" w:type="dxa"/>
            <w:shd w:val="clear" w:color="auto" w:fill="E9E9E9"/>
          </w:tcPr>
          <w:p>
            <w:pPr>
              <w:pStyle w:val="TableParagraph"/>
              <w:spacing w:before="52"/>
              <w:ind w:right="70"/>
              <w:rPr>
                <w:sz w:val="16"/>
              </w:rPr>
            </w:pPr>
            <w:r>
              <w:rPr>
                <w:w w:val="80"/>
                <w:sz w:val="16"/>
              </w:rPr>
              <w:t>114,825</w:t>
            </w:r>
          </w:p>
        </w:tc>
        <w:tc>
          <w:tcPr>
            <w:tcW w:w="4932" w:type="dxa"/>
            <w:shd w:val="clear" w:color="auto" w:fill="E9E9E9"/>
          </w:tcPr>
          <w:p>
            <w:pPr>
              <w:pStyle w:val="TableParagraph"/>
              <w:spacing w:before="52"/>
              <w:ind w:left="74"/>
              <w:jc w:val="left"/>
              <w:rPr>
                <w:sz w:val="16"/>
              </w:rPr>
            </w:pPr>
            <w:r>
              <w:rPr>
                <w:sz w:val="16"/>
              </w:rPr>
              <w:t>Parramatta CBD Project</w:t>
            </w:r>
          </w:p>
        </w:tc>
      </w:tr>
      <w:tr>
        <w:trPr>
          <w:trHeight w:val="286" w:hRule="exact"/>
        </w:trPr>
        <w:tc>
          <w:tcPr>
            <w:tcW w:w="3969" w:type="dxa"/>
            <w:shd w:val="clear" w:color="auto" w:fill="E9E9E9"/>
          </w:tcPr>
          <w:p>
            <w:pPr>
              <w:pStyle w:val="TableParagraph"/>
              <w:spacing w:before="53"/>
              <w:ind w:left="74"/>
              <w:jc w:val="left"/>
              <w:rPr>
                <w:sz w:val="16"/>
              </w:rPr>
            </w:pPr>
            <w:r>
              <w:rPr>
                <w:sz w:val="16"/>
              </w:rPr>
              <w:t>One Green Bean Pty Ltd</w:t>
            </w:r>
          </w:p>
        </w:tc>
        <w:tc>
          <w:tcPr>
            <w:tcW w:w="1186" w:type="dxa"/>
            <w:shd w:val="clear" w:color="auto" w:fill="E9E9E9"/>
          </w:tcPr>
          <w:p>
            <w:pPr>
              <w:pStyle w:val="TableParagraph"/>
              <w:spacing w:before="53"/>
              <w:ind w:right="68"/>
              <w:rPr>
                <w:sz w:val="16"/>
              </w:rPr>
            </w:pPr>
            <w:r>
              <w:rPr>
                <w:spacing w:val="4"/>
                <w:w w:val="54"/>
                <w:sz w:val="16"/>
              </w:rPr>
              <w:t>1</w:t>
            </w:r>
            <w:r>
              <w:rPr>
                <w:spacing w:val="4"/>
                <w:w w:val="111"/>
                <w:sz w:val="16"/>
              </w:rPr>
              <w:t>0</w:t>
            </w:r>
            <w:r>
              <w:rPr>
                <w:spacing w:val="2"/>
                <w:w w:val="111"/>
                <w:sz w:val="16"/>
              </w:rPr>
              <w:t>0</w:t>
            </w:r>
            <w:r>
              <w:rPr>
                <w:spacing w:val="1"/>
                <w:w w:val="68"/>
                <w:sz w:val="16"/>
              </w:rPr>
              <w:t>,</w:t>
            </w:r>
            <w:r>
              <w:rPr>
                <w:spacing w:val="4"/>
                <w:w w:val="111"/>
                <w:sz w:val="16"/>
              </w:rPr>
              <w:t>000</w:t>
            </w:r>
          </w:p>
        </w:tc>
        <w:tc>
          <w:tcPr>
            <w:tcW w:w="4932" w:type="dxa"/>
            <w:shd w:val="clear" w:color="auto" w:fill="E9E9E9"/>
          </w:tcPr>
          <w:p>
            <w:pPr>
              <w:pStyle w:val="TableParagraph"/>
              <w:spacing w:before="53"/>
              <w:ind w:left="74"/>
              <w:jc w:val="left"/>
              <w:rPr>
                <w:sz w:val="16"/>
              </w:rPr>
            </w:pPr>
            <w:r>
              <w:rPr>
                <w:sz w:val="16"/>
              </w:rPr>
              <w:t>Public Relation Services to Support OMC</w:t>
            </w:r>
          </w:p>
        </w:tc>
      </w:tr>
      <w:tr>
        <w:trPr>
          <w:trHeight w:val="286" w:hRule="exact"/>
        </w:trPr>
        <w:tc>
          <w:tcPr>
            <w:tcW w:w="3969" w:type="dxa"/>
            <w:shd w:val="clear" w:color="auto" w:fill="E9E9E9"/>
          </w:tcPr>
          <w:p>
            <w:pPr>
              <w:pStyle w:val="TableParagraph"/>
              <w:spacing w:before="53"/>
              <w:ind w:left="74"/>
              <w:jc w:val="left"/>
              <w:rPr>
                <w:sz w:val="16"/>
              </w:rPr>
            </w:pPr>
            <w:r>
              <w:rPr>
                <w:sz w:val="16"/>
              </w:rPr>
              <w:t>Qualtrics LLC</w:t>
            </w:r>
          </w:p>
        </w:tc>
        <w:tc>
          <w:tcPr>
            <w:tcW w:w="1186" w:type="dxa"/>
            <w:shd w:val="clear" w:color="auto" w:fill="E9E9E9"/>
          </w:tcPr>
          <w:p>
            <w:pPr>
              <w:pStyle w:val="TableParagraph"/>
              <w:spacing w:before="53"/>
              <w:ind w:right="68"/>
              <w:rPr>
                <w:sz w:val="16"/>
              </w:rPr>
            </w:pPr>
            <w:r>
              <w:rPr>
                <w:sz w:val="16"/>
              </w:rPr>
              <w:t>99,900</w:t>
            </w:r>
          </w:p>
        </w:tc>
        <w:tc>
          <w:tcPr>
            <w:tcW w:w="4932" w:type="dxa"/>
            <w:shd w:val="clear" w:color="auto" w:fill="E9E9E9"/>
          </w:tcPr>
          <w:p>
            <w:pPr>
              <w:pStyle w:val="TableParagraph"/>
              <w:spacing w:before="53"/>
              <w:ind w:left="74"/>
              <w:jc w:val="left"/>
              <w:rPr>
                <w:sz w:val="16"/>
              </w:rPr>
            </w:pPr>
            <w:r>
              <w:rPr>
                <w:sz w:val="16"/>
              </w:rPr>
              <w:t>Survey Data Collection Platform SFT/SFU</w:t>
            </w:r>
          </w:p>
        </w:tc>
      </w:tr>
      <w:tr>
        <w:trPr>
          <w:trHeight w:val="286" w:hRule="exact"/>
        </w:trPr>
        <w:tc>
          <w:tcPr>
            <w:tcW w:w="3969" w:type="dxa"/>
            <w:shd w:val="clear" w:color="auto" w:fill="E9E9E9"/>
          </w:tcPr>
          <w:p>
            <w:pPr>
              <w:pStyle w:val="TableParagraph"/>
              <w:spacing w:before="53"/>
              <w:ind w:left="74"/>
              <w:jc w:val="left"/>
              <w:rPr>
                <w:sz w:val="16"/>
              </w:rPr>
            </w:pPr>
            <w:r>
              <w:rPr>
                <w:sz w:val="16"/>
              </w:rPr>
              <w:t>Clayton Utz</w:t>
            </w:r>
          </w:p>
        </w:tc>
        <w:tc>
          <w:tcPr>
            <w:tcW w:w="1186" w:type="dxa"/>
            <w:shd w:val="clear" w:color="auto" w:fill="E9E9E9"/>
          </w:tcPr>
          <w:p>
            <w:pPr>
              <w:pStyle w:val="TableParagraph"/>
              <w:spacing w:before="53"/>
              <w:ind w:right="73"/>
              <w:rPr>
                <w:sz w:val="16"/>
              </w:rPr>
            </w:pPr>
            <w:r>
              <w:rPr>
                <w:w w:val="95"/>
                <w:sz w:val="16"/>
              </w:rPr>
              <w:t>94,759</w:t>
            </w:r>
          </w:p>
        </w:tc>
        <w:tc>
          <w:tcPr>
            <w:tcW w:w="4932" w:type="dxa"/>
            <w:shd w:val="clear" w:color="auto" w:fill="E9E9E9"/>
          </w:tcPr>
          <w:p>
            <w:pPr>
              <w:pStyle w:val="TableParagraph"/>
              <w:spacing w:before="53"/>
              <w:ind w:left="74"/>
              <w:jc w:val="left"/>
              <w:rPr>
                <w:sz w:val="16"/>
              </w:rPr>
            </w:pPr>
            <w:r>
              <w:rPr>
                <w:sz w:val="16"/>
              </w:rPr>
              <w:t>Enterprise Agreement</w:t>
            </w:r>
          </w:p>
        </w:tc>
      </w:tr>
      <w:tr>
        <w:trPr>
          <w:trHeight w:val="286" w:hRule="exact"/>
        </w:trPr>
        <w:tc>
          <w:tcPr>
            <w:tcW w:w="3969" w:type="dxa"/>
            <w:shd w:val="clear" w:color="auto" w:fill="E9E9E9"/>
          </w:tcPr>
          <w:p>
            <w:pPr>
              <w:pStyle w:val="TableParagraph"/>
              <w:spacing w:before="53"/>
              <w:ind w:left="74"/>
              <w:jc w:val="left"/>
              <w:rPr>
                <w:sz w:val="16"/>
              </w:rPr>
            </w:pPr>
            <w:r>
              <w:rPr>
                <w:sz w:val="16"/>
              </w:rPr>
              <w:t>The Trustee For Deloitte Consulting Trust</w:t>
            </w:r>
          </w:p>
        </w:tc>
        <w:tc>
          <w:tcPr>
            <w:tcW w:w="1186" w:type="dxa"/>
            <w:shd w:val="clear" w:color="auto" w:fill="E9E9E9"/>
          </w:tcPr>
          <w:p>
            <w:pPr>
              <w:pStyle w:val="TableParagraph"/>
              <w:spacing w:before="53"/>
              <w:ind w:right="73"/>
              <w:rPr>
                <w:sz w:val="16"/>
              </w:rPr>
            </w:pPr>
            <w:r>
              <w:rPr>
                <w:w w:val="85"/>
                <w:sz w:val="16"/>
              </w:rPr>
              <w:t>90,122</w:t>
            </w:r>
          </w:p>
        </w:tc>
        <w:tc>
          <w:tcPr>
            <w:tcW w:w="4932" w:type="dxa"/>
            <w:shd w:val="clear" w:color="auto" w:fill="E9E9E9"/>
          </w:tcPr>
          <w:p>
            <w:pPr>
              <w:pStyle w:val="TableParagraph"/>
              <w:spacing w:before="53"/>
              <w:ind w:left="74"/>
              <w:jc w:val="left"/>
              <w:rPr>
                <w:sz w:val="16"/>
              </w:rPr>
            </w:pPr>
            <w:r>
              <w:rPr>
                <w:sz w:val="16"/>
              </w:rPr>
              <w:t>Project Essex</w:t>
            </w:r>
          </w:p>
        </w:tc>
      </w:tr>
      <w:tr>
        <w:trPr>
          <w:trHeight w:val="286" w:hRule="exact"/>
        </w:trPr>
        <w:tc>
          <w:tcPr>
            <w:tcW w:w="3969" w:type="dxa"/>
            <w:shd w:val="clear" w:color="auto" w:fill="E9E9E9"/>
          </w:tcPr>
          <w:p>
            <w:pPr>
              <w:pStyle w:val="TableParagraph"/>
              <w:spacing w:before="53"/>
              <w:ind w:left="74"/>
              <w:jc w:val="left"/>
              <w:rPr>
                <w:sz w:val="16"/>
              </w:rPr>
            </w:pPr>
            <w:r>
              <w:rPr>
                <w:sz w:val="16"/>
              </w:rPr>
              <w:t>Property Beyond Pty Ltd</w:t>
            </w:r>
          </w:p>
        </w:tc>
        <w:tc>
          <w:tcPr>
            <w:tcW w:w="1186" w:type="dxa"/>
            <w:shd w:val="clear" w:color="auto" w:fill="E9E9E9"/>
          </w:tcPr>
          <w:p>
            <w:pPr>
              <w:pStyle w:val="TableParagraph"/>
              <w:spacing w:before="53"/>
              <w:ind w:right="73"/>
              <w:rPr>
                <w:sz w:val="16"/>
              </w:rPr>
            </w:pPr>
            <w:r>
              <w:rPr>
                <w:sz w:val="16"/>
              </w:rPr>
              <w:t>90,029</w:t>
            </w:r>
          </w:p>
        </w:tc>
        <w:tc>
          <w:tcPr>
            <w:tcW w:w="4932" w:type="dxa"/>
            <w:shd w:val="clear" w:color="auto" w:fill="E9E9E9"/>
          </w:tcPr>
          <w:p>
            <w:pPr>
              <w:pStyle w:val="TableParagraph"/>
              <w:spacing w:before="53"/>
              <w:ind w:left="74"/>
              <w:jc w:val="left"/>
              <w:rPr>
                <w:sz w:val="16"/>
              </w:rPr>
            </w:pPr>
            <w:r>
              <w:rPr>
                <w:sz w:val="16"/>
              </w:rPr>
              <w:t>WEMP Project</w:t>
            </w:r>
          </w:p>
        </w:tc>
      </w:tr>
      <w:tr>
        <w:trPr>
          <w:trHeight w:val="286" w:hRule="exact"/>
        </w:trPr>
        <w:tc>
          <w:tcPr>
            <w:tcW w:w="3969" w:type="dxa"/>
            <w:shd w:val="clear" w:color="auto" w:fill="E9E9E9"/>
          </w:tcPr>
          <w:p>
            <w:pPr>
              <w:pStyle w:val="TableParagraph"/>
              <w:spacing w:before="53"/>
              <w:ind w:left="74"/>
              <w:jc w:val="left"/>
              <w:rPr>
                <w:sz w:val="16"/>
              </w:rPr>
            </w:pPr>
            <w:r>
              <w:rPr>
                <w:sz w:val="16"/>
              </w:rPr>
              <w:t>Nettleton Tribe (Partnership) Pty Ltd</w:t>
            </w:r>
          </w:p>
        </w:tc>
        <w:tc>
          <w:tcPr>
            <w:tcW w:w="1186" w:type="dxa"/>
            <w:shd w:val="clear" w:color="auto" w:fill="E9E9E9"/>
          </w:tcPr>
          <w:p>
            <w:pPr>
              <w:pStyle w:val="TableParagraph"/>
              <w:spacing w:before="53"/>
              <w:ind w:right="73"/>
              <w:rPr>
                <w:sz w:val="16"/>
              </w:rPr>
            </w:pPr>
            <w:r>
              <w:rPr>
                <w:w w:val="95"/>
                <w:sz w:val="16"/>
              </w:rPr>
              <w:t>88,750</w:t>
            </w:r>
          </w:p>
        </w:tc>
        <w:tc>
          <w:tcPr>
            <w:tcW w:w="4932" w:type="dxa"/>
            <w:shd w:val="clear" w:color="auto" w:fill="E9E9E9"/>
          </w:tcPr>
          <w:p>
            <w:pPr>
              <w:pStyle w:val="TableParagraph"/>
              <w:spacing w:before="53"/>
              <w:ind w:left="74"/>
              <w:jc w:val="left"/>
              <w:rPr>
                <w:sz w:val="16"/>
              </w:rPr>
            </w:pPr>
            <w:r>
              <w:rPr>
                <w:sz w:val="16"/>
              </w:rPr>
              <w:t>Werrington Retail Centre</w:t>
            </w:r>
          </w:p>
        </w:tc>
      </w:tr>
      <w:tr>
        <w:trPr>
          <w:trHeight w:val="286" w:hRule="exact"/>
        </w:trPr>
        <w:tc>
          <w:tcPr>
            <w:tcW w:w="3969" w:type="dxa"/>
            <w:shd w:val="clear" w:color="auto" w:fill="E9E9E9"/>
          </w:tcPr>
          <w:p>
            <w:pPr>
              <w:pStyle w:val="TableParagraph"/>
              <w:spacing w:before="53"/>
              <w:ind w:left="74"/>
              <w:jc w:val="left"/>
              <w:rPr>
                <w:sz w:val="16"/>
              </w:rPr>
            </w:pPr>
            <w:r>
              <w:rPr>
                <w:sz w:val="16"/>
              </w:rPr>
              <w:t>The Red Agency Pty Ltd</w:t>
            </w:r>
          </w:p>
        </w:tc>
        <w:tc>
          <w:tcPr>
            <w:tcW w:w="1186" w:type="dxa"/>
            <w:shd w:val="clear" w:color="auto" w:fill="E9E9E9"/>
          </w:tcPr>
          <w:p>
            <w:pPr>
              <w:pStyle w:val="TableParagraph"/>
              <w:spacing w:before="53"/>
              <w:ind w:right="68"/>
              <w:rPr>
                <w:sz w:val="16"/>
              </w:rPr>
            </w:pPr>
            <w:r>
              <w:rPr>
                <w:sz w:val="16"/>
              </w:rPr>
              <w:t>88,000</w:t>
            </w:r>
          </w:p>
        </w:tc>
        <w:tc>
          <w:tcPr>
            <w:tcW w:w="4932" w:type="dxa"/>
            <w:shd w:val="clear" w:color="auto" w:fill="E9E9E9"/>
          </w:tcPr>
          <w:p>
            <w:pPr>
              <w:pStyle w:val="TableParagraph"/>
              <w:spacing w:before="53"/>
              <w:ind w:left="74"/>
              <w:jc w:val="left"/>
              <w:rPr>
                <w:sz w:val="16"/>
              </w:rPr>
            </w:pPr>
            <w:r>
              <w:rPr>
                <w:sz w:val="16"/>
              </w:rPr>
              <w:t>Rebranding Project</w:t>
            </w:r>
          </w:p>
        </w:tc>
      </w:tr>
      <w:tr>
        <w:trPr>
          <w:trHeight w:val="286" w:hRule="exact"/>
        </w:trPr>
        <w:tc>
          <w:tcPr>
            <w:tcW w:w="3969" w:type="dxa"/>
            <w:shd w:val="clear" w:color="auto" w:fill="E9E9E9"/>
          </w:tcPr>
          <w:p>
            <w:pPr>
              <w:pStyle w:val="TableParagraph"/>
              <w:spacing w:before="53"/>
              <w:ind w:left="74"/>
              <w:jc w:val="left"/>
              <w:rPr>
                <w:sz w:val="16"/>
              </w:rPr>
            </w:pPr>
            <w:r>
              <w:rPr>
                <w:sz w:val="16"/>
              </w:rPr>
              <w:t>Alba Solutions Pty Ltd</w:t>
            </w:r>
          </w:p>
        </w:tc>
        <w:tc>
          <w:tcPr>
            <w:tcW w:w="1186" w:type="dxa"/>
            <w:shd w:val="clear" w:color="auto" w:fill="E9E9E9"/>
          </w:tcPr>
          <w:p>
            <w:pPr>
              <w:pStyle w:val="TableParagraph"/>
              <w:spacing w:before="53"/>
              <w:ind w:right="73"/>
              <w:rPr>
                <w:sz w:val="16"/>
              </w:rPr>
            </w:pPr>
            <w:r>
              <w:rPr>
                <w:sz w:val="16"/>
              </w:rPr>
              <w:t>84,070</w:t>
            </w:r>
          </w:p>
        </w:tc>
        <w:tc>
          <w:tcPr>
            <w:tcW w:w="4932" w:type="dxa"/>
            <w:shd w:val="clear" w:color="auto" w:fill="E9E9E9"/>
          </w:tcPr>
          <w:p>
            <w:pPr>
              <w:pStyle w:val="TableParagraph"/>
              <w:spacing w:before="53"/>
              <w:ind w:left="74"/>
              <w:jc w:val="left"/>
              <w:rPr>
                <w:sz w:val="16"/>
              </w:rPr>
            </w:pPr>
            <w:r>
              <w:rPr>
                <w:spacing w:val="-4"/>
                <w:w w:val="105"/>
                <w:sz w:val="16"/>
              </w:rPr>
              <w:t>W</w:t>
            </w:r>
            <w:r>
              <w:rPr>
                <w:spacing w:val="2"/>
                <w:w w:val="100"/>
                <w:sz w:val="16"/>
              </w:rPr>
              <w:t>o</w:t>
            </w:r>
            <w:r>
              <w:rPr>
                <w:spacing w:val="2"/>
                <w:w w:val="95"/>
                <w:sz w:val="16"/>
              </w:rPr>
              <w:t>r</w:t>
            </w:r>
            <w:r>
              <w:rPr>
                <w:spacing w:val="1"/>
                <w:w w:val="96"/>
                <w:sz w:val="16"/>
              </w:rPr>
              <w:t>k</w:t>
            </w:r>
            <w:r>
              <w:rPr>
                <w:spacing w:val="1"/>
                <w:w w:val="95"/>
                <w:sz w:val="16"/>
              </w:rPr>
              <w:t>l</w:t>
            </w:r>
            <w:r>
              <w:rPr>
                <w:spacing w:val="2"/>
                <w:w w:val="100"/>
                <w:sz w:val="16"/>
              </w:rPr>
              <w:t>o</w:t>
            </w:r>
            <w:r>
              <w:rPr>
                <w:spacing w:val="2"/>
                <w:w w:val="94"/>
                <w:sz w:val="16"/>
              </w:rPr>
              <w:t>a</w:t>
            </w:r>
            <w:r>
              <w:rPr>
                <w:w w:val="102"/>
                <w:sz w:val="16"/>
              </w:rPr>
              <w:t>d</w:t>
            </w:r>
            <w:r>
              <w:rPr>
                <w:spacing w:val="-12"/>
                <w:sz w:val="16"/>
              </w:rPr>
              <w:t> </w:t>
            </w:r>
            <w:r>
              <w:rPr>
                <w:spacing w:val="1"/>
                <w:w w:val="104"/>
                <w:sz w:val="16"/>
              </w:rPr>
              <w:t>P</w:t>
            </w:r>
            <w:r>
              <w:rPr>
                <w:spacing w:val="1"/>
                <w:w w:val="95"/>
                <w:sz w:val="16"/>
              </w:rPr>
              <w:t>l</w:t>
            </w:r>
            <w:r>
              <w:rPr>
                <w:spacing w:val="2"/>
                <w:w w:val="94"/>
                <w:sz w:val="16"/>
              </w:rPr>
              <w:t>a</w:t>
            </w:r>
            <w:r>
              <w:rPr>
                <w:spacing w:val="2"/>
                <w:w w:val="95"/>
                <w:sz w:val="16"/>
              </w:rPr>
              <w:t>n</w:t>
            </w:r>
            <w:r>
              <w:rPr>
                <w:spacing w:val="1"/>
                <w:w w:val="95"/>
                <w:sz w:val="16"/>
              </w:rPr>
              <w:t>n</w:t>
            </w:r>
            <w:r>
              <w:rPr>
                <w:spacing w:val="1"/>
                <w:w w:val="95"/>
                <w:sz w:val="16"/>
              </w:rPr>
              <w:t>i</w:t>
            </w:r>
            <w:r>
              <w:rPr>
                <w:spacing w:val="2"/>
                <w:w w:val="95"/>
                <w:sz w:val="16"/>
              </w:rPr>
              <w:t>n</w:t>
            </w:r>
            <w:r>
              <w:rPr>
                <w:w w:val="102"/>
                <w:sz w:val="16"/>
              </w:rPr>
              <w:t>g</w:t>
            </w:r>
            <w:r>
              <w:rPr>
                <w:spacing w:val="-12"/>
                <w:sz w:val="16"/>
              </w:rPr>
              <w:t> </w:t>
            </w:r>
            <w:r>
              <w:rPr>
                <w:spacing w:val="2"/>
                <w:w w:val="93"/>
                <w:sz w:val="16"/>
              </w:rPr>
              <w:t>2</w:t>
            </w:r>
            <w:r>
              <w:rPr>
                <w:spacing w:val="1"/>
                <w:w w:val="111"/>
                <w:sz w:val="16"/>
              </w:rPr>
              <w:t>0</w:t>
            </w:r>
            <w:r>
              <w:rPr>
                <w:spacing w:val="4"/>
                <w:w w:val="54"/>
                <w:sz w:val="16"/>
              </w:rPr>
              <w:t>1</w:t>
            </w:r>
            <w:r>
              <w:rPr>
                <w:spacing w:val="5"/>
                <w:w w:val="101"/>
                <w:sz w:val="16"/>
              </w:rPr>
              <w:t>6</w:t>
            </w:r>
            <w:r>
              <w:rPr>
                <w:spacing w:val="-5"/>
                <w:w w:val="89"/>
                <w:sz w:val="16"/>
              </w:rPr>
              <w:t>–</w:t>
            </w:r>
            <w:r>
              <w:rPr>
                <w:spacing w:val="2"/>
                <w:w w:val="93"/>
                <w:sz w:val="16"/>
              </w:rPr>
              <w:t>2</w:t>
            </w:r>
            <w:r>
              <w:rPr>
                <w:spacing w:val="1"/>
                <w:w w:val="111"/>
                <w:sz w:val="16"/>
              </w:rPr>
              <w:t>0</w:t>
            </w:r>
            <w:r>
              <w:rPr>
                <w:w w:val="54"/>
                <w:sz w:val="16"/>
              </w:rPr>
              <w:t>1</w:t>
            </w:r>
            <w:r>
              <w:rPr>
                <w:w w:val="91"/>
                <w:sz w:val="16"/>
              </w:rPr>
              <w:t>7</w:t>
            </w:r>
            <w:r>
              <w:rPr>
                <w:spacing w:val="-12"/>
                <w:sz w:val="16"/>
              </w:rPr>
              <w:t> </w:t>
            </w:r>
            <w:r>
              <w:rPr>
                <w:spacing w:val="3"/>
                <w:w w:val="98"/>
                <w:sz w:val="16"/>
              </w:rPr>
              <w:t>S</w:t>
            </w:r>
            <w:r>
              <w:rPr>
                <w:spacing w:val="1"/>
                <w:w w:val="102"/>
                <w:sz w:val="16"/>
              </w:rPr>
              <w:t>c</w:t>
            </w:r>
            <w:r>
              <w:rPr>
                <w:spacing w:val="2"/>
                <w:w w:val="95"/>
                <w:sz w:val="16"/>
              </w:rPr>
              <w:t>h</w:t>
            </w:r>
            <w:r>
              <w:rPr>
                <w:spacing w:val="2"/>
                <w:w w:val="100"/>
                <w:sz w:val="16"/>
              </w:rPr>
              <w:t>oo</w:t>
            </w:r>
            <w:r>
              <w:rPr>
                <w:w w:val="95"/>
                <w:sz w:val="16"/>
              </w:rPr>
              <w:t>l</w:t>
            </w:r>
            <w:r>
              <w:rPr>
                <w:spacing w:val="-12"/>
                <w:sz w:val="16"/>
              </w:rPr>
              <w:t> </w:t>
            </w:r>
            <w:r>
              <w:rPr>
                <w:w w:val="100"/>
                <w:sz w:val="16"/>
              </w:rPr>
              <w:t>o</w:t>
            </w:r>
            <w:r>
              <w:rPr>
                <w:w w:val="98"/>
                <w:sz w:val="16"/>
              </w:rPr>
              <w:t>f</w:t>
            </w:r>
            <w:r>
              <w:rPr>
                <w:spacing w:val="-12"/>
                <w:sz w:val="16"/>
              </w:rPr>
              <w:t> </w:t>
            </w:r>
            <w:r>
              <w:rPr>
                <w:spacing w:val="3"/>
                <w:w w:val="101"/>
                <w:sz w:val="16"/>
              </w:rPr>
              <w:t>N</w:t>
            </w:r>
            <w:r>
              <w:rPr>
                <w:spacing w:val="1"/>
                <w:w w:val="95"/>
                <w:sz w:val="16"/>
              </w:rPr>
              <w:t>u</w:t>
            </w:r>
            <w:r>
              <w:rPr>
                <w:spacing w:val="2"/>
                <w:w w:val="95"/>
                <w:sz w:val="16"/>
              </w:rPr>
              <w:t>r</w:t>
            </w:r>
            <w:r>
              <w:rPr>
                <w:w w:val="95"/>
                <w:sz w:val="16"/>
              </w:rPr>
              <w:t>s</w:t>
            </w:r>
            <w:r>
              <w:rPr>
                <w:spacing w:val="1"/>
                <w:w w:val="95"/>
                <w:sz w:val="16"/>
              </w:rPr>
              <w:t>i</w:t>
            </w:r>
            <w:r>
              <w:rPr>
                <w:spacing w:val="2"/>
                <w:w w:val="95"/>
                <w:sz w:val="16"/>
              </w:rPr>
              <w:t>n</w:t>
            </w:r>
            <w:r>
              <w:rPr>
                <w:w w:val="102"/>
                <w:sz w:val="16"/>
              </w:rPr>
              <w:t>g</w:t>
            </w:r>
            <w:r>
              <w:rPr>
                <w:spacing w:val="-12"/>
                <w:sz w:val="16"/>
              </w:rPr>
              <w:t> </w:t>
            </w:r>
            <w:r>
              <w:rPr>
                <w:w w:val="90"/>
                <w:sz w:val="16"/>
              </w:rPr>
              <w:t>&amp;</w:t>
            </w:r>
            <w:r>
              <w:rPr>
                <w:spacing w:val="-12"/>
                <w:sz w:val="16"/>
              </w:rPr>
              <w:t> </w:t>
            </w:r>
            <w:r>
              <w:rPr>
                <w:spacing w:val="2"/>
                <w:w w:val="97"/>
                <w:sz w:val="16"/>
              </w:rPr>
              <w:t>M</w:t>
            </w:r>
            <w:r>
              <w:rPr>
                <w:spacing w:val="1"/>
                <w:w w:val="95"/>
                <w:sz w:val="16"/>
              </w:rPr>
              <w:t>i</w:t>
            </w:r>
            <w:r>
              <w:rPr>
                <w:spacing w:val="1"/>
                <w:w w:val="102"/>
                <w:sz w:val="16"/>
              </w:rPr>
              <w:t>d</w:t>
            </w:r>
            <w:r>
              <w:rPr>
                <w:w w:val="101"/>
                <w:sz w:val="16"/>
              </w:rPr>
              <w:t>w</w:t>
            </w:r>
            <w:r>
              <w:rPr>
                <w:w w:val="95"/>
                <w:sz w:val="16"/>
              </w:rPr>
              <w:t>i</w:t>
            </w:r>
            <w:r>
              <w:rPr>
                <w:w w:val="98"/>
                <w:sz w:val="16"/>
              </w:rPr>
              <w:t>f</w:t>
            </w:r>
            <w:r>
              <w:rPr>
                <w:spacing w:val="2"/>
                <w:w w:val="95"/>
                <w:sz w:val="16"/>
              </w:rPr>
              <w:t>e</w:t>
            </w:r>
            <w:r>
              <w:rPr>
                <w:spacing w:val="5"/>
                <w:w w:val="95"/>
                <w:sz w:val="16"/>
              </w:rPr>
              <w:t>r</w:t>
            </w:r>
            <w:r>
              <w:rPr>
                <w:w w:val="101"/>
                <w:sz w:val="16"/>
              </w:rPr>
              <w:t>y</w:t>
            </w:r>
          </w:p>
        </w:tc>
      </w:tr>
      <w:tr>
        <w:trPr>
          <w:trHeight w:val="286" w:hRule="exact"/>
        </w:trPr>
        <w:tc>
          <w:tcPr>
            <w:tcW w:w="3969" w:type="dxa"/>
            <w:shd w:val="clear" w:color="auto" w:fill="E9E9E9"/>
          </w:tcPr>
          <w:p>
            <w:pPr>
              <w:pStyle w:val="TableParagraph"/>
              <w:spacing w:before="53"/>
              <w:ind w:left="74"/>
              <w:jc w:val="left"/>
              <w:rPr>
                <w:sz w:val="16"/>
              </w:rPr>
            </w:pPr>
            <w:r>
              <w:rPr>
                <w:sz w:val="16"/>
              </w:rPr>
              <w:t>Alive Mobile Group Pty Ltd</w:t>
            </w:r>
          </w:p>
        </w:tc>
        <w:tc>
          <w:tcPr>
            <w:tcW w:w="1186" w:type="dxa"/>
            <w:shd w:val="clear" w:color="auto" w:fill="E9E9E9"/>
          </w:tcPr>
          <w:p>
            <w:pPr>
              <w:pStyle w:val="TableParagraph"/>
              <w:spacing w:before="53"/>
              <w:ind w:right="73"/>
              <w:rPr>
                <w:sz w:val="16"/>
              </w:rPr>
            </w:pPr>
            <w:r>
              <w:rPr>
                <w:w w:val="90"/>
                <w:sz w:val="16"/>
              </w:rPr>
              <w:t>83,728</w:t>
            </w:r>
          </w:p>
        </w:tc>
        <w:tc>
          <w:tcPr>
            <w:tcW w:w="4932" w:type="dxa"/>
            <w:shd w:val="clear" w:color="auto" w:fill="E9E9E9"/>
          </w:tcPr>
          <w:p>
            <w:pPr>
              <w:pStyle w:val="TableParagraph"/>
              <w:spacing w:before="53"/>
              <w:ind w:left="74"/>
              <w:jc w:val="left"/>
              <w:rPr>
                <w:sz w:val="16"/>
              </w:rPr>
            </w:pPr>
            <w:r>
              <w:rPr>
                <w:sz w:val="16"/>
              </w:rPr>
              <w:t>Western Sydney Apps</w:t>
            </w:r>
          </w:p>
        </w:tc>
      </w:tr>
      <w:tr>
        <w:trPr>
          <w:trHeight w:val="286" w:hRule="exact"/>
        </w:trPr>
        <w:tc>
          <w:tcPr>
            <w:tcW w:w="3969" w:type="dxa"/>
            <w:shd w:val="clear" w:color="auto" w:fill="E9E9E9"/>
          </w:tcPr>
          <w:p>
            <w:pPr>
              <w:pStyle w:val="TableParagraph"/>
              <w:spacing w:before="53"/>
              <w:ind w:left="74"/>
              <w:jc w:val="left"/>
              <w:rPr>
                <w:sz w:val="16"/>
              </w:rPr>
            </w:pPr>
            <w:r>
              <w:rPr>
                <w:sz w:val="16"/>
              </w:rPr>
              <w:t>Rider Levett Bucknall NSW Pty Ltd</w:t>
            </w:r>
          </w:p>
        </w:tc>
        <w:tc>
          <w:tcPr>
            <w:tcW w:w="1186" w:type="dxa"/>
            <w:shd w:val="clear" w:color="auto" w:fill="E9E9E9"/>
          </w:tcPr>
          <w:p>
            <w:pPr>
              <w:pStyle w:val="TableParagraph"/>
              <w:spacing w:before="53"/>
              <w:ind w:right="73"/>
              <w:rPr>
                <w:sz w:val="16"/>
              </w:rPr>
            </w:pPr>
            <w:r>
              <w:rPr>
                <w:w w:val="95"/>
                <w:sz w:val="16"/>
              </w:rPr>
              <w:t>83,499</w:t>
            </w:r>
          </w:p>
        </w:tc>
        <w:tc>
          <w:tcPr>
            <w:tcW w:w="4932" w:type="dxa"/>
            <w:shd w:val="clear" w:color="auto" w:fill="E9E9E9"/>
          </w:tcPr>
          <w:p>
            <w:pPr>
              <w:pStyle w:val="TableParagraph"/>
              <w:spacing w:before="53"/>
              <w:ind w:left="74"/>
              <w:jc w:val="left"/>
              <w:rPr>
                <w:sz w:val="16"/>
              </w:rPr>
            </w:pPr>
            <w:r>
              <w:rPr>
                <w:sz w:val="16"/>
              </w:rPr>
              <w:t>Parramatta CBD Project</w:t>
            </w:r>
          </w:p>
        </w:tc>
      </w:tr>
      <w:tr>
        <w:trPr>
          <w:trHeight w:val="286" w:hRule="exact"/>
        </w:trPr>
        <w:tc>
          <w:tcPr>
            <w:tcW w:w="3969" w:type="dxa"/>
            <w:shd w:val="clear" w:color="auto" w:fill="E9E9E9"/>
          </w:tcPr>
          <w:p>
            <w:pPr>
              <w:pStyle w:val="TableParagraph"/>
              <w:spacing w:before="53"/>
              <w:ind w:left="74"/>
              <w:jc w:val="left"/>
              <w:rPr>
                <w:sz w:val="16"/>
              </w:rPr>
            </w:pPr>
            <w:r>
              <w:rPr>
                <w:sz w:val="16"/>
              </w:rPr>
              <w:t>Uber.biz Pty Ltd</w:t>
            </w:r>
          </w:p>
        </w:tc>
        <w:tc>
          <w:tcPr>
            <w:tcW w:w="1186" w:type="dxa"/>
            <w:shd w:val="clear" w:color="auto" w:fill="E9E9E9"/>
          </w:tcPr>
          <w:p>
            <w:pPr>
              <w:pStyle w:val="TableParagraph"/>
              <w:spacing w:before="53"/>
              <w:ind w:right="73"/>
              <w:rPr>
                <w:sz w:val="16"/>
              </w:rPr>
            </w:pPr>
            <w:r>
              <w:rPr>
                <w:w w:val="90"/>
                <w:sz w:val="16"/>
              </w:rPr>
              <w:t>74,555</w:t>
            </w:r>
          </w:p>
        </w:tc>
        <w:tc>
          <w:tcPr>
            <w:tcW w:w="4932" w:type="dxa"/>
            <w:shd w:val="clear" w:color="auto" w:fill="E9E9E9"/>
          </w:tcPr>
          <w:p>
            <w:pPr>
              <w:pStyle w:val="TableParagraph"/>
              <w:spacing w:before="53"/>
              <w:ind w:left="74"/>
              <w:jc w:val="left"/>
              <w:rPr>
                <w:sz w:val="16"/>
              </w:rPr>
            </w:pPr>
            <w:r>
              <w:rPr>
                <w:sz w:val="16"/>
              </w:rPr>
              <w:t>Western Online</w:t>
            </w:r>
          </w:p>
        </w:tc>
      </w:tr>
      <w:tr>
        <w:trPr>
          <w:trHeight w:val="286" w:hRule="exact"/>
        </w:trPr>
        <w:tc>
          <w:tcPr>
            <w:tcW w:w="3969" w:type="dxa"/>
            <w:shd w:val="clear" w:color="auto" w:fill="E9E9E9"/>
          </w:tcPr>
          <w:p>
            <w:pPr>
              <w:pStyle w:val="TableParagraph"/>
              <w:spacing w:before="53"/>
              <w:ind w:left="74"/>
              <w:jc w:val="left"/>
              <w:rPr>
                <w:sz w:val="16"/>
              </w:rPr>
            </w:pPr>
            <w:r>
              <w:rPr>
                <w:sz w:val="16"/>
              </w:rPr>
              <w:t>Josephine Kennings Caust</w:t>
            </w:r>
          </w:p>
        </w:tc>
        <w:tc>
          <w:tcPr>
            <w:tcW w:w="1186" w:type="dxa"/>
            <w:shd w:val="clear" w:color="auto" w:fill="E9E9E9"/>
          </w:tcPr>
          <w:p>
            <w:pPr>
              <w:pStyle w:val="TableParagraph"/>
              <w:spacing w:before="53"/>
              <w:ind w:right="70"/>
              <w:rPr>
                <w:sz w:val="16"/>
              </w:rPr>
            </w:pPr>
            <w:r>
              <w:rPr>
                <w:w w:val="70"/>
                <w:sz w:val="16"/>
              </w:rPr>
              <w:t>73,111</w:t>
            </w:r>
          </w:p>
        </w:tc>
        <w:tc>
          <w:tcPr>
            <w:tcW w:w="4932" w:type="dxa"/>
            <w:shd w:val="clear" w:color="auto" w:fill="E9E9E9"/>
          </w:tcPr>
          <w:p>
            <w:pPr>
              <w:pStyle w:val="TableParagraph"/>
              <w:spacing w:before="53"/>
              <w:ind w:left="74"/>
              <w:jc w:val="left"/>
              <w:rPr>
                <w:sz w:val="16"/>
              </w:rPr>
            </w:pPr>
            <w:r>
              <w:rPr>
                <w:sz w:val="16"/>
              </w:rPr>
              <w:t>Recalibrating Culture Project</w:t>
            </w:r>
          </w:p>
        </w:tc>
      </w:tr>
      <w:tr>
        <w:trPr>
          <w:trHeight w:val="286" w:hRule="exact"/>
        </w:trPr>
        <w:tc>
          <w:tcPr>
            <w:tcW w:w="3969" w:type="dxa"/>
            <w:shd w:val="clear" w:color="auto" w:fill="E9E9E9"/>
          </w:tcPr>
          <w:p>
            <w:pPr>
              <w:pStyle w:val="TableParagraph"/>
              <w:spacing w:before="53"/>
              <w:ind w:left="74"/>
              <w:jc w:val="left"/>
              <w:rPr>
                <w:sz w:val="16"/>
              </w:rPr>
            </w:pPr>
            <w:r>
              <w:rPr>
                <w:sz w:val="16"/>
              </w:rPr>
              <w:t>Philip Chun &amp; Associates Pty Ltd</w:t>
            </w:r>
          </w:p>
        </w:tc>
        <w:tc>
          <w:tcPr>
            <w:tcW w:w="1186" w:type="dxa"/>
            <w:shd w:val="clear" w:color="auto" w:fill="E9E9E9"/>
          </w:tcPr>
          <w:p>
            <w:pPr>
              <w:pStyle w:val="TableParagraph"/>
              <w:spacing w:before="53"/>
              <w:ind w:right="69"/>
              <w:rPr>
                <w:sz w:val="16"/>
              </w:rPr>
            </w:pPr>
            <w:r>
              <w:rPr>
                <w:sz w:val="16"/>
              </w:rPr>
              <w:t>67,000</w:t>
            </w:r>
          </w:p>
        </w:tc>
        <w:tc>
          <w:tcPr>
            <w:tcW w:w="4932" w:type="dxa"/>
            <w:shd w:val="clear" w:color="auto" w:fill="E9E9E9"/>
          </w:tcPr>
          <w:p>
            <w:pPr>
              <w:pStyle w:val="TableParagraph"/>
              <w:spacing w:before="53"/>
              <w:ind w:left="73"/>
              <w:jc w:val="left"/>
              <w:rPr>
                <w:sz w:val="16"/>
              </w:rPr>
            </w:pPr>
            <w:r>
              <w:rPr>
                <w:sz w:val="16"/>
              </w:rPr>
              <w:t>Parramatta CBD Project</w:t>
            </w:r>
          </w:p>
        </w:tc>
      </w:tr>
      <w:tr>
        <w:trPr>
          <w:trHeight w:val="286" w:hRule="exact"/>
        </w:trPr>
        <w:tc>
          <w:tcPr>
            <w:tcW w:w="3969" w:type="dxa"/>
            <w:shd w:val="clear" w:color="auto" w:fill="E9E9E9"/>
          </w:tcPr>
          <w:p>
            <w:pPr>
              <w:pStyle w:val="TableParagraph"/>
              <w:spacing w:before="53"/>
              <w:ind w:left="73"/>
              <w:jc w:val="left"/>
              <w:rPr>
                <w:sz w:val="16"/>
              </w:rPr>
            </w:pPr>
            <w:r>
              <w:rPr>
                <w:sz w:val="16"/>
              </w:rPr>
              <w:t>The University Of Sydney</w:t>
            </w:r>
          </w:p>
        </w:tc>
        <w:tc>
          <w:tcPr>
            <w:tcW w:w="1186" w:type="dxa"/>
            <w:shd w:val="clear" w:color="auto" w:fill="E9E9E9"/>
          </w:tcPr>
          <w:p>
            <w:pPr>
              <w:pStyle w:val="TableParagraph"/>
              <w:spacing w:before="53"/>
              <w:ind w:right="74"/>
              <w:rPr>
                <w:sz w:val="16"/>
              </w:rPr>
            </w:pPr>
            <w:r>
              <w:rPr>
                <w:w w:val="95"/>
                <w:sz w:val="16"/>
              </w:rPr>
              <w:t>64,889</w:t>
            </w:r>
          </w:p>
        </w:tc>
        <w:tc>
          <w:tcPr>
            <w:tcW w:w="4932" w:type="dxa"/>
            <w:shd w:val="clear" w:color="auto" w:fill="E9E9E9"/>
          </w:tcPr>
          <w:p>
            <w:pPr>
              <w:pStyle w:val="TableParagraph"/>
              <w:spacing w:before="53"/>
              <w:ind w:left="73"/>
              <w:jc w:val="left"/>
              <w:rPr>
                <w:sz w:val="16"/>
              </w:rPr>
            </w:pPr>
            <w:r>
              <w:rPr>
                <w:sz w:val="16"/>
              </w:rPr>
              <w:t>Safe Schools Coalition of Australia Project</w:t>
            </w:r>
          </w:p>
        </w:tc>
      </w:tr>
      <w:tr>
        <w:trPr>
          <w:trHeight w:val="286" w:hRule="exact"/>
        </w:trPr>
        <w:tc>
          <w:tcPr>
            <w:tcW w:w="3969" w:type="dxa"/>
            <w:shd w:val="clear" w:color="auto" w:fill="E9E9E9"/>
          </w:tcPr>
          <w:p>
            <w:pPr>
              <w:pStyle w:val="TableParagraph"/>
              <w:spacing w:before="53"/>
              <w:ind w:left="73"/>
              <w:jc w:val="left"/>
              <w:rPr>
                <w:sz w:val="16"/>
              </w:rPr>
            </w:pPr>
            <w:r>
              <w:rPr>
                <w:sz w:val="16"/>
              </w:rPr>
              <w:t>Cox Architecture Pty Ltd</w:t>
            </w:r>
          </w:p>
        </w:tc>
        <w:tc>
          <w:tcPr>
            <w:tcW w:w="1186" w:type="dxa"/>
            <w:shd w:val="clear" w:color="auto" w:fill="E9E9E9"/>
          </w:tcPr>
          <w:p>
            <w:pPr>
              <w:pStyle w:val="TableParagraph"/>
              <w:spacing w:before="53"/>
              <w:ind w:right="74"/>
              <w:rPr>
                <w:sz w:val="16"/>
              </w:rPr>
            </w:pPr>
            <w:r>
              <w:rPr>
                <w:w w:val="95"/>
                <w:sz w:val="16"/>
              </w:rPr>
              <w:t>55,680</w:t>
            </w:r>
          </w:p>
        </w:tc>
        <w:tc>
          <w:tcPr>
            <w:tcW w:w="4932" w:type="dxa"/>
            <w:shd w:val="clear" w:color="auto" w:fill="E9E9E9"/>
          </w:tcPr>
          <w:p>
            <w:pPr>
              <w:pStyle w:val="TableParagraph"/>
              <w:spacing w:before="53"/>
              <w:ind w:left="73"/>
              <w:jc w:val="left"/>
              <w:rPr>
                <w:sz w:val="16"/>
              </w:rPr>
            </w:pPr>
            <w:r>
              <w:rPr>
                <w:sz w:val="16"/>
              </w:rPr>
              <w:t>WEMP Project</w:t>
            </w:r>
          </w:p>
        </w:tc>
      </w:tr>
      <w:tr>
        <w:trPr>
          <w:trHeight w:val="286" w:hRule="exact"/>
        </w:trPr>
        <w:tc>
          <w:tcPr>
            <w:tcW w:w="3969" w:type="dxa"/>
            <w:shd w:val="clear" w:color="auto" w:fill="E9E9E9"/>
          </w:tcPr>
          <w:p>
            <w:pPr>
              <w:pStyle w:val="TableParagraph"/>
              <w:spacing w:before="53"/>
              <w:ind w:left="73"/>
              <w:jc w:val="left"/>
              <w:rPr>
                <w:sz w:val="16"/>
              </w:rPr>
            </w:pPr>
            <w:r>
              <w:rPr>
                <w:sz w:val="16"/>
              </w:rPr>
              <w:t>Customer Service Benchmarking Australia Pty Ltd</w:t>
            </w:r>
          </w:p>
        </w:tc>
        <w:tc>
          <w:tcPr>
            <w:tcW w:w="1186" w:type="dxa"/>
            <w:shd w:val="clear" w:color="auto" w:fill="E9E9E9"/>
          </w:tcPr>
          <w:p>
            <w:pPr>
              <w:pStyle w:val="TableParagraph"/>
              <w:spacing w:before="53"/>
              <w:ind w:right="74"/>
              <w:rPr>
                <w:sz w:val="16"/>
              </w:rPr>
            </w:pPr>
            <w:r>
              <w:rPr>
                <w:sz w:val="16"/>
              </w:rPr>
              <w:t>55,600</w:t>
            </w:r>
          </w:p>
        </w:tc>
        <w:tc>
          <w:tcPr>
            <w:tcW w:w="4932" w:type="dxa"/>
            <w:shd w:val="clear" w:color="auto" w:fill="E9E9E9"/>
          </w:tcPr>
          <w:p>
            <w:pPr>
              <w:pStyle w:val="TableParagraph"/>
              <w:spacing w:before="53"/>
              <w:ind w:left="73"/>
              <w:jc w:val="left"/>
              <w:rPr>
                <w:sz w:val="16"/>
              </w:rPr>
            </w:pPr>
            <w:r>
              <w:rPr>
                <w:sz w:val="16"/>
              </w:rPr>
              <w:t>Contact Service Centre</w:t>
            </w:r>
          </w:p>
        </w:tc>
      </w:tr>
      <w:tr>
        <w:trPr>
          <w:trHeight w:val="286" w:hRule="exact"/>
        </w:trPr>
        <w:tc>
          <w:tcPr>
            <w:tcW w:w="3969" w:type="dxa"/>
            <w:shd w:val="clear" w:color="auto" w:fill="E9E9E9"/>
          </w:tcPr>
          <w:p>
            <w:pPr>
              <w:pStyle w:val="TableParagraph"/>
              <w:spacing w:before="53"/>
              <w:ind w:left="73"/>
              <w:jc w:val="left"/>
              <w:rPr>
                <w:sz w:val="16"/>
              </w:rPr>
            </w:pPr>
            <w:r>
              <w:rPr>
                <w:sz w:val="16"/>
              </w:rPr>
              <w:t>Fruition Partners Australia Pty Ltd</w:t>
            </w:r>
          </w:p>
        </w:tc>
        <w:tc>
          <w:tcPr>
            <w:tcW w:w="1186" w:type="dxa"/>
            <w:shd w:val="clear" w:color="auto" w:fill="E9E9E9"/>
          </w:tcPr>
          <w:p>
            <w:pPr>
              <w:pStyle w:val="TableParagraph"/>
              <w:spacing w:before="53"/>
              <w:ind w:right="69"/>
              <w:rPr>
                <w:sz w:val="16"/>
              </w:rPr>
            </w:pPr>
            <w:r>
              <w:rPr>
                <w:sz w:val="16"/>
              </w:rPr>
              <w:t>54,000</w:t>
            </w:r>
          </w:p>
        </w:tc>
        <w:tc>
          <w:tcPr>
            <w:tcW w:w="4932" w:type="dxa"/>
            <w:shd w:val="clear" w:color="auto" w:fill="E9E9E9"/>
          </w:tcPr>
          <w:p>
            <w:pPr>
              <w:pStyle w:val="TableParagraph"/>
              <w:spacing w:before="53"/>
              <w:ind w:left="73"/>
              <w:jc w:val="left"/>
              <w:rPr>
                <w:sz w:val="16"/>
              </w:rPr>
            </w:pPr>
            <w:r>
              <w:rPr>
                <w:sz w:val="16"/>
              </w:rPr>
              <w:t>Service Now Upgrade</w:t>
            </w:r>
          </w:p>
        </w:tc>
      </w:tr>
      <w:tr>
        <w:trPr>
          <w:trHeight w:val="286" w:hRule="exact"/>
        </w:trPr>
        <w:tc>
          <w:tcPr>
            <w:tcW w:w="3969" w:type="dxa"/>
            <w:shd w:val="clear" w:color="auto" w:fill="E9E9E9"/>
          </w:tcPr>
          <w:p>
            <w:pPr>
              <w:pStyle w:val="TableParagraph"/>
              <w:spacing w:before="53"/>
              <w:ind w:left="73"/>
              <w:jc w:val="left"/>
              <w:rPr>
                <w:sz w:val="16"/>
              </w:rPr>
            </w:pPr>
            <w:r>
              <w:rPr>
                <w:sz w:val="16"/>
              </w:rPr>
              <w:t>MacroPlan Holdings Pty Ltd</w:t>
            </w:r>
          </w:p>
        </w:tc>
        <w:tc>
          <w:tcPr>
            <w:tcW w:w="1186" w:type="dxa"/>
            <w:shd w:val="clear" w:color="auto" w:fill="E9E9E9"/>
          </w:tcPr>
          <w:p>
            <w:pPr>
              <w:pStyle w:val="TableParagraph"/>
              <w:spacing w:before="53"/>
              <w:ind w:right="69"/>
              <w:rPr>
                <w:sz w:val="16"/>
              </w:rPr>
            </w:pPr>
            <w:r>
              <w:rPr>
                <w:sz w:val="16"/>
              </w:rPr>
              <w:t>54,000</w:t>
            </w:r>
          </w:p>
        </w:tc>
        <w:tc>
          <w:tcPr>
            <w:tcW w:w="4932" w:type="dxa"/>
            <w:shd w:val="clear" w:color="auto" w:fill="E9E9E9"/>
          </w:tcPr>
          <w:p>
            <w:pPr>
              <w:pStyle w:val="TableParagraph"/>
              <w:spacing w:before="53"/>
              <w:ind w:left="73"/>
              <w:jc w:val="left"/>
              <w:rPr>
                <w:sz w:val="16"/>
              </w:rPr>
            </w:pPr>
            <w:r>
              <w:rPr>
                <w:sz w:val="16"/>
              </w:rPr>
              <w:t>Private Hospital Demand Study</w:t>
            </w:r>
          </w:p>
        </w:tc>
      </w:tr>
      <w:tr>
        <w:trPr>
          <w:trHeight w:val="286" w:hRule="exact"/>
        </w:trPr>
        <w:tc>
          <w:tcPr>
            <w:tcW w:w="3969" w:type="dxa"/>
            <w:shd w:val="clear" w:color="auto" w:fill="E9E9E9"/>
          </w:tcPr>
          <w:p>
            <w:pPr>
              <w:pStyle w:val="TableParagraph"/>
              <w:spacing w:before="53"/>
              <w:ind w:left="73"/>
              <w:jc w:val="left"/>
              <w:rPr>
                <w:sz w:val="16"/>
              </w:rPr>
            </w:pPr>
            <w:r>
              <w:rPr>
                <w:sz w:val="16"/>
              </w:rPr>
              <w:t>Havas Worldwide Australia Pty Ltd</w:t>
            </w:r>
          </w:p>
        </w:tc>
        <w:tc>
          <w:tcPr>
            <w:tcW w:w="1186" w:type="dxa"/>
            <w:shd w:val="clear" w:color="auto" w:fill="E9E9E9"/>
          </w:tcPr>
          <w:p>
            <w:pPr>
              <w:pStyle w:val="TableParagraph"/>
              <w:spacing w:before="53"/>
              <w:ind w:right="69"/>
              <w:rPr>
                <w:sz w:val="16"/>
              </w:rPr>
            </w:pPr>
            <w:r>
              <w:rPr>
                <w:w w:val="80"/>
                <w:sz w:val="16"/>
              </w:rPr>
              <w:t>51,180</w:t>
            </w:r>
          </w:p>
        </w:tc>
        <w:tc>
          <w:tcPr>
            <w:tcW w:w="4932" w:type="dxa"/>
            <w:shd w:val="clear" w:color="auto" w:fill="E9E9E9"/>
          </w:tcPr>
          <w:p>
            <w:pPr>
              <w:pStyle w:val="TableParagraph"/>
              <w:spacing w:before="53"/>
              <w:ind w:left="73"/>
              <w:jc w:val="left"/>
              <w:rPr>
                <w:sz w:val="16"/>
              </w:rPr>
            </w:pPr>
            <w:r>
              <w:rPr>
                <w:sz w:val="16"/>
              </w:rPr>
              <w:t>Open Day Web Microsite</w:t>
            </w:r>
          </w:p>
        </w:tc>
      </w:tr>
      <w:tr>
        <w:trPr>
          <w:trHeight w:val="286" w:hRule="exact"/>
        </w:trPr>
        <w:tc>
          <w:tcPr>
            <w:tcW w:w="3969" w:type="dxa"/>
            <w:shd w:val="clear" w:color="auto" w:fill="E9E9E9"/>
          </w:tcPr>
          <w:p>
            <w:pPr>
              <w:pStyle w:val="TableParagraph"/>
              <w:spacing w:before="61"/>
              <w:ind w:left="73"/>
              <w:jc w:val="left"/>
              <w:rPr>
                <w:rFonts w:ascii="Calibri"/>
                <w:sz w:val="16"/>
              </w:rPr>
            </w:pPr>
            <w:r>
              <w:rPr>
                <w:rFonts w:ascii="Calibri"/>
                <w:w w:val="110"/>
                <w:sz w:val="16"/>
              </w:rPr>
              <w:t>Subtotal</w:t>
            </w:r>
          </w:p>
        </w:tc>
        <w:tc>
          <w:tcPr>
            <w:tcW w:w="1186" w:type="dxa"/>
            <w:shd w:val="clear" w:color="auto" w:fill="E9E9E9"/>
          </w:tcPr>
          <w:p>
            <w:pPr>
              <w:pStyle w:val="TableParagraph"/>
              <w:spacing w:before="61"/>
              <w:ind w:right="70"/>
              <w:rPr>
                <w:rFonts w:ascii="Calibri"/>
                <w:sz w:val="16"/>
              </w:rPr>
            </w:pPr>
            <w:r>
              <w:rPr>
                <w:rFonts w:ascii="Calibri"/>
                <w:w w:val="105"/>
                <w:sz w:val="16"/>
              </w:rPr>
              <w:t>6,558,358</w:t>
            </w:r>
          </w:p>
        </w:tc>
        <w:tc>
          <w:tcPr>
            <w:tcW w:w="4932" w:type="dxa"/>
            <w:shd w:val="clear" w:color="auto" w:fill="E9E9E9"/>
          </w:tcPr>
          <w:p>
            <w:pPr/>
          </w:p>
        </w:tc>
      </w:tr>
      <w:tr>
        <w:trPr>
          <w:trHeight w:val="286" w:hRule="exact"/>
        </w:trPr>
        <w:tc>
          <w:tcPr>
            <w:tcW w:w="10086" w:type="dxa"/>
            <w:gridSpan w:val="3"/>
            <w:shd w:val="clear" w:color="auto" w:fill="E9E9E9"/>
          </w:tcPr>
          <w:p>
            <w:pPr>
              <w:pStyle w:val="TableParagraph"/>
              <w:spacing w:before="61"/>
              <w:ind w:left="73"/>
              <w:jc w:val="left"/>
              <w:rPr>
                <w:rFonts w:ascii="Calibri"/>
                <w:sz w:val="16"/>
              </w:rPr>
            </w:pPr>
            <w:r>
              <w:rPr>
                <w:rFonts w:ascii="Calibri"/>
                <w:w w:val="110"/>
                <w:sz w:val="16"/>
              </w:rPr>
              <w:t>Organisational Review</w:t>
            </w:r>
          </w:p>
        </w:tc>
      </w:tr>
      <w:tr>
        <w:trPr>
          <w:trHeight w:val="286" w:hRule="exact"/>
        </w:trPr>
        <w:tc>
          <w:tcPr>
            <w:tcW w:w="3969" w:type="dxa"/>
            <w:shd w:val="clear" w:color="auto" w:fill="E9E9E9"/>
          </w:tcPr>
          <w:p>
            <w:pPr>
              <w:pStyle w:val="TableParagraph"/>
              <w:spacing w:before="53"/>
              <w:ind w:left="73"/>
              <w:jc w:val="left"/>
              <w:rPr>
                <w:sz w:val="16"/>
              </w:rPr>
            </w:pPr>
            <w:r>
              <w:rPr>
                <w:sz w:val="16"/>
              </w:rPr>
              <w:t>Nous Group Pty Ltd</w:t>
            </w:r>
          </w:p>
        </w:tc>
        <w:tc>
          <w:tcPr>
            <w:tcW w:w="1186" w:type="dxa"/>
            <w:shd w:val="clear" w:color="auto" w:fill="E9E9E9"/>
          </w:tcPr>
          <w:p>
            <w:pPr>
              <w:pStyle w:val="TableParagraph"/>
              <w:spacing w:before="53"/>
              <w:ind w:right="74"/>
              <w:rPr>
                <w:sz w:val="16"/>
              </w:rPr>
            </w:pPr>
            <w:r>
              <w:rPr>
                <w:w w:val="95"/>
                <w:sz w:val="16"/>
              </w:rPr>
              <w:t>78,984</w:t>
            </w:r>
          </w:p>
        </w:tc>
        <w:tc>
          <w:tcPr>
            <w:tcW w:w="4932" w:type="dxa"/>
            <w:shd w:val="clear" w:color="auto" w:fill="E9E9E9"/>
          </w:tcPr>
          <w:p>
            <w:pPr>
              <w:pStyle w:val="TableParagraph"/>
              <w:spacing w:before="53"/>
              <w:ind w:left="73"/>
              <w:jc w:val="left"/>
              <w:rPr>
                <w:sz w:val="16"/>
              </w:rPr>
            </w:pPr>
            <w:r>
              <w:rPr>
                <w:sz w:val="16"/>
              </w:rPr>
              <w:t>IT Operations Review</w:t>
            </w:r>
          </w:p>
        </w:tc>
      </w:tr>
      <w:tr>
        <w:trPr>
          <w:trHeight w:val="286" w:hRule="exact"/>
        </w:trPr>
        <w:tc>
          <w:tcPr>
            <w:tcW w:w="3969" w:type="dxa"/>
            <w:tcBorders>
              <w:bottom w:val="nil"/>
            </w:tcBorders>
            <w:shd w:val="clear" w:color="auto" w:fill="E9E9E9"/>
          </w:tcPr>
          <w:p>
            <w:pPr>
              <w:pStyle w:val="TableParagraph"/>
              <w:spacing w:before="61"/>
              <w:ind w:left="73"/>
              <w:jc w:val="left"/>
              <w:rPr>
                <w:rFonts w:ascii="Calibri"/>
                <w:sz w:val="16"/>
              </w:rPr>
            </w:pPr>
            <w:r>
              <w:rPr>
                <w:rFonts w:ascii="Calibri"/>
                <w:w w:val="110"/>
                <w:sz w:val="16"/>
              </w:rPr>
              <w:t>Subtotal</w:t>
            </w:r>
          </w:p>
        </w:tc>
        <w:tc>
          <w:tcPr>
            <w:tcW w:w="1186" w:type="dxa"/>
            <w:tcBorders>
              <w:bottom w:val="nil"/>
            </w:tcBorders>
            <w:shd w:val="clear" w:color="auto" w:fill="E9E9E9"/>
          </w:tcPr>
          <w:p>
            <w:pPr>
              <w:pStyle w:val="TableParagraph"/>
              <w:spacing w:before="61"/>
              <w:ind w:right="69"/>
              <w:rPr>
                <w:rFonts w:ascii="Calibri"/>
                <w:sz w:val="16"/>
              </w:rPr>
            </w:pPr>
            <w:r>
              <w:rPr>
                <w:rFonts w:ascii="Calibri"/>
                <w:w w:val="110"/>
                <w:sz w:val="16"/>
              </w:rPr>
              <w:t>78,984</w:t>
            </w:r>
          </w:p>
        </w:tc>
        <w:tc>
          <w:tcPr>
            <w:tcW w:w="4932" w:type="dxa"/>
            <w:tcBorders>
              <w:bottom w:val="nil"/>
            </w:tcBorders>
            <w:shd w:val="clear" w:color="auto" w:fill="E9E9E9"/>
          </w:tcPr>
          <w:p>
            <w:pPr/>
          </w:p>
        </w:tc>
      </w:tr>
      <w:tr>
        <w:trPr>
          <w:trHeight w:val="286" w:hRule="exact"/>
        </w:trPr>
        <w:tc>
          <w:tcPr>
            <w:tcW w:w="3969" w:type="dxa"/>
            <w:tcBorders>
              <w:top w:val="nil"/>
              <w:left w:val="nil"/>
              <w:bottom w:val="nil"/>
              <w:right w:val="single" w:sz="4" w:space="0" w:color="FFFFFF"/>
            </w:tcBorders>
            <w:shd w:val="clear" w:color="auto" w:fill="949290"/>
          </w:tcPr>
          <w:p>
            <w:pPr>
              <w:pStyle w:val="TableParagraph"/>
              <w:spacing w:before="66"/>
              <w:ind w:left="78"/>
              <w:jc w:val="left"/>
              <w:rPr>
                <w:rFonts w:ascii="Calibri"/>
                <w:sz w:val="16"/>
              </w:rPr>
            </w:pPr>
            <w:r>
              <w:rPr>
                <w:rFonts w:ascii="Calibri"/>
                <w:color w:val="FFFFFF"/>
                <w:w w:val="110"/>
                <w:sz w:val="16"/>
              </w:rPr>
              <w:t>Total consultancies equal to or greater than $50,000</w:t>
            </w:r>
          </w:p>
        </w:tc>
        <w:tc>
          <w:tcPr>
            <w:tcW w:w="6118" w:type="dxa"/>
            <w:gridSpan w:val="2"/>
            <w:tcBorders>
              <w:top w:val="nil"/>
              <w:left w:val="single" w:sz="4" w:space="0" w:color="FFFFFF"/>
              <w:bottom w:val="nil"/>
              <w:right w:val="nil"/>
            </w:tcBorders>
            <w:shd w:val="clear" w:color="auto" w:fill="949290"/>
          </w:tcPr>
          <w:p>
            <w:pPr>
              <w:pStyle w:val="TableParagraph"/>
              <w:spacing w:before="66"/>
              <w:ind w:left="268" w:right="1694"/>
              <w:jc w:val="left"/>
              <w:rPr>
                <w:rFonts w:ascii="Calibri"/>
                <w:sz w:val="16"/>
              </w:rPr>
            </w:pPr>
            <w:r>
              <w:rPr>
                <w:rFonts w:ascii="Calibri"/>
                <w:color w:val="FFFFFF"/>
                <w:w w:val="110"/>
                <w:sz w:val="16"/>
              </w:rPr>
              <w:t>$8,998,838</w:t>
            </w:r>
          </w:p>
        </w:tc>
      </w:tr>
      <w:tr>
        <w:trPr>
          <w:trHeight w:val="286" w:hRule="exact"/>
        </w:trPr>
        <w:tc>
          <w:tcPr>
            <w:tcW w:w="10086" w:type="dxa"/>
            <w:gridSpan w:val="3"/>
            <w:tcBorders>
              <w:top w:val="nil"/>
            </w:tcBorders>
            <w:shd w:val="clear" w:color="auto" w:fill="E9E9E9"/>
          </w:tcPr>
          <w:p>
            <w:pPr>
              <w:pStyle w:val="TableParagraph"/>
              <w:spacing w:before="66"/>
              <w:ind w:left="73"/>
              <w:jc w:val="left"/>
              <w:rPr>
                <w:rFonts w:ascii="Calibri"/>
                <w:sz w:val="16"/>
              </w:rPr>
            </w:pPr>
            <w:r>
              <w:rPr>
                <w:rFonts w:ascii="Calibri"/>
                <w:w w:val="105"/>
                <w:sz w:val="16"/>
              </w:rPr>
              <w:t>During 2016 other consultancies were engaged in the following areas:</w:t>
            </w:r>
          </w:p>
        </w:tc>
      </w:tr>
      <w:tr>
        <w:trPr>
          <w:trHeight w:val="286" w:hRule="exact"/>
        </w:trPr>
        <w:tc>
          <w:tcPr>
            <w:tcW w:w="3969" w:type="dxa"/>
            <w:shd w:val="clear" w:color="auto" w:fill="E9E9E9"/>
          </w:tcPr>
          <w:p>
            <w:pPr>
              <w:pStyle w:val="TableParagraph"/>
              <w:spacing w:before="53"/>
              <w:ind w:left="73"/>
              <w:jc w:val="left"/>
              <w:rPr>
                <w:sz w:val="16"/>
              </w:rPr>
            </w:pPr>
            <w:r>
              <w:rPr>
                <w:sz w:val="16"/>
              </w:rPr>
              <w:t>Finance and Accounting/Tax</w:t>
            </w:r>
          </w:p>
        </w:tc>
        <w:tc>
          <w:tcPr>
            <w:tcW w:w="1186" w:type="dxa"/>
            <w:shd w:val="clear" w:color="auto" w:fill="E9E9E9"/>
          </w:tcPr>
          <w:p>
            <w:pPr>
              <w:pStyle w:val="TableParagraph"/>
              <w:spacing w:before="53"/>
              <w:ind w:right="72"/>
              <w:rPr>
                <w:sz w:val="16"/>
              </w:rPr>
            </w:pPr>
            <w:r>
              <w:rPr>
                <w:w w:val="95"/>
                <w:sz w:val="16"/>
              </w:rPr>
              <w:t>56,445</w:t>
            </w:r>
          </w:p>
        </w:tc>
        <w:tc>
          <w:tcPr>
            <w:tcW w:w="4932" w:type="dxa"/>
            <w:shd w:val="clear" w:color="auto" w:fill="E9E9E9"/>
          </w:tcPr>
          <w:p>
            <w:pPr/>
          </w:p>
        </w:tc>
      </w:tr>
      <w:tr>
        <w:trPr>
          <w:trHeight w:val="286" w:hRule="exact"/>
        </w:trPr>
        <w:tc>
          <w:tcPr>
            <w:tcW w:w="3969" w:type="dxa"/>
            <w:shd w:val="clear" w:color="auto" w:fill="E9E9E9"/>
          </w:tcPr>
          <w:p>
            <w:pPr>
              <w:pStyle w:val="TableParagraph"/>
              <w:spacing w:before="53"/>
              <w:ind w:left="73"/>
              <w:jc w:val="left"/>
              <w:rPr>
                <w:sz w:val="16"/>
              </w:rPr>
            </w:pPr>
            <w:r>
              <w:rPr>
                <w:w w:val="95"/>
                <w:sz w:val="16"/>
              </w:rPr>
              <w:t>Information Technology</w:t>
            </w:r>
          </w:p>
        </w:tc>
        <w:tc>
          <w:tcPr>
            <w:tcW w:w="1186" w:type="dxa"/>
            <w:shd w:val="clear" w:color="auto" w:fill="E9E9E9"/>
          </w:tcPr>
          <w:p>
            <w:pPr>
              <w:pStyle w:val="TableParagraph"/>
              <w:spacing w:before="53"/>
              <w:ind w:right="74"/>
              <w:rPr>
                <w:sz w:val="16"/>
              </w:rPr>
            </w:pPr>
            <w:r>
              <w:rPr>
                <w:w w:val="95"/>
                <w:sz w:val="16"/>
              </w:rPr>
              <w:t>445,684</w:t>
            </w:r>
          </w:p>
        </w:tc>
        <w:tc>
          <w:tcPr>
            <w:tcW w:w="4932" w:type="dxa"/>
            <w:shd w:val="clear" w:color="auto" w:fill="E9E9E9"/>
          </w:tcPr>
          <w:p>
            <w:pPr/>
          </w:p>
        </w:tc>
      </w:tr>
      <w:tr>
        <w:trPr>
          <w:trHeight w:val="286" w:hRule="exact"/>
        </w:trPr>
        <w:tc>
          <w:tcPr>
            <w:tcW w:w="3969" w:type="dxa"/>
            <w:shd w:val="clear" w:color="auto" w:fill="E9E9E9"/>
          </w:tcPr>
          <w:p>
            <w:pPr>
              <w:pStyle w:val="TableParagraph"/>
              <w:spacing w:before="53"/>
              <w:ind w:left="73"/>
              <w:jc w:val="left"/>
              <w:rPr>
                <w:sz w:val="16"/>
              </w:rPr>
            </w:pPr>
            <w:r>
              <w:rPr>
                <w:sz w:val="16"/>
              </w:rPr>
              <w:t>Management Services</w:t>
            </w:r>
          </w:p>
        </w:tc>
        <w:tc>
          <w:tcPr>
            <w:tcW w:w="1186" w:type="dxa"/>
            <w:shd w:val="clear" w:color="auto" w:fill="E9E9E9"/>
          </w:tcPr>
          <w:p>
            <w:pPr>
              <w:pStyle w:val="TableParagraph"/>
              <w:spacing w:before="53"/>
              <w:ind w:right="75"/>
              <w:rPr>
                <w:sz w:val="16"/>
              </w:rPr>
            </w:pPr>
            <w:r>
              <w:rPr>
                <w:spacing w:val="4"/>
                <w:w w:val="54"/>
                <w:sz w:val="16"/>
              </w:rPr>
              <w:t>1</w:t>
            </w:r>
            <w:r>
              <w:rPr>
                <w:spacing w:val="1"/>
                <w:w w:val="68"/>
                <w:sz w:val="16"/>
              </w:rPr>
              <w:t>,</w:t>
            </w:r>
            <w:r>
              <w:rPr>
                <w:spacing w:val="-3"/>
                <w:w w:val="111"/>
                <w:sz w:val="16"/>
              </w:rPr>
              <w:t>0</w:t>
            </w:r>
            <w:r>
              <w:rPr>
                <w:spacing w:val="-8"/>
                <w:w w:val="97"/>
                <w:sz w:val="16"/>
              </w:rPr>
              <w:t>7</w:t>
            </w:r>
            <w:r>
              <w:rPr>
                <w:spacing w:val="4"/>
                <w:w w:val="97"/>
                <w:sz w:val="16"/>
              </w:rPr>
              <w:t>4</w:t>
            </w:r>
            <w:r>
              <w:rPr>
                <w:spacing w:val="3"/>
                <w:w w:val="68"/>
                <w:sz w:val="16"/>
              </w:rPr>
              <w:t>,</w:t>
            </w:r>
            <w:r>
              <w:rPr>
                <w:spacing w:val="3"/>
                <w:w w:val="101"/>
                <w:sz w:val="16"/>
              </w:rPr>
              <w:t>6</w:t>
            </w:r>
            <w:r>
              <w:rPr>
                <w:spacing w:val="1"/>
                <w:w w:val="111"/>
                <w:sz w:val="16"/>
              </w:rPr>
              <w:t>0</w:t>
            </w:r>
            <w:r>
              <w:rPr>
                <w:w w:val="93"/>
                <w:sz w:val="16"/>
              </w:rPr>
              <w:t>2</w:t>
            </w:r>
          </w:p>
        </w:tc>
        <w:tc>
          <w:tcPr>
            <w:tcW w:w="4932" w:type="dxa"/>
            <w:shd w:val="clear" w:color="auto" w:fill="E9E9E9"/>
          </w:tcPr>
          <w:p>
            <w:pPr/>
          </w:p>
        </w:tc>
      </w:tr>
      <w:tr>
        <w:trPr>
          <w:trHeight w:val="286" w:hRule="exact"/>
        </w:trPr>
        <w:tc>
          <w:tcPr>
            <w:tcW w:w="3969" w:type="dxa"/>
            <w:tcBorders>
              <w:bottom w:val="nil"/>
            </w:tcBorders>
            <w:shd w:val="clear" w:color="auto" w:fill="E9E9E9"/>
          </w:tcPr>
          <w:p>
            <w:pPr>
              <w:pStyle w:val="TableParagraph"/>
              <w:spacing w:before="53"/>
              <w:ind w:left="73"/>
              <w:jc w:val="left"/>
              <w:rPr>
                <w:sz w:val="16"/>
              </w:rPr>
            </w:pPr>
            <w:r>
              <w:rPr>
                <w:sz w:val="16"/>
              </w:rPr>
              <w:t>Recruitment Services</w:t>
            </w:r>
          </w:p>
        </w:tc>
        <w:tc>
          <w:tcPr>
            <w:tcW w:w="1186" w:type="dxa"/>
            <w:tcBorders>
              <w:bottom w:val="nil"/>
            </w:tcBorders>
            <w:shd w:val="clear" w:color="auto" w:fill="E9E9E9"/>
          </w:tcPr>
          <w:p>
            <w:pPr>
              <w:pStyle w:val="TableParagraph"/>
              <w:spacing w:before="53"/>
              <w:ind w:right="72"/>
              <w:rPr>
                <w:sz w:val="16"/>
              </w:rPr>
            </w:pPr>
            <w:r>
              <w:rPr>
                <w:w w:val="85"/>
                <w:sz w:val="16"/>
              </w:rPr>
              <w:t>31,379</w:t>
            </w:r>
          </w:p>
        </w:tc>
        <w:tc>
          <w:tcPr>
            <w:tcW w:w="4932" w:type="dxa"/>
            <w:tcBorders>
              <w:bottom w:val="nil"/>
            </w:tcBorders>
            <w:shd w:val="clear" w:color="auto" w:fill="E9E9E9"/>
          </w:tcPr>
          <w:p>
            <w:pPr/>
          </w:p>
        </w:tc>
      </w:tr>
      <w:tr>
        <w:trPr>
          <w:trHeight w:val="286" w:hRule="exact"/>
        </w:trPr>
        <w:tc>
          <w:tcPr>
            <w:tcW w:w="3969" w:type="dxa"/>
            <w:tcBorders>
              <w:top w:val="nil"/>
              <w:left w:val="nil"/>
              <w:bottom w:val="single" w:sz="4" w:space="0" w:color="FFFFFF"/>
              <w:right w:val="single" w:sz="4" w:space="0" w:color="FFFFFF"/>
            </w:tcBorders>
            <w:shd w:val="clear" w:color="auto" w:fill="949290"/>
          </w:tcPr>
          <w:p>
            <w:pPr>
              <w:pStyle w:val="TableParagraph"/>
              <w:spacing w:before="66"/>
              <w:ind w:left="78"/>
              <w:jc w:val="left"/>
              <w:rPr>
                <w:rFonts w:ascii="Calibri"/>
                <w:sz w:val="16"/>
              </w:rPr>
            </w:pPr>
            <w:r>
              <w:rPr>
                <w:rFonts w:ascii="Calibri"/>
                <w:color w:val="FFFFFF"/>
                <w:w w:val="110"/>
                <w:sz w:val="16"/>
              </w:rPr>
              <w:t>Total consultancies less than $50,000</w:t>
            </w:r>
          </w:p>
        </w:tc>
        <w:tc>
          <w:tcPr>
            <w:tcW w:w="6118" w:type="dxa"/>
            <w:gridSpan w:val="2"/>
            <w:tcBorders>
              <w:top w:val="nil"/>
              <w:left w:val="single" w:sz="4" w:space="0" w:color="FFFFFF"/>
              <w:bottom w:val="single" w:sz="4" w:space="0" w:color="FFFFFF"/>
              <w:right w:val="nil"/>
            </w:tcBorders>
            <w:shd w:val="clear" w:color="auto" w:fill="949290"/>
          </w:tcPr>
          <w:p>
            <w:pPr>
              <w:pStyle w:val="TableParagraph"/>
              <w:spacing w:before="66"/>
              <w:ind w:left="446" w:right="1694"/>
              <w:jc w:val="left"/>
              <w:rPr>
                <w:rFonts w:ascii="Calibri"/>
                <w:sz w:val="16"/>
              </w:rPr>
            </w:pPr>
            <w:r>
              <w:rPr>
                <w:rFonts w:ascii="Calibri"/>
                <w:color w:val="FFFFFF"/>
                <w:sz w:val="16"/>
              </w:rPr>
              <w:t>1,608,110</w:t>
            </w:r>
          </w:p>
        </w:tc>
      </w:tr>
      <w:tr>
        <w:trPr>
          <w:trHeight w:val="286" w:hRule="exact"/>
        </w:trPr>
        <w:tc>
          <w:tcPr>
            <w:tcW w:w="3969" w:type="dxa"/>
            <w:tcBorders>
              <w:top w:val="single" w:sz="4" w:space="0" w:color="FFFFFF"/>
              <w:left w:val="nil"/>
              <w:bottom w:val="nil"/>
              <w:right w:val="single" w:sz="4" w:space="0" w:color="FFFFFF"/>
            </w:tcBorders>
            <w:shd w:val="clear" w:color="auto" w:fill="949290"/>
          </w:tcPr>
          <w:p>
            <w:pPr>
              <w:pStyle w:val="TableParagraph"/>
              <w:spacing w:before="61"/>
              <w:ind w:left="78"/>
              <w:jc w:val="left"/>
              <w:rPr>
                <w:rFonts w:ascii="Calibri"/>
                <w:sz w:val="16"/>
              </w:rPr>
            </w:pPr>
            <w:r>
              <w:rPr>
                <w:rFonts w:ascii="Calibri"/>
                <w:color w:val="FFFFFF"/>
                <w:w w:val="110"/>
                <w:sz w:val="16"/>
              </w:rPr>
              <w:t>Total consultancies</w:t>
            </w:r>
          </w:p>
        </w:tc>
        <w:tc>
          <w:tcPr>
            <w:tcW w:w="6118" w:type="dxa"/>
            <w:gridSpan w:val="2"/>
            <w:tcBorders>
              <w:top w:val="single" w:sz="4" w:space="0" w:color="FFFFFF"/>
              <w:left w:val="single" w:sz="4" w:space="0" w:color="FFFFFF"/>
              <w:bottom w:val="nil"/>
              <w:right w:val="nil"/>
            </w:tcBorders>
            <w:shd w:val="clear" w:color="auto" w:fill="949290"/>
          </w:tcPr>
          <w:p>
            <w:pPr>
              <w:pStyle w:val="TableParagraph"/>
              <w:spacing w:before="61"/>
              <w:ind w:left="273" w:right="1694"/>
              <w:jc w:val="left"/>
              <w:rPr>
                <w:rFonts w:ascii="Calibri"/>
                <w:sz w:val="16"/>
              </w:rPr>
            </w:pPr>
            <w:r>
              <w:rPr>
                <w:rFonts w:ascii="Calibri"/>
                <w:color w:val="FFFFFF"/>
                <w:w w:val="110"/>
                <w:sz w:val="16"/>
              </w:rPr>
              <w:t>10,606,948</w:t>
            </w:r>
          </w:p>
        </w:tc>
      </w:tr>
    </w:tbl>
    <w:p>
      <w:pPr>
        <w:spacing w:after="0"/>
        <w:jc w:val="left"/>
        <w:rPr>
          <w:rFonts w:ascii="Calibri"/>
          <w:sz w:val="16"/>
        </w:rPr>
        <w:sectPr>
          <w:pgSz w:w="11910" w:h="16840"/>
          <w:pgMar w:header="496" w:footer="472" w:top="680" w:bottom="660" w:left="580" w:right="580"/>
        </w:sectPr>
      </w:pPr>
    </w:p>
    <w:p>
      <w:pPr>
        <w:pStyle w:val="BodyText"/>
        <w:spacing w:before="8"/>
        <w:rPr>
          <w:rFonts w:ascii="Gotham Narrow Bold"/>
          <w:b/>
          <w:sz w:val="28"/>
        </w:rPr>
      </w:pPr>
      <w:r>
        <w:rPr/>
        <w:pict>
          <v:rect style="position:absolute;margin-left:34.015999pt;margin-top:45.355015pt;width:527.244pt;height:751.181pt;mso-position-horizontal-relative:page;mso-position-vertical-relative:page;z-index:-334624" filled="true" fillcolor="#e9e9e9" stroked="false">
            <v:fill type="solid"/>
            <w10:wrap type="none"/>
          </v:rect>
        </w:pict>
      </w:r>
    </w:p>
    <w:p>
      <w:pPr>
        <w:spacing w:before="30"/>
        <w:ind w:left="327" w:right="7611" w:firstLine="0"/>
        <w:jc w:val="left"/>
        <w:rPr>
          <w:rFonts w:ascii="Gotham Narrow Bold"/>
          <w:b/>
          <w:sz w:val="40"/>
        </w:rPr>
      </w:pPr>
      <w:bookmarkStart w:name="_TOC_250005" w:id="49"/>
      <w:bookmarkEnd w:id="49"/>
      <w:r>
        <w:rPr>
          <w:rFonts w:ascii="Gotham Narrow Bold"/>
          <w:b/>
          <w:w w:val="95"/>
          <w:sz w:val="40"/>
        </w:rPr>
        <w:t>APPENDIX 10</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5978"/>
      </w:pPr>
      <w:bookmarkStart w:name="_TOC_250004" w:id="50"/>
      <w:bookmarkEnd w:id="50"/>
      <w:r>
        <w:rPr>
          <w:w w:val="95"/>
        </w:rPr>
        <w:t>EQUITY AND DIVERSITY STATISTICS</w:t>
      </w:r>
    </w:p>
    <w:p>
      <w:pPr>
        <w:spacing w:before="102"/>
        <w:ind w:left="327" w:right="503" w:firstLine="0"/>
        <w:jc w:val="left"/>
        <w:rPr>
          <w:rFonts w:ascii="Gotham Narrow Bold" w:hAnsi="Gotham Narrow Bold"/>
          <w:b/>
          <w:sz w:val="16"/>
        </w:rPr>
      </w:pPr>
      <w:r>
        <w:rPr>
          <w:rFonts w:ascii="Gotham Narrow Bold" w:hAnsi="Gotham Narrow Bold"/>
          <w:b/>
          <w:color w:val="615C58"/>
          <w:sz w:val="16"/>
        </w:rPr>
        <w:t>Table A.1 Trends in the Representation of Equal Employment Opportunity (EEO) Groups – Academic staff</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211"/>
        <w:gridCol w:w="1120"/>
        <w:gridCol w:w="964"/>
        <w:gridCol w:w="964"/>
        <w:gridCol w:w="964"/>
        <w:gridCol w:w="964"/>
        <w:gridCol w:w="964"/>
        <w:gridCol w:w="964"/>
        <w:gridCol w:w="964"/>
      </w:tblGrid>
      <w:tr>
        <w:trPr>
          <w:trHeight w:val="488" w:hRule="exact"/>
        </w:trPr>
        <w:tc>
          <w:tcPr>
            <w:tcW w:w="2211" w:type="dxa"/>
            <w:tcBorders>
              <w:top w:val="nil"/>
              <w:left w:val="nil"/>
              <w:bottom w:val="nil"/>
              <w:right w:val="nil"/>
            </w:tcBorders>
            <w:shd w:val="clear" w:color="auto" w:fill="949290"/>
          </w:tcPr>
          <w:p>
            <w:pPr>
              <w:pStyle w:val="TableParagraph"/>
              <w:spacing w:line="249" w:lineRule="auto" w:before="54"/>
              <w:ind w:left="79" w:right="342"/>
              <w:jc w:val="left"/>
              <w:rPr>
                <w:rFonts w:ascii="Gotham Narrow Bold"/>
                <w:b/>
                <w:sz w:val="16"/>
              </w:rPr>
            </w:pPr>
            <w:r>
              <w:rPr>
                <w:rFonts w:ascii="Gotham Narrow Bold"/>
                <w:b/>
                <w:color w:val="FFFFFF"/>
                <w:sz w:val="16"/>
              </w:rPr>
              <w:t>EEO GROUPS: </w:t>
            </w:r>
            <w:r>
              <w:rPr>
                <w:rFonts w:ascii="Gotham Narrow Bold"/>
                <w:b/>
                <w:color w:val="FFFFFF"/>
                <w:w w:val="95"/>
                <w:sz w:val="16"/>
              </w:rPr>
              <w:t>ACADEMIC STAFF</w:t>
            </w:r>
          </w:p>
        </w:tc>
        <w:tc>
          <w:tcPr>
            <w:tcW w:w="1120" w:type="dxa"/>
            <w:tcBorders>
              <w:top w:val="nil"/>
              <w:left w:val="nil"/>
              <w:bottom w:val="nil"/>
              <w:right w:val="nil"/>
            </w:tcBorders>
            <w:shd w:val="clear" w:color="auto" w:fill="949290"/>
          </w:tcPr>
          <w:p>
            <w:pPr>
              <w:pStyle w:val="TableParagraph"/>
              <w:spacing w:line="249" w:lineRule="auto" w:before="54"/>
              <w:ind w:left="207" w:right="62" w:hanging="119"/>
              <w:jc w:val="left"/>
              <w:rPr>
                <w:rFonts w:ascii="Gotham Narrow Bold"/>
                <w:b/>
                <w:sz w:val="16"/>
              </w:rPr>
            </w:pPr>
            <w:r>
              <w:rPr>
                <w:rFonts w:ascii="Gotham Narrow Bold"/>
                <w:b/>
                <w:color w:val="FFFFFF"/>
                <w:w w:val="95"/>
                <w:sz w:val="16"/>
              </w:rPr>
              <w:t>BENCHMARK OR TARGET</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9"/>
              <w:rPr>
                <w:rFonts w:ascii="Gotham Narrow Bold"/>
                <w:b/>
                <w:sz w:val="16"/>
              </w:rPr>
            </w:pPr>
            <w:r>
              <w:rPr>
                <w:rFonts w:ascii="Gotham Narrow Bold"/>
                <w:b/>
                <w:color w:val="FFFFFF"/>
                <w:w w:val="95"/>
                <w:sz w:val="16"/>
              </w:rPr>
              <w:t>2010</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2011</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2012</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2013</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2014</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2015</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2016</w:t>
            </w:r>
          </w:p>
        </w:tc>
      </w:tr>
      <w:tr>
        <w:trPr>
          <w:trHeight w:val="340" w:hRule="exact"/>
        </w:trPr>
        <w:tc>
          <w:tcPr>
            <w:tcW w:w="2211" w:type="dxa"/>
            <w:tcBorders>
              <w:top w:val="nil"/>
            </w:tcBorders>
            <w:shd w:val="clear" w:color="auto" w:fill="E9E9E9"/>
          </w:tcPr>
          <w:p>
            <w:pPr>
              <w:pStyle w:val="TableParagraph"/>
              <w:spacing w:before="74"/>
              <w:ind w:left="74" w:right="54"/>
              <w:jc w:val="left"/>
              <w:rPr>
                <w:sz w:val="16"/>
              </w:rPr>
            </w:pPr>
            <w:r>
              <w:rPr>
                <w:sz w:val="16"/>
              </w:rPr>
              <w:t>Women</w:t>
            </w:r>
          </w:p>
        </w:tc>
        <w:tc>
          <w:tcPr>
            <w:tcW w:w="1120" w:type="dxa"/>
            <w:tcBorders>
              <w:top w:val="nil"/>
            </w:tcBorders>
            <w:shd w:val="clear" w:color="auto" w:fill="E9E9E9"/>
          </w:tcPr>
          <w:p>
            <w:pPr>
              <w:pStyle w:val="TableParagraph"/>
              <w:spacing w:before="74"/>
              <w:ind w:right="69"/>
              <w:rPr>
                <w:sz w:val="16"/>
              </w:rPr>
            </w:pPr>
            <w:r>
              <w:rPr>
                <w:w w:val="90"/>
                <w:sz w:val="16"/>
              </w:rPr>
              <w:t>50%</w:t>
            </w:r>
          </w:p>
        </w:tc>
        <w:tc>
          <w:tcPr>
            <w:tcW w:w="964" w:type="dxa"/>
            <w:tcBorders>
              <w:top w:val="nil"/>
            </w:tcBorders>
            <w:shd w:val="clear" w:color="auto" w:fill="E9E9E9"/>
          </w:tcPr>
          <w:p>
            <w:pPr>
              <w:pStyle w:val="TableParagraph"/>
              <w:spacing w:before="74"/>
              <w:ind w:right="73"/>
              <w:rPr>
                <w:sz w:val="16"/>
              </w:rPr>
            </w:pPr>
            <w:r>
              <w:rPr>
                <w:w w:val="90"/>
                <w:sz w:val="16"/>
              </w:rPr>
              <w:t>49%</w:t>
            </w:r>
          </w:p>
        </w:tc>
        <w:tc>
          <w:tcPr>
            <w:tcW w:w="964" w:type="dxa"/>
            <w:tcBorders>
              <w:top w:val="nil"/>
            </w:tcBorders>
            <w:shd w:val="clear" w:color="auto" w:fill="E9E9E9"/>
          </w:tcPr>
          <w:p>
            <w:pPr>
              <w:pStyle w:val="TableParagraph"/>
              <w:spacing w:before="74"/>
              <w:ind w:right="69"/>
              <w:rPr>
                <w:sz w:val="16"/>
              </w:rPr>
            </w:pPr>
            <w:r>
              <w:rPr>
                <w:w w:val="90"/>
                <w:sz w:val="16"/>
              </w:rPr>
              <w:t>50%</w:t>
            </w:r>
          </w:p>
        </w:tc>
        <w:tc>
          <w:tcPr>
            <w:tcW w:w="964" w:type="dxa"/>
            <w:tcBorders>
              <w:top w:val="nil"/>
            </w:tcBorders>
            <w:shd w:val="clear" w:color="auto" w:fill="E9E9E9"/>
          </w:tcPr>
          <w:p>
            <w:pPr>
              <w:pStyle w:val="TableParagraph"/>
              <w:spacing w:before="74"/>
              <w:ind w:right="69"/>
              <w:rPr>
                <w:sz w:val="16"/>
              </w:rPr>
            </w:pPr>
            <w:r>
              <w:rPr>
                <w:w w:val="85"/>
                <w:sz w:val="16"/>
              </w:rPr>
              <w:t>48%</w:t>
            </w:r>
          </w:p>
        </w:tc>
        <w:tc>
          <w:tcPr>
            <w:tcW w:w="964" w:type="dxa"/>
            <w:tcBorders>
              <w:top w:val="nil"/>
            </w:tcBorders>
            <w:shd w:val="clear" w:color="auto" w:fill="E9E9E9"/>
          </w:tcPr>
          <w:p>
            <w:pPr>
              <w:pStyle w:val="TableParagraph"/>
              <w:spacing w:before="74"/>
              <w:ind w:right="73"/>
              <w:rPr>
                <w:sz w:val="16"/>
              </w:rPr>
            </w:pPr>
            <w:r>
              <w:rPr>
                <w:w w:val="90"/>
                <w:sz w:val="16"/>
              </w:rPr>
              <w:t>49%</w:t>
            </w:r>
          </w:p>
        </w:tc>
        <w:tc>
          <w:tcPr>
            <w:tcW w:w="964" w:type="dxa"/>
            <w:tcBorders>
              <w:top w:val="nil"/>
            </w:tcBorders>
            <w:shd w:val="clear" w:color="auto" w:fill="E9E9E9"/>
          </w:tcPr>
          <w:p>
            <w:pPr>
              <w:pStyle w:val="TableParagraph"/>
              <w:spacing w:before="74"/>
              <w:ind w:right="73"/>
              <w:rPr>
                <w:sz w:val="16"/>
              </w:rPr>
            </w:pPr>
            <w:r>
              <w:rPr>
                <w:w w:val="90"/>
                <w:sz w:val="16"/>
              </w:rPr>
              <w:t>49%</w:t>
            </w:r>
          </w:p>
        </w:tc>
        <w:tc>
          <w:tcPr>
            <w:tcW w:w="964" w:type="dxa"/>
            <w:tcBorders>
              <w:top w:val="nil"/>
            </w:tcBorders>
            <w:shd w:val="clear" w:color="auto" w:fill="E9E9E9"/>
          </w:tcPr>
          <w:p>
            <w:pPr>
              <w:pStyle w:val="TableParagraph"/>
              <w:spacing w:before="74"/>
              <w:ind w:right="72"/>
              <w:rPr>
                <w:sz w:val="16"/>
              </w:rPr>
            </w:pPr>
            <w:r>
              <w:rPr>
                <w:w w:val="90"/>
                <w:sz w:val="16"/>
              </w:rPr>
              <w:t>49%</w:t>
            </w:r>
          </w:p>
        </w:tc>
        <w:tc>
          <w:tcPr>
            <w:tcW w:w="964" w:type="dxa"/>
            <w:tcBorders>
              <w:top w:val="nil"/>
            </w:tcBorders>
            <w:shd w:val="clear" w:color="auto" w:fill="E9E9E9"/>
          </w:tcPr>
          <w:p>
            <w:pPr>
              <w:pStyle w:val="TableParagraph"/>
              <w:spacing w:before="74"/>
              <w:ind w:right="69"/>
              <w:rPr>
                <w:sz w:val="16"/>
              </w:rPr>
            </w:pPr>
            <w:r>
              <w:rPr>
                <w:w w:val="90"/>
                <w:sz w:val="16"/>
              </w:rPr>
              <w:t>50%</w:t>
            </w:r>
          </w:p>
        </w:tc>
      </w:tr>
      <w:tr>
        <w:trPr>
          <w:trHeight w:val="488" w:hRule="exact"/>
        </w:trPr>
        <w:tc>
          <w:tcPr>
            <w:tcW w:w="2211" w:type="dxa"/>
            <w:shd w:val="clear" w:color="auto" w:fill="E9E9E9"/>
          </w:tcPr>
          <w:p>
            <w:pPr>
              <w:pStyle w:val="TableParagraph"/>
              <w:spacing w:line="249" w:lineRule="auto" w:before="43"/>
              <w:ind w:left="74" w:right="54"/>
              <w:jc w:val="left"/>
              <w:rPr>
                <w:sz w:val="16"/>
              </w:rPr>
            </w:pPr>
            <w:r>
              <w:rPr>
                <w:sz w:val="16"/>
              </w:rPr>
              <w:t>Aboriginal and Torres Strait Islander people</w:t>
            </w:r>
          </w:p>
        </w:tc>
        <w:tc>
          <w:tcPr>
            <w:tcW w:w="1120"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70"/>
              <w:rPr>
                <w:sz w:val="16"/>
              </w:rPr>
            </w:pPr>
            <w:r>
              <w:rPr>
                <w:w w:val="65"/>
                <w:sz w:val="16"/>
              </w:rPr>
              <w:t>1%</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71"/>
              <w:rPr>
                <w:sz w:val="16"/>
              </w:rPr>
            </w:pPr>
            <w:r>
              <w:rPr>
                <w:w w:val="80"/>
                <w:sz w:val="16"/>
              </w:rPr>
              <w:t>3%</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68"/>
              <w:rPr>
                <w:sz w:val="16"/>
              </w:rPr>
            </w:pPr>
            <w:r>
              <w:rPr>
                <w:w w:val="80"/>
                <w:sz w:val="16"/>
              </w:rPr>
              <w:t>2%</w:t>
            </w:r>
          </w:p>
        </w:tc>
      </w:tr>
      <w:tr>
        <w:trPr>
          <w:trHeight w:val="688" w:hRule="exact"/>
        </w:trPr>
        <w:tc>
          <w:tcPr>
            <w:tcW w:w="2211" w:type="dxa"/>
            <w:shd w:val="clear" w:color="auto" w:fill="E9E9E9"/>
          </w:tcPr>
          <w:p>
            <w:pPr>
              <w:pStyle w:val="TableParagraph"/>
              <w:spacing w:line="249" w:lineRule="auto" w:before="43"/>
              <w:ind w:left="74" w:right="54"/>
              <w:jc w:val="left"/>
              <w:rPr>
                <w:sz w:val="16"/>
              </w:rPr>
            </w:pPr>
            <w:r>
              <w:rPr>
                <w:sz w:val="16"/>
              </w:rPr>
              <w:t>People whose language first spoken as a child was not English</w:t>
            </w:r>
          </w:p>
        </w:tc>
        <w:tc>
          <w:tcPr>
            <w:tcW w:w="1120" w:type="dxa"/>
            <w:shd w:val="clear" w:color="auto" w:fill="E9E9E9"/>
          </w:tcPr>
          <w:p>
            <w:pPr>
              <w:pStyle w:val="TableParagraph"/>
              <w:spacing w:before="2"/>
              <w:jc w:val="left"/>
              <w:rPr>
                <w:rFonts w:ascii="Gotham Narrow Bold"/>
                <w:b/>
                <w:sz w:val="20"/>
              </w:rPr>
            </w:pPr>
          </w:p>
          <w:p>
            <w:pPr>
              <w:pStyle w:val="TableParagraph"/>
              <w:spacing w:before="1"/>
              <w:ind w:right="73"/>
              <w:rPr>
                <w:sz w:val="16"/>
              </w:rPr>
            </w:pPr>
            <w:r>
              <w:rPr>
                <w:w w:val="75"/>
                <w:sz w:val="16"/>
              </w:rPr>
              <w:t>19%</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85"/>
                <w:sz w:val="16"/>
              </w:rPr>
              <w:t>26%</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85"/>
                <w:sz w:val="16"/>
              </w:rPr>
              <w:t>26%</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3"/>
              <w:rPr>
                <w:sz w:val="16"/>
              </w:rPr>
            </w:pPr>
            <w:r>
              <w:rPr>
                <w:w w:val="85"/>
                <w:sz w:val="16"/>
              </w:rPr>
              <w:t>26%</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85"/>
                <w:sz w:val="16"/>
              </w:rPr>
              <w:t>28%</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85"/>
                <w:sz w:val="16"/>
              </w:rPr>
              <w:t>27%</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90"/>
                <w:sz w:val="16"/>
              </w:rPr>
              <w:t>30%</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0"/>
              <w:rPr>
                <w:sz w:val="16"/>
              </w:rPr>
            </w:pPr>
            <w:r>
              <w:rPr>
                <w:w w:val="75"/>
                <w:sz w:val="16"/>
              </w:rPr>
              <w:t>31%</w:t>
            </w:r>
          </w:p>
        </w:tc>
      </w:tr>
      <w:tr>
        <w:trPr>
          <w:trHeight w:val="340" w:hRule="exact"/>
        </w:trPr>
        <w:tc>
          <w:tcPr>
            <w:tcW w:w="2211" w:type="dxa"/>
            <w:shd w:val="clear" w:color="auto" w:fill="E9E9E9"/>
          </w:tcPr>
          <w:p>
            <w:pPr>
              <w:pStyle w:val="TableParagraph"/>
              <w:spacing w:before="69"/>
              <w:ind w:left="75" w:right="54"/>
              <w:jc w:val="left"/>
              <w:rPr>
                <w:sz w:val="16"/>
              </w:rPr>
            </w:pPr>
            <w:r>
              <w:rPr>
                <w:sz w:val="16"/>
              </w:rPr>
              <w:t>People with a disability</w:t>
            </w:r>
          </w:p>
        </w:tc>
        <w:tc>
          <w:tcPr>
            <w:tcW w:w="1120" w:type="dxa"/>
            <w:shd w:val="clear" w:color="auto" w:fill="E9E9E9"/>
          </w:tcPr>
          <w:p>
            <w:pPr>
              <w:pStyle w:val="TableParagraph"/>
              <w:spacing w:before="69"/>
              <w:ind w:right="81"/>
              <w:rPr>
                <w:sz w:val="16"/>
              </w:rPr>
            </w:pPr>
            <w:r>
              <w:rPr>
                <w:w w:val="105"/>
                <w:sz w:val="16"/>
              </w:rPr>
              <w:t>N/A</w:t>
            </w:r>
          </w:p>
        </w:tc>
        <w:tc>
          <w:tcPr>
            <w:tcW w:w="964" w:type="dxa"/>
            <w:shd w:val="clear" w:color="auto" w:fill="E9E9E9"/>
          </w:tcPr>
          <w:p>
            <w:pPr>
              <w:pStyle w:val="TableParagraph"/>
              <w:spacing w:before="69"/>
              <w:ind w:right="68"/>
              <w:rPr>
                <w:sz w:val="16"/>
              </w:rPr>
            </w:pPr>
            <w:r>
              <w:rPr>
                <w:w w:val="80"/>
                <w:sz w:val="16"/>
              </w:rPr>
              <w:t>8%</w:t>
            </w:r>
          </w:p>
        </w:tc>
        <w:tc>
          <w:tcPr>
            <w:tcW w:w="964" w:type="dxa"/>
            <w:shd w:val="clear" w:color="auto" w:fill="E9E9E9"/>
          </w:tcPr>
          <w:p>
            <w:pPr>
              <w:pStyle w:val="TableParagraph"/>
              <w:spacing w:before="69"/>
              <w:ind w:right="69"/>
              <w:rPr>
                <w:sz w:val="16"/>
              </w:rPr>
            </w:pPr>
            <w:r>
              <w:rPr>
                <w:w w:val="80"/>
                <w:sz w:val="16"/>
              </w:rPr>
              <w:t>7%</w:t>
            </w:r>
          </w:p>
        </w:tc>
        <w:tc>
          <w:tcPr>
            <w:tcW w:w="964" w:type="dxa"/>
            <w:shd w:val="clear" w:color="auto" w:fill="E9E9E9"/>
          </w:tcPr>
          <w:p>
            <w:pPr>
              <w:pStyle w:val="TableParagraph"/>
              <w:spacing w:before="69"/>
              <w:ind w:right="68"/>
              <w:rPr>
                <w:sz w:val="16"/>
              </w:rPr>
            </w:pPr>
            <w:r>
              <w:rPr>
                <w:w w:val="80"/>
                <w:sz w:val="16"/>
              </w:rPr>
              <w:t>8%</w:t>
            </w:r>
          </w:p>
        </w:tc>
        <w:tc>
          <w:tcPr>
            <w:tcW w:w="964" w:type="dxa"/>
            <w:shd w:val="clear" w:color="auto" w:fill="E9E9E9"/>
          </w:tcPr>
          <w:p>
            <w:pPr>
              <w:pStyle w:val="TableParagraph"/>
              <w:spacing w:before="69"/>
              <w:ind w:right="71"/>
              <w:rPr>
                <w:sz w:val="16"/>
              </w:rPr>
            </w:pPr>
            <w:r>
              <w:rPr>
                <w:w w:val="80"/>
                <w:sz w:val="16"/>
              </w:rPr>
              <w:t>6%</w:t>
            </w:r>
          </w:p>
        </w:tc>
        <w:tc>
          <w:tcPr>
            <w:tcW w:w="964" w:type="dxa"/>
            <w:shd w:val="clear" w:color="auto" w:fill="E9E9E9"/>
          </w:tcPr>
          <w:p>
            <w:pPr>
              <w:pStyle w:val="TableParagraph"/>
              <w:spacing w:before="69"/>
              <w:ind w:right="69"/>
              <w:rPr>
                <w:sz w:val="16"/>
              </w:rPr>
            </w:pPr>
            <w:r>
              <w:rPr>
                <w:w w:val="80"/>
                <w:sz w:val="16"/>
              </w:rPr>
              <w:t>7%</w:t>
            </w:r>
          </w:p>
        </w:tc>
        <w:tc>
          <w:tcPr>
            <w:tcW w:w="964" w:type="dxa"/>
            <w:shd w:val="clear" w:color="auto" w:fill="E9E9E9"/>
          </w:tcPr>
          <w:p>
            <w:pPr>
              <w:pStyle w:val="TableParagraph"/>
              <w:spacing w:before="69"/>
              <w:ind w:right="69"/>
              <w:rPr>
                <w:sz w:val="16"/>
              </w:rPr>
            </w:pPr>
            <w:r>
              <w:rPr>
                <w:w w:val="80"/>
                <w:sz w:val="16"/>
              </w:rPr>
              <w:t>7%</w:t>
            </w:r>
          </w:p>
        </w:tc>
        <w:tc>
          <w:tcPr>
            <w:tcW w:w="964" w:type="dxa"/>
            <w:shd w:val="clear" w:color="auto" w:fill="E9E9E9"/>
          </w:tcPr>
          <w:p>
            <w:pPr>
              <w:pStyle w:val="TableParagraph"/>
              <w:spacing w:before="69"/>
              <w:ind w:right="69"/>
              <w:rPr>
                <w:sz w:val="16"/>
              </w:rPr>
            </w:pPr>
            <w:r>
              <w:rPr>
                <w:w w:val="80"/>
                <w:sz w:val="16"/>
              </w:rPr>
              <w:t>7%</w:t>
            </w:r>
          </w:p>
        </w:tc>
      </w:tr>
      <w:tr>
        <w:trPr>
          <w:trHeight w:val="488" w:hRule="exact"/>
        </w:trPr>
        <w:tc>
          <w:tcPr>
            <w:tcW w:w="2211" w:type="dxa"/>
            <w:shd w:val="clear" w:color="auto" w:fill="E9E9E9"/>
          </w:tcPr>
          <w:p>
            <w:pPr>
              <w:pStyle w:val="TableParagraph"/>
              <w:spacing w:line="249" w:lineRule="auto" w:before="43"/>
              <w:ind w:left="75" w:right="54"/>
              <w:jc w:val="left"/>
              <w:rPr>
                <w:sz w:val="16"/>
              </w:rPr>
            </w:pPr>
            <w:r>
              <w:rPr>
                <w:sz w:val="16"/>
              </w:rPr>
              <w:t>People with a disability requiring adjustment at work</w:t>
            </w:r>
          </w:p>
        </w:tc>
        <w:tc>
          <w:tcPr>
            <w:tcW w:w="1120" w:type="dxa"/>
            <w:shd w:val="clear" w:color="auto" w:fill="E9E9E9"/>
          </w:tcPr>
          <w:p>
            <w:pPr>
              <w:pStyle w:val="TableParagraph"/>
              <w:spacing w:before="143"/>
              <w:ind w:right="69"/>
              <w:rPr>
                <w:sz w:val="16"/>
              </w:rPr>
            </w:pPr>
            <w:r>
              <w:rPr>
                <w:w w:val="80"/>
                <w:sz w:val="16"/>
              </w:rPr>
              <w:t>1.50%</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70"/>
              <w:rPr>
                <w:sz w:val="16"/>
              </w:rPr>
            </w:pPr>
            <w:r>
              <w:rPr>
                <w:w w:val="65"/>
                <w:sz w:val="16"/>
              </w:rPr>
              <w:t>1%</w:t>
            </w:r>
          </w:p>
        </w:tc>
        <w:tc>
          <w:tcPr>
            <w:tcW w:w="964" w:type="dxa"/>
            <w:shd w:val="clear" w:color="auto" w:fill="E9E9E9"/>
          </w:tcPr>
          <w:p>
            <w:pPr>
              <w:pStyle w:val="TableParagraph"/>
              <w:spacing w:before="143"/>
              <w:ind w:right="70"/>
              <w:rPr>
                <w:sz w:val="16"/>
              </w:rPr>
            </w:pPr>
            <w:r>
              <w:rPr>
                <w:w w:val="65"/>
                <w:sz w:val="16"/>
              </w:rPr>
              <w:t>1%</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68"/>
              <w:rPr>
                <w:sz w:val="16"/>
              </w:rPr>
            </w:pPr>
            <w:r>
              <w:rPr>
                <w:w w:val="80"/>
                <w:sz w:val="16"/>
              </w:rPr>
              <w:t>2%</w:t>
            </w:r>
          </w:p>
        </w:tc>
      </w:tr>
    </w:tbl>
    <w:p>
      <w:pPr>
        <w:pStyle w:val="BodyText"/>
        <w:spacing w:before="2"/>
        <w:rPr>
          <w:rFonts w:ascii="Gotham Narrow Bold"/>
          <w:b/>
          <w:sz w:val="17"/>
        </w:rPr>
      </w:pPr>
    </w:p>
    <w:p>
      <w:pPr>
        <w:spacing w:before="72"/>
        <w:ind w:left="327" w:right="503" w:firstLine="0"/>
        <w:jc w:val="left"/>
        <w:rPr>
          <w:rFonts w:ascii="Gotham Narrow Bold" w:hAnsi="Gotham Narrow Bold"/>
          <w:b/>
          <w:sz w:val="16"/>
        </w:rPr>
      </w:pPr>
      <w:r>
        <w:rPr>
          <w:rFonts w:ascii="Gotham Narrow Bold" w:hAnsi="Gotham Narrow Bold"/>
          <w:b/>
          <w:color w:val="615C58"/>
          <w:sz w:val="16"/>
        </w:rPr>
        <w:t>Table A.2 Trends in the Representation of EEO Groups – General staff</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211"/>
        <w:gridCol w:w="1120"/>
        <w:gridCol w:w="964"/>
        <w:gridCol w:w="964"/>
        <w:gridCol w:w="964"/>
        <w:gridCol w:w="964"/>
        <w:gridCol w:w="964"/>
        <w:gridCol w:w="964"/>
        <w:gridCol w:w="964"/>
      </w:tblGrid>
      <w:tr>
        <w:trPr>
          <w:trHeight w:val="488" w:hRule="exact"/>
        </w:trPr>
        <w:tc>
          <w:tcPr>
            <w:tcW w:w="2211" w:type="dxa"/>
            <w:tcBorders>
              <w:top w:val="nil"/>
              <w:left w:val="nil"/>
              <w:bottom w:val="nil"/>
              <w:right w:val="nil"/>
            </w:tcBorders>
            <w:shd w:val="clear" w:color="auto" w:fill="949290"/>
          </w:tcPr>
          <w:p>
            <w:pPr>
              <w:pStyle w:val="TableParagraph"/>
              <w:spacing w:line="249" w:lineRule="auto" w:before="54"/>
              <w:ind w:left="79" w:right="342"/>
              <w:jc w:val="left"/>
              <w:rPr>
                <w:rFonts w:ascii="Gotham Narrow Bold"/>
                <w:b/>
                <w:sz w:val="16"/>
              </w:rPr>
            </w:pPr>
            <w:r>
              <w:rPr>
                <w:rFonts w:ascii="Gotham Narrow Bold"/>
                <w:b/>
                <w:color w:val="FFFFFF"/>
                <w:sz w:val="16"/>
              </w:rPr>
              <w:t>EEO GROUPS: </w:t>
            </w:r>
            <w:r>
              <w:rPr>
                <w:rFonts w:ascii="Gotham Narrow Bold"/>
                <w:b/>
                <w:color w:val="FFFFFF"/>
                <w:w w:val="95"/>
                <w:sz w:val="16"/>
              </w:rPr>
              <w:t>PROFESSIONAL STAFF</w:t>
            </w:r>
          </w:p>
        </w:tc>
        <w:tc>
          <w:tcPr>
            <w:tcW w:w="1120" w:type="dxa"/>
            <w:tcBorders>
              <w:top w:val="nil"/>
              <w:left w:val="nil"/>
              <w:bottom w:val="nil"/>
              <w:right w:val="nil"/>
            </w:tcBorders>
            <w:shd w:val="clear" w:color="auto" w:fill="949290"/>
          </w:tcPr>
          <w:p>
            <w:pPr>
              <w:pStyle w:val="TableParagraph"/>
              <w:spacing w:line="249" w:lineRule="auto" w:before="54"/>
              <w:ind w:left="207" w:right="62" w:hanging="119"/>
              <w:jc w:val="left"/>
              <w:rPr>
                <w:rFonts w:ascii="Gotham Narrow Bold"/>
                <w:b/>
                <w:sz w:val="16"/>
              </w:rPr>
            </w:pPr>
            <w:r>
              <w:rPr>
                <w:rFonts w:ascii="Gotham Narrow Bold"/>
                <w:b/>
                <w:color w:val="FFFFFF"/>
                <w:w w:val="95"/>
                <w:sz w:val="16"/>
              </w:rPr>
              <w:t>BENCHMARK OR TARGET</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9"/>
              <w:rPr>
                <w:rFonts w:ascii="Gotham Narrow Bold"/>
                <w:b/>
                <w:sz w:val="16"/>
              </w:rPr>
            </w:pPr>
            <w:r>
              <w:rPr>
                <w:rFonts w:ascii="Gotham Narrow Bold"/>
                <w:b/>
                <w:color w:val="FFFFFF"/>
                <w:w w:val="95"/>
                <w:sz w:val="16"/>
              </w:rPr>
              <w:t>2010</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2011</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2012</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2013</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2014</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2015</w:t>
            </w:r>
          </w:p>
        </w:tc>
        <w:tc>
          <w:tcPr>
            <w:tcW w:w="964" w:type="dxa"/>
            <w:tcBorders>
              <w:top w:val="nil"/>
              <w:left w:val="nil"/>
              <w:bottom w:val="nil"/>
              <w:right w:val="nil"/>
            </w:tcBorders>
            <w:shd w:val="clear" w:color="auto" w:fill="949290"/>
          </w:tcPr>
          <w:p>
            <w:pPr>
              <w:pStyle w:val="TableParagraph"/>
              <w:spacing w:before="10"/>
              <w:jc w:val="left"/>
              <w:rPr>
                <w:rFonts w:ascii="Gotham Narrow Bold"/>
                <w:b/>
                <w:sz w:val="12"/>
              </w:rPr>
            </w:pPr>
          </w:p>
          <w:p>
            <w:pPr>
              <w:pStyle w:val="TableParagraph"/>
              <w:spacing w:before="0"/>
              <w:ind w:right="78"/>
              <w:rPr>
                <w:rFonts w:ascii="Gotham Narrow Bold"/>
                <w:b/>
                <w:sz w:val="16"/>
              </w:rPr>
            </w:pPr>
            <w:r>
              <w:rPr>
                <w:rFonts w:ascii="Gotham Narrow Bold"/>
                <w:b/>
                <w:color w:val="FFFFFF"/>
                <w:w w:val="95"/>
                <w:sz w:val="16"/>
              </w:rPr>
              <w:t>2016</w:t>
            </w:r>
          </w:p>
        </w:tc>
      </w:tr>
      <w:tr>
        <w:trPr>
          <w:trHeight w:val="340" w:hRule="exact"/>
        </w:trPr>
        <w:tc>
          <w:tcPr>
            <w:tcW w:w="2211" w:type="dxa"/>
            <w:tcBorders>
              <w:top w:val="nil"/>
            </w:tcBorders>
            <w:shd w:val="clear" w:color="auto" w:fill="E9E9E9"/>
          </w:tcPr>
          <w:p>
            <w:pPr>
              <w:pStyle w:val="TableParagraph"/>
              <w:spacing w:before="74"/>
              <w:ind w:left="74" w:right="54"/>
              <w:jc w:val="left"/>
              <w:rPr>
                <w:sz w:val="16"/>
              </w:rPr>
            </w:pPr>
            <w:r>
              <w:rPr>
                <w:sz w:val="16"/>
              </w:rPr>
              <w:t>Women</w:t>
            </w:r>
          </w:p>
        </w:tc>
        <w:tc>
          <w:tcPr>
            <w:tcW w:w="1120" w:type="dxa"/>
            <w:tcBorders>
              <w:top w:val="nil"/>
            </w:tcBorders>
            <w:shd w:val="clear" w:color="auto" w:fill="E9E9E9"/>
          </w:tcPr>
          <w:p>
            <w:pPr>
              <w:pStyle w:val="TableParagraph"/>
              <w:spacing w:before="74"/>
              <w:ind w:right="69"/>
              <w:rPr>
                <w:sz w:val="16"/>
              </w:rPr>
            </w:pPr>
            <w:r>
              <w:rPr>
                <w:w w:val="90"/>
                <w:sz w:val="16"/>
              </w:rPr>
              <w:t>50%</w:t>
            </w:r>
          </w:p>
        </w:tc>
        <w:tc>
          <w:tcPr>
            <w:tcW w:w="964" w:type="dxa"/>
            <w:tcBorders>
              <w:top w:val="nil"/>
            </w:tcBorders>
            <w:shd w:val="clear" w:color="auto" w:fill="E9E9E9"/>
          </w:tcPr>
          <w:p>
            <w:pPr>
              <w:pStyle w:val="TableParagraph"/>
              <w:spacing w:before="74"/>
              <w:ind w:right="72"/>
              <w:rPr>
                <w:sz w:val="16"/>
              </w:rPr>
            </w:pPr>
            <w:r>
              <w:rPr>
                <w:w w:val="90"/>
                <w:sz w:val="16"/>
              </w:rPr>
              <w:t>66%</w:t>
            </w:r>
          </w:p>
        </w:tc>
        <w:tc>
          <w:tcPr>
            <w:tcW w:w="964" w:type="dxa"/>
            <w:tcBorders>
              <w:top w:val="nil"/>
            </w:tcBorders>
            <w:shd w:val="clear" w:color="auto" w:fill="E9E9E9"/>
          </w:tcPr>
          <w:p>
            <w:pPr>
              <w:pStyle w:val="TableParagraph"/>
              <w:spacing w:before="74"/>
              <w:ind w:right="69"/>
              <w:rPr>
                <w:sz w:val="16"/>
              </w:rPr>
            </w:pPr>
            <w:r>
              <w:rPr>
                <w:w w:val="85"/>
                <w:sz w:val="16"/>
              </w:rPr>
              <w:t>68%</w:t>
            </w:r>
          </w:p>
        </w:tc>
        <w:tc>
          <w:tcPr>
            <w:tcW w:w="964" w:type="dxa"/>
            <w:tcBorders>
              <w:top w:val="nil"/>
            </w:tcBorders>
            <w:shd w:val="clear" w:color="auto" w:fill="E9E9E9"/>
          </w:tcPr>
          <w:p>
            <w:pPr>
              <w:pStyle w:val="TableParagraph"/>
              <w:spacing w:before="74"/>
              <w:ind w:right="73"/>
              <w:rPr>
                <w:sz w:val="16"/>
              </w:rPr>
            </w:pPr>
            <w:r>
              <w:rPr>
                <w:w w:val="90"/>
                <w:sz w:val="16"/>
              </w:rPr>
              <w:t>67%</w:t>
            </w:r>
          </w:p>
        </w:tc>
        <w:tc>
          <w:tcPr>
            <w:tcW w:w="964" w:type="dxa"/>
            <w:tcBorders>
              <w:top w:val="nil"/>
            </w:tcBorders>
            <w:shd w:val="clear" w:color="auto" w:fill="E9E9E9"/>
          </w:tcPr>
          <w:p>
            <w:pPr>
              <w:pStyle w:val="TableParagraph"/>
              <w:spacing w:before="74"/>
              <w:ind w:right="69"/>
              <w:rPr>
                <w:sz w:val="16"/>
              </w:rPr>
            </w:pPr>
            <w:r>
              <w:rPr>
                <w:w w:val="85"/>
                <w:sz w:val="16"/>
              </w:rPr>
              <w:t>68%</w:t>
            </w:r>
          </w:p>
        </w:tc>
        <w:tc>
          <w:tcPr>
            <w:tcW w:w="964" w:type="dxa"/>
            <w:tcBorders>
              <w:top w:val="nil"/>
            </w:tcBorders>
            <w:shd w:val="clear" w:color="auto" w:fill="E9E9E9"/>
          </w:tcPr>
          <w:p>
            <w:pPr>
              <w:pStyle w:val="TableParagraph"/>
              <w:spacing w:before="74"/>
              <w:ind w:right="72"/>
              <w:rPr>
                <w:sz w:val="16"/>
              </w:rPr>
            </w:pPr>
            <w:r>
              <w:rPr>
                <w:w w:val="90"/>
                <w:sz w:val="16"/>
              </w:rPr>
              <w:t>67%</w:t>
            </w:r>
          </w:p>
        </w:tc>
        <w:tc>
          <w:tcPr>
            <w:tcW w:w="964" w:type="dxa"/>
            <w:tcBorders>
              <w:top w:val="nil"/>
            </w:tcBorders>
            <w:shd w:val="clear" w:color="auto" w:fill="E9E9E9"/>
          </w:tcPr>
          <w:p>
            <w:pPr>
              <w:pStyle w:val="TableParagraph"/>
              <w:spacing w:before="74"/>
              <w:ind w:right="69"/>
              <w:rPr>
                <w:sz w:val="16"/>
              </w:rPr>
            </w:pPr>
            <w:r>
              <w:rPr>
                <w:w w:val="85"/>
                <w:sz w:val="16"/>
              </w:rPr>
              <w:t>68%</w:t>
            </w:r>
          </w:p>
        </w:tc>
        <w:tc>
          <w:tcPr>
            <w:tcW w:w="964" w:type="dxa"/>
            <w:tcBorders>
              <w:top w:val="nil"/>
            </w:tcBorders>
            <w:shd w:val="clear" w:color="auto" w:fill="E9E9E9"/>
          </w:tcPr>
          <w:p>
            <w:pPr>
              <w:pStyle w:val="TableParagraph"/>
              <w:spacing w:before="74"/>
              <w:ind w:right="72"/>
              <w:rPr>
                <w:sz w:val="16"/>
              </w:rPr>
            </w:pPr>
            <w:r>
              <w:rPr>
                <w:w w:val="90"/>
                <w:sz w:val="16"/>
              </w:rPr>
              <w:t>67%</w:t>
            </w:r>
          </w:p>
        </w:tc>
      </w:tr>
      <w:tr>
        <w:trPr>
          <w:trHeight w:val="488" w:hRule="exact"/>
        </w:trPr>
        <w:tc>
          <w:tcPr>
            <w:tcW w:w="2211" w:type="dxa"/>
            <w:shd w:val="clear" w:color="auto" w:fill="E9E9E9"/>
          </w:tcPr>
          <w:p>
            <w:pPr>
              <w:pStyle w:val="TableParagraph"/>
              <w:spacing w:line="249" w:lineRule="auto" w:before="43"/>
              <w:ind w:left="75" w:right="54"/>
              <w:jc w:val="left"/>
              <w:rPr>
                <w:sz w:val="16"/>
              </w:rPr>
            </w:pPr>
            <w:r>
              <w:rPr>
                <w:sz w:val="16"/>
              </w:rPr>
              <w:t>Aboriginal and Torres Strait Islander people</w:t>
            </w:r>
          </w:p>
        </w:tc>
        <w:tc>
          <w:tcPr>
            <w:tcW w:w="1120"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68"/>
              <w:rPr>
                <w:sz w:val="16"/>
              </w:rPr>
            </w:pPr>
            <w:r>
              <w:rPr>
                <w:w w:val="80"/>
                <w:sz w:val="16"/>
              </w:rPr>
              <w:t>2%</w:t>
            </w:r>
          </w:p>
        </w:tc>
        <w:tc>
          <w:tcPr>
            <w:tcW w:w="964" w:type="dxa"/>
            <w:shd w:val="clear" w:color="auto" w:fill="E9E9E9"/>
          </w:tcPr>
          <w:p>
            <w:pPr>
              <w:pStyle w:val="TableParagraph"/>
              <w:spacing w:before="143"/>
              <w:ind w:right="71"/>
              <w:rPr>
                <w:sz w:val="16"/>
              </w:rPr>
            </w:pPr>
            <w:r>
              <w:rPr>
                <w:w w:val="80"/>
                <w:sz w:val="16"/>
              </w:rPr>
              <w:t>3%</w:t>
            </w:r>
          </w:p>
        </w:tc>
        <w:tc>
          <w:tcPr>
            <w:tcW w:w="964" w:type="dxa"/>
            <w:shd w:val="clear" w:color="auto" w:fill="E9E9E9"/>
          </w:tcPr>
          <w:p>
            <w:pPr>
              <w:pStyle w:val="TableParagraph"/>
              <w:spacing w:before="143"/>
              <w:ind w:right="71"/>
              <w:rPr>
                <w:sz w:val="16"/>
              </w:rPr>
            </w:pPr>
            <w:r>
              <w:rPr>
                <w:w w:val="80"/>
                <w:sz w:val="16"/>
              </w:rPr>
              <w:t>3%</w:t>
            </w:r>
          </w:p>
        </w:tc>
        <w:tc>
          <w:tcPr>
            <w:tcW w:w="964" w:type="dxa"/>
            <w:shd w:val="clear" w:color="auto" w:fill="E9E9E9"/>
          </w:tcPr>
          <w:p>
            <w:pPr>
              <w:pStyle w:val="TableParagraph"/>
              <w:spacing w:before="143"/>
              <w:ind w:right="73"/>
              <w:rPr>
                <w:sz w:val="16"/>
              </w:rPr>
            </w:pPr>
            <w:r>
              <w:rPr>
                <w:w w:val="85"/>
                <w:sz w:val="16"/>
              </w:rPr>
              <w:t>4%</w:t>
            </w:r>
          </w:p>
        </w:tc>
        <w:tc>
          <w:tcPr>
            <w:tcW w:w="964" w:type="dxa"/>
            <w:shd w:val="clear" w:color="auto" w:fill="E9E9E9"/>
          </w:tcPr>
          <w:p>
            <w:pPr>
              <w:pStyle w:val="TableParagraph"/>
              <w:spacing w:before="143"/>
              <w:ind w:right="73"/>
              <w:rPr>
                <w:sz w:val="16"/>
              </w:rPr>
            </w:pPr>
            <w:r>
              <w:rPr>
                <w:w w:val="85"/>
                <w:sz w:val="16"/>
              </w:rPr>
              <w:t>4%</w:t>
            </w:r>
          </w:p>
        </w:tc>
        <w:tc>
          <w:tcPr>
            <w:tcW w:w="964" w:type="dxa"/>
            <w:shd w:val="clear" w:color="auto" w:fill="E9E9E9"/>
          </w:tcPr>
          <w:p>
            <w:pPr>
              <w:pStyle w:val="TableParagraph"/>
              <w:spacing w:before="143"/>
              <w:ind w:right="71"/>
              <w:rPr>
                <w:sz w:val="16"/>
              </w:rPr>
            </w:pPr>
            <w:r>
              <w:rPr>
                <w:w w:val="80"/>
                <w:sz w:val="16"/>
              </w:rPr>
              <w:t>3%</w:t>
            </w:r>
          </w:p>
        </w:tc>
        <w:tc>
          <w:tcPr>
            <w:tcW w:w="964" w:type="dxa"/>
            <w:shd w:val="clear" w:color="auto" w:fill="E9E9E9"/>
          </w:tcPr>
          <w:p>
            <w:pPr>
              <w:pStyle w:val="TableParagraph"/>
              <w:spacing w:before="143"/>
              <w:ind w:right="73"/>
              <w:rPr>
                <w:sz w:val="16"/>
              </w:rPr>
            </w:pPr>
            <w:r>
              <w:rPr>
                <w:w w:val="85"/>
                <w:sz w:val="16"/>
              </w:rPr>
              <w:t>4%</w:t>
            </w:r>
          </w:p>
        </w:tc>
      </w:tr>
      <w:tr>
        <w:trPr>
          <w:trHeight w:val="688" w:hRule="exact"/>
        </w:trPr>
        <w:tc>
          <w:tcPr>
            <w:tcW w:w="2211" w:type="dxa"/>
            <w:shd w:val="clear" w:color="auto" w:fill="E9E9E9"/>
          </w:tcPr>
          <w:p>
            <w:pPr>
              <w:pStyle w:val="TableParagraph"/>
              <w:spacing w:line="249" w:lineRule="auto" w:before="43"/>
              <w:ind w:left="75" w:right="54"/>
              <w:jc w:val="left"/>
              <w:rPr>
                <w:sz w:val="16"/>
              </w:rPr>
            </w:pPr>
            <w:r>
              <w:rPr>
                <w:sz w:val="16"/>
              </w:rPr>
              <w:t>People whose language first spoken as a child was not English</w:t>
            </w:r>
          </w:p>
        </w:tc>
        <w:tc>
          <w:tcPr>
            <w:tcW w:w="1120"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75"/>
                <w:sz w:val="16"/>
              </w:rPr>
              <w:t>19%</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70"/>
                <w:sz w:val="16"/>
              </w:rPr>
              <w:t>17%</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70"/>
                <w:sz w:val="16"/>
              </w:rPr>
              <w:t>17%</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68"/>
              <w:rPr>
                <w:sz w:val="16"/>
              </w:rPr>
            </w:pPr>
            <w:r>
              <w:rPr>
                <w:w w:val="75"/>
                <w:sz w:val="16"/>
              </w:rPr>
              <w:t>18%</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68"/>
              <w:rPr>
                <w:sz w:val="16"/>
              </w:rPr>
            </w:pPr>
            <w:r>
              <w:rPr>
                <w:w w:val="75"/>
                <w:sz w:val="16"/>
              </w:rPr>
              <w:t>18%</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70"/>
                <w:sz w:val="16"/>
              </w:rPr>
              <w:t>17%</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75"/>
                <w:sz w:val="16"/>
              </w:rPr>
              <w:t>19%</w:t>
            </w:r>
          </w:p>
        </w:tc>
        <w:tc>
          <w:tcPr>
            <w:tcW w:w="964" w:type="dxa"/>
            <w:shd w:val="clear" w:color="auto" w:fill="E9E9E9"/>
          </w:tcPr>
          <w:p>
            <w:pPr>
              <w:pStyle w:val="TableParagraph"/>
              <w:spacing w:before="2"/>
              <w:jc w:val="left"/>
              <w:rPr>
                <w:rFonts w:ascii="Gotham Narrow Bold"/>
                <w:b/>
                <w:sz w:val="20"/>
              </w:rPr>
            </w:pPr>
          </w:p>
          <w:p>
            <w:pPr>
              <w:pStyle w:val="TableParagraph"/>
              <w:spacing w:before="1"/>
              <w:ind w:right="72"/>
              <w:rPr>
                <w:sz w:val="16"/>
              </w:rPr>
            </w:pPr>
            <w:r>
              <w:rPr>
                <w:w w:val="75"/>
                <w:sz w:val="16"/>
              </w:rPr>
              <w:t>19%</w:t>
            </w:r>
          </w:p>
        </w:tc>
      </w:tr>
      <w:tr>
        <w:trPr>
          <w:trHeight w:val="340" w:hRule="exact"/>
        </w:trPr>
        <w:tc>
          <w:tcPr>
            <w:tcW w:w="2211" w:type="dxa"/>
            <w:shd w:val="clear" w:color="auto" w:fill="E9E9E9"/>
          </w:tcPr>
          <w:p>
            <w:pPr>
              <w:pStyle w:val="TableParagraph"/>
              <w:spacing w:before="69"/>
              <w:ind w:left="75" w:right="54"/>
              <w:jc w:val="left"/>
              <w:rPr>
                <w:sz w:val="16"/>
              </w:rPr>
            </w:pPr>
            <w:r>
              <w:rPr>
                <w:sz w:val="16"/>
              </w:rPr>
              <w:t>People with a disability</w:t>
            </w:r>
          </w:p>
        </w:tc>
        <w:tc>
          <w:tcPr>
            <w:tcW w:w="1120" w:type="dxa"/>
            <w:shd w:val="clear" w:color="auto" w:fill="E9E9E9"/>
          </w:tcPr>
          <w:p>
            <w:pPr>
              <w:pStyle w:val="TableParagraph"/>
              <w:spacing w:before="69"/>
              <w:ind w:right="81"/>
              <w:rPr>
                <w:sz w:val="16"/>
              </w:rPr>
            </w:pPr>
            <w:r>
              <w:rPr>
                <w:w w:val="105"/>
                <w:sz w:val="16"/>
              </w:rPr>
              <w:t>N/A</w:t>
            </w:r>
          </w:p>
        </w:tc>
        <w:tc>
          <w:tcPr>
            <w:tcW w:w="964" w:type="dxa"/>
            <w:shd w:val="clear" w:color="auto" w:fill="E9E9E9"/>
          </w:tcPr>
          <w:p>
            <w:pPr>
              <w:pStyle w:val="TableParagraph"/>
              <w:spacing w:before="69"/>
              <w:ind w:right="69"/>
              <w:rPr>
                <w:sz w:val="16"/>
              </w:rPr>
            </w:pPr>
            <w:r>
              <w:rPr>
                <w:w w:val="75"/>
                <w:sz w:val="16"/>
              </w:rPr>
              <w:t>10%</w:t>
            </w:r>
          </w:p>
        </w:tc>
        <w:tc>
          <w:tcPr>
            <w:tcW w:w="964" w:type="dxa"/>
            <w:shd w:val="clear" w:color="auto" w:fill="E9E9E9"/>
          </w:tcPr>
          <w:p>
            <w:pPr>
              <w:pStyle w:val="TableParagraph"/>
              <w:spacing w:before="69"/>
              <w:ind w:right="68"/>
              <w:rPr>
                <w:sz w:val="16"/>
              </w:rPr>
            </w:pPr>
            <w:r>
              <w:rPr>
                <w:w w:val="75"/>
                <w:sz w:val="16"/>
              </w:rPr>
              <w:t>10%</w:t>
            </w:r>
          </w:p>
        </w:tc>
        <w:tc>
          <w:tcPr>
            <w:tcW w:w="964" w:type="dxa"/>
            <w:shd w:val="clear" w:color="auto" w:fill="E9E9E9"/>
          </w:tcPr>
          <w:p>
            <w:pPr>
              <w:pStyle w:val="TableParagraph"/>
              <w:spacing w:before="69"/>
              <w:ind w:right="68"/>
              <w:rPr>
                <w:sz w:val="16"/>
              </w:rPr>
            </w:pPr>
            <w:r>
              <w:rPr>
                <w:w w:val="80"/>
                <w:sz w:val="16"/>
              </w:rPr>
              <w:t>9%</w:t>
            </w:r>
          </w:p>
        </w:tc>
        <w:tc>
          <w:tcPr>
            <w:tcW w:w="964" w:type="dxa"/>
            <w:shd w:val="clear" w:color="auto" w:fill="E9E9E9"/>
          </w:tcPr>
          <w:p>
            <w:pPr>
              <w:pStyle w:val="TableParagraph"/>
              <w:spacing w:before="69"/>
              <w:ind w:right="68"/>
              <w:rPr>
                <w:sz w:val="16"/>
              </w:rPr>
            </w:pPr>
            <w:r>
              <w:rPr>
                <w:w w:val="80"/>
                <w:sz w:val="16"/>
              </w:rPr>
              <w:t>8%</w:t>
            </w:r>
          </w:p>
        </w:tc>
        <w:tc>
          <w:tcPr>
            <w:tcW w:w="964" w:type="dxa"/>
            <w:shd w:val="clear" w:color="auto" w:fill="E9E9E9"/>
          </w:tcPr>
          <w:p>
            <w:pPr>
              <w:pStyle w:val="TableParagraph"/>
              <w:spacing w:before="69"/>
              <w:ind w:right="69"/>
              <w:rPr>
                <w:sz w:val="16"/>
              </w:rPr>
            </w:pPr>
            <w:r>
              <w:rPr>
                <w:w w:val="80"/>
                <w:sz w:val="16"/>
              </w:rPr>
              <w:t>7%</w:t>
            </w:r>
          </w:p>
        </w:tc>
        <w:tc>
          <w:tcPr>
            <w:tcW w:w="964" w:type="dxa"/>
            <w:shd w:val="clear" w:color="auto" w:fill="E9E9E9"/>
          </w:tcPr>
          <w:p>
            <w:pPr>
              <w:pStyle w:val="TableParagraph"/>
              <w:spacing w:before="69"/>
              <w:ind w:right="68"/>
              <w:rPr>
                <w:sz w:val="16"/>
              </w:rPr>
            </w:pPr>
            <w:r>
              <w:rPr>
                <w:w w:val="80"/>
                <w:sz w:val="16"/>
              </w:rPr>
              <w:t>8%</w:t>
            </w:r>
          </w:p>
        </w:tc>
        <w:tc>
          <w:tcPr>
            <w:tcW w:w="964" w:type="dxa"/>
            <w:shd w:val="clear" w:color="auto" w:fill="E9E9E9"/>
          </w:tcPr>
          <w:p>
            <w:pPr>
              <w:pStyle w:val="TableParagraph"/>
              <w:spacing w:before="69"/>
              <w:ind w:right="68"/>
              <w:rPr>
                <w:sz w:val="16"/>
              </w:rPr>
            </w:pPr>
            <w:r>
              <w:rPr>
                <w:w w:val="80"/>
                <w:sz w:val="16"/>
              </w:rPr>
              <w:t>8%</w:t>
            </w:r>
          </w:p>
        </w:tc>
      </w:tr>
      <w:tr>
        <w:trPr>
          <w:trHeight w:val="488" w:hRule="exact"/>
        </w:trPr>
        <w:tc>
          <w:tcPr>
            <w:tcW w:w="2211" w:type="dxa"/>
            <w:shd w:val="clear" w:color="auto" w:fill="E9E9E9"/>
          </w:tcPr>
          <w:p>
            <w:pPr>
              <w:pStyle w:val="TableParagraph"/>
              <w:spacing w:line="249" w:lineRule="auto" w:before="43"/>
              <w:ind w:left="75" w:right="54"/>
              <w:jc w:val="left"/>
              <w:rPr>
                <w:sz w:val="16"/>
              </w:rPr>
            </w:pPr>
            <w:r>
              <w:rPr>
                <w:sz w:val="16"/>
              </w:rPr>
              <w:t>People with a disability requiring adjustment at work</w:t>
            </w:r>
          </w:p>
        </w:tc>
        <w:tc>
          <w:tcPr>
            <w:tcW w:w="1120" w:type="dxa"/>
            <w:shd w:val="clear" w:color="auto" w:fill="E9E9E9"/>
          </w:tcPr>
          <w:p>
            <w:pPr>
              <w:pStyle w:val="TableParagraph"/>
              <w:spacing w:before="143"/>
              <w:ind w:right="68"/>
              <w:rPr>
                <w:sz w:val="16"/>
              </w:rPr>
            </w:pPr>
            <w:r>
              <w:rPr>
                <w:w w:val="80"/>
                <w:sz w:val="16"/>
              </w:rPr>
              <w:t>1.50%</w:t>
            </w:r>
          </w:p>
        </w:tc>
        <w:tc>
          <w:tcPr>
            <w:tcW w:w="964" w:type="dxa"/>
            <w:shd w:val="clear" w:color="auto" w:fill="E9E9E9"/>
          </w:tcPr>
          <w:p>
            <w:pPr>
              <w:pStyle w:val="TableParagraph"/>
              <w:spacing w:before="143"/>
              <w:ind w:right="70"/>
              <w:rPr>
                <w:sz w:val="16"/>
              </w:rPr>
            </w:pPr>
            <w:r>
              <w:rPr>
                <w:w w:val="80"/>
                <w:sz w:val="16"/>
              </w:rPr>
              <w:t>3%</w:t>
            </w:r>
          </w:p>
        </w:tc>
        <w:tc>
          <w:tcPr>
            <w:tcW w:w="964" w:type="dxa"/>
            <w:shd w:val="clear" w:color="auto" w:fill="E9E9E9"/>
          </w:tcPr>
          <w:p>
            <w:pPr>
              <w:pStyle w:val="TableParagraph"/>
              <w:spacing w:before="143"/>
              <w:ind w:right="70"/>
              <w:rPr>
                <w:sz w:val="16"/>
              </w:rPr>
            </w:pPr>
            <w:r>
              <w:rPr>
                <w:w w:val="80"/>
                <w:sz w:val="16"/>
              </w:rPr>
              <w:t>3%</w:t>
            </w:r>
          </w:p>
        </w:tc>
        <w:tc>
          <w:tcPr>
            <w:tcW w:w="964" w:type="dxa"/>
            <w:shd w:val="clear" w:color="auto" w:fill="E9E9E9"/>
          </w:tcPr>
          <w:p>
            <w:pPr>
              <w:pStyle w:val="TableParagraph"/>
              <w:spacing w:before="143"/>
              <w:ind w:right="70"/>
              <w:rPr>
                <w:sz w:val="16"/>
              </w:rPr>
            </w:pPr>
            <w:r>
              <w:rPr>
                <w:w w:val="80"/>
                <w:sz w:val="16"/>
              </w:rPr>
              <w:t>3%</w:t>
            </w:r>
          </w:p>
        </w:tc>
        <w:tc>
          <w:tcPr>
            <w:tcW w:w="964" w:type="dxa"/>
            <w:shd w:val="clear" w:color="auto" w:fill="E9E9E9"/>
          </w:tcPr>
          <w:p>
            <w:pPr>
              <w:pStyle w:val="TableParagraph"/>
              <w:spacing w:before="143"/>
              <w:ind w:right="70"/>
              <w:rPr>
                <w:sz w:val="16"/>
              </w:rPr>
            </w:pPr>
            <w:r>
              <w:rPr>
                <w:w w:val="80"/>
                <w:sz w:val="16"/>
              </w:rPr>
              <w:t>3%</w:t>
            </w:r>
          </w:p>
        </w:tc>
        <w:tc>
          <w:tcPr>
            <w:tcW w:w="964" w:type="dxa"/>
            <w:shd w:val="clear" w:color="auto" w:fill="E9E9E9"/>
          </w:tcPr>
          <w:p>
            <w:pPr>
              <w:pStyle w:val="TableParagraph"/>
              <w:spacing w:before="143"/>
              <w:ind w:right="67"/>
              <w:rPr>
                <w:sz w:val="16"/>
              </w:rPr>
            </w:pPr>
            <w:r>
              <w:rPr>
                <w:w w:val="80"/>
                <w:sz w:val="16"/>
              </w:rPr>
              <w:t>2%</w:t>
            </w:r>
          </w:p>
        </w:tc>
        <w:tc>
          <w:tcPr>
            <w:tcW w:w="964" w:type="dxa"/>
            <w:shd w:val="clear" w:color="auto" w:fill="E9E9E9"/>
          </w:tcPr>
          <w:p>
            <w:pPr>
              <w:pStyle w:val="TableParagraph"/>
              <w:spacing w:before="143"/>
              <w:ind w:right="70"/>
              <w:rPr>
                <w:sz w:val="16"/>
              </w:rPr>
            </w:pPr>
            <w:r>
              <w:rPr>
                <w:w w:val="80"/>
                <w:sz w:val="16"/>
              </w:rPr>
              <w:t>3%</w:t>
            </w:r>
          </w:p>
        </w:tc>
        <w:tc>
          <w:tcPr>
            <w:tcW w:w="964" w:type="dxa"/>
            <w:shd w:val="clear" w:color="auto" w:fill="E9E9E9"/>
          </w:tcPr>
          <w:p>
            <w:pPr>
              <w:pStyle w:val="TableParagraph"/>
              <w:spacing w:before="143"/>
              <w:ind w:right="67"/>
              <w:rPr>
                <w:sz w:val="16"/>
              </w:rPr>
            </w:pPr>
            <w:r>
              <w:rPr>
                <w:w w:val="80"/>
                <w:sz w:val="16"/>
              </w:rPr>
              <w:t>2%</w:t>
            </w:r>
          </w:p>
        </w:tc>
      </w:tr>
    </w:tbl>
    <w:p>
      <w:pPr>
        <w:pStyle w:val="BodyText"/>
        <w:spacing w:before="2"/>
        <w:rPr>
          <w:rFonts w:ascii="Gotham Narrow Bold"/>
          <w:b/>
          <w:sz w:val="17"/>
        </w:rPr>
      </w:pPr>
    </w:p>
    <w:p>
      <w:pPr>
        <w:spacing w:before="72"/>
        <w:ind w:left="327" w:right="503" w:firstLine="0"/>
        <w:jc w:val="left"/>
        <w:rPr>
          <w:rFonts w:ascii="Gotham Narrow Bold" w:hAnsi="Gotham Narrow Bold"/>
          <w:b/>
          <w:sz w:val="16"/>
        </w:rPr>
      </w:pPr>
      <w:r>
        <w:rPr>
          <w:rFonts w:ascii="Gotham Narrow Bold" w:hAnsi="Gotham Narrow Bold"/>
          <w:b/>
          <w:color w:val="615C58"/>
          <w:sz w:val="16"/>
        </w:rPr>
        <w:t>Table B.1. Trends in the Distribution of EEO Groups – Academic staff</w:t>
      </w:r>
    </w:p>
    <w:p>
      <w:pPr>
        <w:spacing w:before="93"/>
        <w:ind w:left="327" w:right="7611" w:firstLine="0"/>
        <w:jc w:val="left"/>
        <w:rPr>
          <w:rFonts w:ascii="Gotham Narrow Book"/>
          <w:b w:val="0"/>
          <w:i/>
          <w:sz w:val="16"/>
        </w:rPr>
      </w:pPr>
      <w:r>
        <w:rPr>
          <w:rFonts w:ascii="Gotham Narrow Book"/>
          <w:b w:val="0"/>
          <w:i/>
          <w:sz w:val="16"/>
        </w:rPr>
        <w:t>Distribution index</w:t>
      </w:r>
    </w:p>
    <w:p>
      <w:pPr>
        <w:pStyle w:val="BodyText"/>
        <w:spacing w:before="3" w:after="1"/>
        <w:rPr>
          <w:rFonts w:ascii="Gotham Narrow Book"/>
          <w:b w:val="0"/>
          <w:i/>
          <w:sz w:val="13"/>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211"/>
        <w:gridCol w:w="1120"/>
        <w:gridCol w:w="964"/>
        <w:gridCol w:w="964"/>
        <w:gridCol w:w="964"/>
        <w:gridCol w:w="964"/>
        <w:gridCol w:w="964"/>
        <w:gridCol w:w="964"/>
        <w:gridCol w:w="964"/>
      </w:tblGrid>
      <w:tr>
        <w:trPr>
          <w:trHeight w:val="488" w:hRule="exact"/>
        </w:trPr>
        <w:tc>
          <w:tcPr>
            <w:tcW w:w="2211" w:type="dxa"/>
            <w:tcBorders>
              <w:top w:val="nil"/>
              <w:left w:val="nil"/>
              <w:bottom w:val="nil"/>
              <w:right w:val="nil"/>
            </w:tcBorders>
            <w:shd w:val="clear" w:color="auto" w:fill="949290"/>
          </w:tcPr>
          <w:p>
            <w:pPr>
              <w:pStyle w:val="TableParagraph"/>
              <w:spacing w:line="249" w:lineRule="auto" w:before="54"/>
              <w:ind w:left="79" w:right="342"/>
              <w:jc w:val="left"/>
              <w:rPr>
                <w:rFonts w:ascii="Gotham Narrow Bold"/>
                <w:b/>
                <w:sz w:val="16"/>
              </w:rPr>
            </w:pPr>
            <w:r>
              <w:rPr>
                <w:rFonts w:ascii="Gotham Narrow Bold"/>
                <w:b/>
                <w:color w:val="FFFFFF"/>
                <w:sz w:val="16"/>
              </w:rPr>
              <w:t>EEO GROUPS: </w:t>
            </w:r>
            <w:r>
              <w:rPr>
                <w:rFonts w:ascii="Gotham Narrow Bold"/>
                <w:b/>
                <w:color w:val="FFFFFF"/>
                <w:w w:val="95"/>
                <w:sz w:val="16"/>
              </w:rPr>
              <w:t>ACADEMIC STAFF</w:t>
            </w:r>
          </w:p>
        </w:tc>
        <w:tc>
          <w:tcPr>
            <w:tcW w:w="1120" w:type="dxa"/>
            <w:tcBorders>
              <w:top w:val="nil"/>
              <w:left w:val="nil"/>
              <w:bottom w:val="nil"/>
              <w:right w:val="nil"/>
            </w:tcBorders>
            <w:shd w:val="clear" w:color="auto" w:fill="949290"/>
          </w:tcPr>
          <w:p>
            <w:pPr>
              <w:pStyle w:val="TableParagraph"/>
              <w:spacing w:line="249" w:lineRule="auto" w:before="54"/>
              <w:ind w:left="213" w:hanging="119"/>
              <w:jc w:val="left"/>
              <w:rPr>
                <w:rFonts w:ascii="Gotham Narrow Bold"/>
                <w:b/>
                <w:sz w:val="16"/>
              </w:rPr>
            </w:pPr>
            <w:r>
              <w:rPr>
                <w:rFonts w:ascii="Gotham Narrow Bold"/>
                <w:b/>
                <w:color w:val="FFFFFF"/>
                <w:w w:val="95"/>
                <w:sz w:val="16"/>
              </w:rPr>
              <w:t>BENCHMARK OR TARGET</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9"/>
              <w:rPr>
                <w:rFonts w:ascii="Gotham Narrow Bold"/>
                <w:b/>
                <w:sz w:val="16"/>
              </w:rPr>
            </w:pPr>
            <w:r>
              <w:rPr>
                <w:rFonts w:ascii="Gotham Narrow Bold"/>
                <w:b/>
                <w:color w:val="FFFFFF"/>
                <w:w w:val="95"/>
                <w:sz w:val="16"/>
              </w:rPr>
              <w:t>2010</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2011</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2012</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2013</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2014</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2015</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2016</w:t>
            </w:r>
          </w:p>
        </w:tc>
      </w:tr>
      <w:tr>
        <w:trPr>
          <w:trHeight w:val="340" w:hRule="exact"/>
        </w:trPr>
        <w:tc>
          <w:tcPr>
            <w:tcW w:w="2211" w:type="dxa"/>
            <w:tcBorders>
              <w:top w:val="nil"/>
            </w:tcBorders>
            <w:shd w:val="clear" w:color="auto" w:fill="E9E9E9"/>
          </w:tcPr>
          <w:p>
            <w:pPr>
              <w:pStyle w:val="TableParagraph"/>
              <w:spacing w:before="74"/>
              <w:ind w:left="74" w:right="54"/>
              <w:jc w:val="left"/>
              <w:rPr>
                <w:sz w:val="16"/>
              </w:rPr>
            </w:pPr>
            <w:r>
              <w:rPr>
                <w:sz w:val="16"/>
              </w:rPr>
              <w:t>Women</w:t>
            </w:r>
          </w:p>
        </w:tc>
        <w:tc>
          <w:tcPr>
            <w:tcW w:w="1120" w:type="dxa"/>
            <w:tcBorders>
              <w:top w:val="nil"/>
            </w:tcBorders>
            <w:shd w:val="clear" w:color="auto" w:fill="E9E9E9"/>
          </w:tcPr>
          <w:p>
            <w:pPr>
              <w:pStyle w:val="TableParagraph"/>
              <w:spacing w:before="74"/>
              <w:ind w:right="73"/>
              <w:rPr>
                <w:sz w:val="16"/>
              </w:rPr>
            </w:pPr>
            <w:r>
              <w:rPr>
                <w:w w:val="90"/>
                <w:sz w:val="16"/>
              </w:rPr>
              <w:t>100</w:t>
            </w:r>
          </w:p>
        </w:tc>
        <w:tc>
          <w:tcPr>
            <w:tcW w:w="964" w:type="dxa"/>
            <w:tcBorders>
              <w:top w:val="nil"/>
            </w:tcBorders>
            <w:shd w:val="clear" w:color="auto" w:fill="E9E9E9"/>
          </w:tcPr>
          <w:p>
            <w:pPr>
              <w:pStyle w:val="TableParagraph"/>
              <w:spacing w:before="74"/>
              <w:ind w:right="69"/>
              <w:rPr>
                <w:sz w:val="16"/>
              </w:rPr>
            </w:pPr>
            <w:r>
              <w:rPr>
                <w:w w:val="95"/>
                <w:sz w:val="16"/>
              </w:rPr>
              <w:t>85</w:t>
            </w:r>
          </w:p>
        </w:tc>
        <w:tc>
          <w:tcPr>
            <w:tcW w:w="964" w:type="dxa"/>
            <w:tcBorders>
              <w:top w:val="nil"/>
            </w:tcBorders>
            <w:shd w:val="clear" w:color="auto" w:fill="E9E9E9"/>
          </w:tcPr>
          <w:p>
            <w:pPr>
              <w:pStyle w:val="TableParagraph"/>
              <w:spacing w:before="74"/>
              <w:ind w:right="68"/>
              <w:rPr>
                <w:sz w:val="16"/>
              </w:rPr>
            </w:pPr>
            <w:r>
              <w:rPr>
                <w:w w:val="95"/>
                <w:sz w:val="16"/>
              </w:rPr>
              <w:t>83</w:t>
            </w:r>
          </w:p>
        </w:tc>
        <w:tc>
          <w:tcPr>
            <w:tcW w:w="964" w:type="dxa"/>
            <w:tcBorders>
              <w:top w:val="nil"/>
            </w:tcBorders>
            <w:shd w:val="clear" w:color="auto" w:fill="E9E9E9"/>
          </w:tcPr>
          <w:p>
            <w:pPr>
              <w:pStyle w:val="TableParagraph"/>
              <w:spacing w:before="74"/>
              <w:ind w:right="72"/>
              <w:rPr>
                <w:sz w:val="16"/>
              </w:rPr>
            </w:pPr>
            <w:r>
              <w:rPr>
                <w:w w:val="95"/>
                <w:sz w:val="16"/>
              </w:rPr>
              <w:t>87</w:t>
            </w:r>
          </w:p>
        </w:tc>
        <w:tc>
          <w:tcPr>
            <w:tcW w:w="964" w:type="dxa"/>
            <w:tcBorders>
              <w:top w:val="nil"/>
            </w:tcBorders>
            <w:shd w:val="clear" w:color="auto" w:fill="E9E9E9"/>
          </w:tcPr>
          <w:p>
            <w:pPr>
              <w:pStyle w:val="TableParagraph"/>
              <w:spacing w:before="74"/>
              <w:ind w:right="69"/>
              <w:rPr>
                <w:sz w:val="16"/>
              </w:rPr>
            </w:pPr>
            <w:r>
              <w:rPr>
                <w:w w:val="95"/>
                <w:sz w:val="16"/>
              </w:rPr>
              <w:t>85</w:t>
            </w:r>
          </w:p>
        </w:tc>
        <w:tc>
          <w:tcPr>
            <w:tcW w:w="964" w:type="dxa"/>
            <w:tcBorders>
              <w:top w:val="nil"/>
            </w:tcBorders>
            <w:shd w:val="clear" w:color="auto" w:fill="E9E9E9"/>
          </w:tcPr>
          <w:p>
            <w:pPr>
              <w:pStyle w:val="TableParagraph"/>
              <w:spacing w:before="74"/>
              <w:ind w:right="67"/>
              <w:rPr>
                <w:sz w:val="16"/>
              </w:rPr>
            </w:pPr>
            <w:r>
              <w:rPr>
                <w:w w:val="95"/>
                <w:sz w:val="16"/>
              </w:rPr>
              <w:t>88</w:t>
            </w:r>
          </w:p>
        </w:tc>
        <w:tc>
          <w:tcPr>
            <w:tcW w:w="964" w:type="dxa"/>
            <w:tcBorders>
              <w:top w:val="nil"/>
            </w:tcBorders>
            <w:shd w:val="clear" w:color="auto" w:fill="E9E9E9"/>
          </w:tcPr>
          <w:p>
            <w:pPr>
              <w:pStyle w:val="TableParagraph"/>
              <w:spacing w:before="74"/>
              <w:ind w:right="68"/>
              <w:rPr>
                <w:sz w:val="16"/>
              </w:rPr>
            </w:pPr>
            <w:r>
              <w:rPr>
                <w:w w:val="105"/>
                <w:sz w:val="16"/>
              </w:rPr>
              <w:t>90</w:t>
            </w:r>
          </w:p>
        </w:tc>
        <w:tc>
          <w:tcPr>
            <w:tcW w:w="964" w:type="dxa"/>
            <w:tcBorders>
              <w:top w:val="nil"/>
            </w:tcBorders>
            <w:shd w:val="clear" w:color="auto" w:fill="E9E9E9"/>
          </w:tcPr>
          <w:p>
            <w:pPr>
              <w:pStyle w:val="TableParagraph"/>
              <w:spacing w:before="74"/>
              <w:ind w:right="70"/>
              <w:rPr>
                <w:sz w:val="16"/>
              </w:rPr>
            </w:pPr>
            <w:r>
              <w:rPr>
                <w:w w:val="80"/>
                <w:sz w:val="16"/>
              </w:rPr>
              <w:t>91</w:t>
            </w:r>
          </w:p>
        </w:tc>
      </w:tr>
      <w:tr>
        <w:trPr>
          <w:trHeight w:val="488" w:hRule="exact"/>
        </w:trPr>
        <w:tc>
          <w:tcPr>
            <w:tcW w:w="2211" w:type="dxa"/>
            <w:shd w:val="clear" w:color="auto" w:fill="E9E9E9"/>
          </w:tcPr>
          <w:p>
            <w:pPr>
              <w:pStyle w:val="TableParagraph"/>
              <w:spacing w:line="249" w:lineRule="auto" w:before="43"/>
              <w:ind w:left="74" w:right="54"/>
              <w:jc w:val="left"/>
              <w:rPr>
                <w:sz w:val="16"/>
              </w:rPr>
            </w:pPr>
            <w:r>
              <w:rPr>
                <w:sz w:val="16"/>
              </w:rPr>
              <w:t>Aboriginal and Torres Strait Islander people</w:t>
            </w:r>
          </w:p>
        </w:tc>
        <w:tc>
          <w:tcPr>
            <w:tcW w:w="1120" w:type="dxa"/>
            <w:shd w:val="clear" w:color="auto" w:fill="E9E9E9"/>
          </w:tcPr>
          <w:p>
            <w:pPr>
              <w:pStyle w:val="TableParagraph"/>
              <w:spacing w:before="143"/>
              <w:ind w:right="73"/>
              <w:rPr>
                <w:sz w:val="16"/>
              </w:rPr>
            </w:pPr>
            <w:r>
              <w:rPr>
                <w:w w:val="90"/>
                <w:sz w:val="16"/>
              </w:rPr>
              <w:t>100</w:t>
            </w:r>
          </w:p>
        </w:tc>
        <w:tc>
          <w:tcPr>
            <w:tcW w:w="964" w:type="dxa"/>
            <w:shd w:val="clear" w:color="auto" w:fill="E9E9E9"/>
          </w:tcPr>
          <w:p>
            <w:pPr>
              <w:pStyle w:val="TableParagraph"/>
              <w:spacing w:before="143"/>
              <w:ind w:right="81"/>
              <w:rPr>
                <w:sz w:val="16"/>
              </w:rPr>
            </w:pPr>
            <w:r>
              <w:rPr>
                <w:w w:val="105"/>
                <w:sz w:val="16"/>
              </w:rPr>
              <w:t>N/A</w:t>
            </w:r>
          </w:p>
        </w:tc>
        <w:tc>
          <w:tcPr>
            <w:tcW w:w="964" w:type="dxa"/>
            <w:shd w:val="clear" w:color="auto" w:fill="E9E9E9"/>
          </w:tcPr>
          <w:p>
            <w:pPr>
              <w:pStyle w:val="TableParagraph"/>
              <w:spacing w:before="143"/>
              <w:ind w:right="81"/>
              <w:rPr>
                <w:sz w:val="16"/>
              </w:rPr>
            </w:pPr>
            <w:r>
              <w:rPr>
                <w:w w:val="105"/>
                <w:sz w:val="16"/>
              </w:rPr>
              <w:t>N/A</w:t>
            </w:r>
          </w:p>
        </w:tc>
        <w:tc>
          <w:tcPr>
            <w:tcW w:w="964" w:type="dxa"/>
            <w:shd w:val="clear" w:color="auto" w:fill="E9E9E9"/>
          </w:tcPr>
          <w:p>
            <w:pPr>
              <w:pStyle w:val="TableParagraph"/>
              <w:spacing w:before="143"/>
              <w:ind w:right="74"/>
              <w:rPr>
                <w:sz w:val="16"/>
              </w:rPr>
            </w:pPr>
            <w:r>
              <w:rPr>
                <w:w w:val="95"/>
                <w:sz w:val="16"/>
              </w:rPr>
              <w:t>76</w:t>
            </w:r>
          </w:p>
        </w:tc>
        <w:tc>
          <w:tcPr>
            <w:tcW w:w="964" w:type="dxa"/>
            <w:shd w:val="clear" w:color="auto" w:fill="E9E9E9"/>
          </w:tcPr>
          <w:p>
            <w:pPr>
              <w:pStyle w:val="TableParagraph"/>
              <w:spacing w:before="143"/>
              <w:ind w:right="71"/>
              <w:rPr>
                <w:sz w:val="16"/>
              </w:rPr>
            </w:pPr>
            <w:r>
              <w:rPr>
                <w:w w:val="95"/>
                <w:sz w:val="16"/>
              </w:rPr>
              <w:t>79</w:t>
            </w:r>
          </w:p>
        </w:tc>
        <w:tc>
          <w:tcPr>
            <w:tcW w:w="964" w:type="dxa"/>
            <w:shd w:val="clear" w:color="auto" w:fill="E9E9E9"/>
          </w:tcPr>
          <w:p>
            <w:pPr>
              <w:pStyle w:val="TableParagraph"/>
              <w:spacing w:before="143"/>
              <w:ind w:right="68"/>
              <w:rPr>
                <w:sz w:val="16"/>
              </w:rPr>
            </w:pPr>
            <w:r>
              <w:rPr>
                <w:w w:val="95"/>
                <w:sz w:val="16"/>
              </w:rPr>
              <w:t>83</w:t>
            </w:r>
          </w:p>
        </w:tc>
        <w:tc>
          <w:tcPr>
            <w:tcW w:w="964" w:type="dxa"/>
            <w:shd w:val="clear" w:color="auto" w:fill="E9E9E9"/>
          </w:tcPr>
          <w:p>
            <w:pPr>
              <w:pStyle w:val="TableParagraph"/>
              <w:spacing w:before="143"/>
              <w:ind w:right="81"/>
              <w:rPr>
                <w:sz w:val="16"/>
              </w:rPr>
            </w:pPr>
            <w:r>
              <w:rPr>
                <w:w w:val="105"/>
                <w:sz w:val="16"/>
              </w:rPr>
              <w:t>N/A</w:t>
            </w:r>
          </w:p>
        </w:tc>
        <w:tc>
          <w:tcPr>
            <w:tcW w:w="964" w:type="dxa"/>
            <w:shd w:val="clear" w:color="auto" w:fill="E9E9E9"/>
          </w:tcPr>
          <w:p>
            <w:pPr>
              <w:pStyle w:val="TableParagraph"/>
              <w:spacing w:before="143"/>
              <w:ind w:right="66"/>
              <w:rPr>
                <w:sz w:val="16"/>
              </w:rPr>
            </w:pPr>
            <w:r>
              <w:rPr>
                <w:w w:val="70"/>
                <w:sz w:val="16"/>
              </w:rPr>
              <w:t>71</w:t>
            </w:r>
          </w:p>
        </w:tc>
      </w:tr>
      <w:tr>
        <w:trPr>
          <w:trHeight w:val="688" w:hRule="exact"/>
        </w:trPr>
        <w:tc>
          <w:tcPr>
            <w:tcW w:w="2211" w:type="dxa"/>
            <w:shd w:val="clear" w:color="auto" w:fill="E9E9E9"/>
          </w:tcPr>
          <w:p>
            <w:pPr>
              <w:pStyle w:val="TableParagraph"/>
              <w:spacing w:line="249" w:lineRule="auto" w:before="43"/>
              <w:ind w:left="75" w:right="54"/>
              <w:jc w:val="left"/>
              <w:rPr>
                <w:sz w:val="16"/>
              </w:rPr>
            </w:pPr>
            <w:r>
              <w:rPr>
                <w:sz w:val="16"/>
              </w:rPr>
              <w:t>People whose language first spoken as a child was not English</w:t>
            </w:r>
          </w:p>
        </w:tc>
        <w:tc>
          <w:tcPr>
            <w:tcW w:w="1120"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w w:val="90"/>
                <w:sz w:val="16"/>
              </w:rPr>
              <w:t>100</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69"/>
              <w:rPr>
                <w:sz w:val="16"/>
              </w:rPr>
            </w:pPr>
            <w:r>
              <w:rPr>
                <w:w w:val="95"/>
                <w:sz w:val="16"/>
              </w:rPr>
              <w:t>95</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5"/>
              <w:rPr>
                <w:sz w:val="16"/>
              </w:rPr>
            </w:pPr>
            <w:r>
              <w:rPr>
                <w:w w:val="95"/>
                <w:sz w:val="16"/>
              </w:rPr>
              <w:t>97</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sz w:val="16"/>
              </w:rPr>
              <w:t>98</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w w:val="95"/>
                <w:sz w:val="16"/>
              </w:rPr>
              <w:t>93</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67"/>
              <w:rPr>
                <w:sz w:val="16"/>
              </w:rPr>
            </w:pPr>
            <w:r>
              <w:rPr>
                <w:w w:val="105"/>
                <w:sz w:val="16"/>
              </w:rPr>
              <w:t>90</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67"/>
              <w:rPr>
                <w:sz w:val="16"/>
              </w:rPr>
            </w:pPr>
            <w:r>
              <w:rPr>
                <w:w w:val="105"/>
                <w:sz w:val="16"/>
              </w:rPr>
              <w:t>90</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w w:val="95"/>
                <w:sz w:val="16"/>
              </w:rPr>
              <w:t>93</w:t>
            </w:r>
          </w:p>
        </w:tc>
      </w:tr>
      <w:tr>
        <w:trPr>
          <w:trHeight w:val="340" w:hRule="exact"/>
        </w:trPr>
        <w:tc>
          <w:tcPr>
            <w:tcW w:w="2211" w:type="dxa"/>
            <w:shd w:val="clear" w:color="auto" w:fill="E9E9E9"/>
          </w:tcPr>
          <w:p>
            <w:pPr>
              <w:pStyle w:val="TableParagraph"/>
              <w:spacing w:before="69"/>
              <w:ind w:left="75" w:right="54"/>
              <w:jc w:val="left"/>
              <w:rPr>
                <w:sz w:val="16"/>
              </w:rPr>
            </w:pPr>
            <w:r>
              <w:rPr>
                <w:sz w:val="16"/>
              </w:rPr>
              <w:t>People with a disability</w:t>
            </w:r>
          </w:p>
        </w:tc>
        <w:tc>
          <w:tcPr>
            <w:tcW w:w="1120" w:type="dxa"/>
            <w:shd w:val="clear" w:color="auto" w:fill="E9E9E9"/>
          </w:tcPr>
          <w:p>
            <w:pPr>
              <w:pStyle w:val="TableParagraph"/>
              <w:spacing w:before="69"/>
              <w:ind w:right="72"/>
              <w:rPr>
                <w:sz w:val="16"/>
              </w:rPr>
            </w:pPr>
            <w:r>
              <w:rPr>
                <w:w w:val="90"/>
                <w:sz w:val="16"/>
              </w:rPr>
              <w:t>100</w:t>
            </w:r>
          </w:p>
        </w:tc>
        <w:tc>
          <w:tcPr>
            <w:tcW w:w="964" w:type="dxa"/>
            <w:shd w:val="clear" w:color="auto" w:fill="E9E9E9"/>
          </w:tcPr>
          <w:p>
            <w:pPr>
              <w:pStyle w:val="TableParagraph"/>
              <w:spacing w:before="69"/>
              <w:ind w:right="67"/>
              <w:rPr>
                <w:sz w:val="16"/>
              </w:rPr>
            </w:pPr>
            <w:r>
              <w:rPr>
                <w:w w:val="105"/>
                <w:sz w:val="16"/>
              </w:rPr>
              <w:t>90</w:t>
            </w:r>
          </w:p>
        </w:tc>
        <w:tc>
          <w:tcPr>
            <w:tcW w:w="964" w:type="dxa"/>
            <w:shd w:val="clear" w:color="auto" w:fill="E9E9E9"/>
          </w:tcPr>
          <w:p>
            <w:pPr>
              <w:pStyle w:val="TableParagraph"/>
              <w:spacing w:before="69"/>
              <w:ind w:right="72"/>
              <w:rPr>
                <w:sz w:val="16"/>
              </w:rPr>
            </w:pPr>
            <w:r>
              <w:rPr>
                <w:w w:val="95"/>
                <w:sz w:val="16"/>
              </w:rPr>
              <w:t>87</w:t>
            </w:r>
          </w:p>
        </w:tc>
        <w:tc>
          <w:tcPr>
            <w:tcW w:w="964" w:type="dxa"/>
            <w:shd w:val="clear" w:color="auto" w:fill="E9E9E9"/>
          </w:tcPr>
          <w:p>
            <w:pPr>
              <w:pStyle w:val="TableParagraph"/>
              <w:spacing w:before="69"/>
              <w:ind w:right="66"/>
              <w:rPr>
                <w:sz w:val="16"/>
              </w:rPr>
            </w:pPr>
            <w:r>
              <w:rPr>
                <w:w w:val="95"/>
                <w:sz w:val="16"/>
              </w:rPr>
              <w:t>88</w:t>
            </w:r>
          </w:p>
        </w:tc>
        <w:tc>
          <w:tcPr>
            <w:tcW w:w="964" w:type="dxa"/>
            <w:shd w:val="clear" w:color="auto" w:fill="E9E9E9"/>
          </w:tcPr>
          <w:p>
            <w:pPr>
              <w:pStyle w:val="TableParagraph"/>
              <w:spacing w:before="69"/>
              <w:ind w:right="72"/>
              <w:rPr>
                <w:sz w:val="16"/>
              </w:rPr>
            </w:pPr>
            <w:r>
              <w:rPr>
                <w:sz w:val="16"/>
              </w:rPr>
              <w:t>86</w:t>
            </w:r>
          </w:p>
        </w:tc>
        <w:tc>
          <w:tcPr>
            <w:tcW w:w="964" w:type="dxa"/>
            <w:shd w:val="clear" w:color="auto" w:fill="E9E9E9"/>
          </w:tcPr>
          <w:p>
            <w:pPr>
              <w:pStyle w:val="TableParagraph"/>
              <w:spacing w:before="69"/>
              <w:ind w:right="72"/>
              <w:rPr>
                <w:sz w:val="16"/>
              </w:rPr>
            </w:pPr>
            <w:r>
              <w:rPr>
                <w:sz w:val="16"/>
              </w:rPr>
              <w:t>86</w:t>
            </w:r>
          </w:p>
        </w:tc>
        <w:tc>
          <w:tcPr>
            <w:tcW w:w="964" w:type="dxa"/>
            <w:shd w:val="clear" w:color="auto" w:fill="E9E9E9"/>
          </w:tcPr>
          <w:p>
            <w:pPr>
              <w:pStyle w:val="TableParagraph"/>
              <w:spacing w:before="69"/>
              <w:ind w:right="71"/>
              <w:rPr>
                <w:sz w:val="16"/>
              </w:rPr>
            </w:pPr>
            <w:r>
              <w:rPr>
                <w:w w:val="85"/>
                <w:sz w:val="16"/>
              </w:rPr>
              <w:t>103</w:t>
            </w:r>
          </w:p>
        </w:tc>
        <w:tc>
          <w:tcPr>
            <w:tcW w:w="964" w:type="dxa"/>
            <w:shd w:val="clear" w:color="auto" w:fill="E9E9E9"/>
          </w:tcPr>
          <w:p>
            <w:pPr>
              <w:pStyle w:val="TableParagraph"/>
              <w:spacing w:before="69"/>
              <w:ind w:right="72"/>
              <w:rPr>
                <w:sz w:val="16"/>
              </w:rPr>
            </w:pPr>
            <w:r>
              <w:rPr>
                <w:spacing w:val="4"/>
                <w:w w:val="54"/>
                <w:sz w:val="16"/>
              </w:rPr>
              <w:t>1</w:t>
            </w:r>
            <w:r>
              <w:rPr>
                <w:spacing w:val="1"/>
                <w:w w:val="111"/>
                <w:sz w:val="16"/>
              </w:rPr>
              <w:t>0</w:t>
            </w:r>
            <w:r>
              <w:rPr>
                <w:w w:val="54"/>
                <w:sz w:val="16"/>
              </w:rPr>
              <w:t>1</w:t>
            </w:r>
          </w:p>
        </w:tc>
      </w:tr>
      <w:tr>
        <w:trPr>
          <w:trHeight w:val="488" w:hRule="exact"/>
        </w:trPr>
        <w:tc>
          <w:tcPr>
            <w:tcW w:w="2211" w:type="dxa"/>
            <w:shd w:val="clear" w:color="auto" w:fill="E9E9E9"/>
          </w:tcPr>
          <w:p>
            <w:pPr>
              <w:pStyle w:val="TableParagraph"/>
              <w:spacing w:line="249" w:lineRule="auto" w:before="43"/>
              <w:ind w:left="75" w:right="54"/>
              <w:jc w:val="left"/>
              <w:rPr>
                <w:sz w:val="16"/>
              </w:rPr>
            </w:pPr>
            <w:r>
              <w:rPr>
                <w:sz w:val="16"/>
              </w:rPr>
              <w:t>People with a disability requiring adjustment at work</w:t>
            </w:r>
          </w:p>
        </w:tc>
        <w:tc>
          <w:tcPr>
            <w:tcW w:w="1120" w:type="dxa"/>
            <w:shd w:val="clear" w:color="auto" w:fill="E9E9E9"/>
          </w:tcPr>
          <w:p>
            <w:pPr>
              <w:pStyle w:val="TableParagraph"/>
              <w:spacing w:before="143"/>
              <w:ind w:right="72"/>
              <w:rPr>
                <w:sz w:val="16"/>
              </w:rPr>
            </w:pPr>
            <w:r>
              <w:rPr>
                <w:w w:val="90"/>
                <w:sz w:val="16"/>
              </w:rPr>
              <w:t>100</w:t>
            </w:r>
          </w:p>
        </w:tc>
        <w:tc>
          <w:tcPr>
            <w:tcW w:w="964" w:type="dxa"/>
            <w:shd w:val="clear" w:color="auto" w:fill="E9E9E9"/>
          </w:tcPr>
          <w:p>
            <w:pPr>
              <w:pStyle w:val="TableParagraph"/>
              <w:spacing w:before="143"/>
              <w:ind w:right="81"/>
              <w:rPr>
                <w:sz w:val="16"/>
              </w:rPr>
            </w:pPr>
            <w:r>
              <w:rPr>
                <w:w w:val="105"/>
                <w:sz w:val="16"/>
              </w:rPr>
              <w:t>N/A</w:t>
            </w:r>
          </w:p>
        </w:tc>
        <w:tc>
          <w:tcPr>
            <w:tcW w:w="964" w:type="dxa"/>
            <w:shd w:val="clear" w:color="auto" w:fill="E9E9E9"/>
          </w:tcPr>
          <w:p>
            <w:pPr>
              <w:pStyle w:val="TableParagraph"/>
              <w:spacing w:before="143"/>
              <w:ind w:right="81"/>
              <w:rPr>
                <w:sz w:val="16"/>
              </w:rPr>
            </w:pPr>
            <w:r>
              <w:rPr>
                <w:w w:val="105"/>
                <w:sz w:val="16"/>
              </w:rPr>
              <w:t>N/A</w:t>
            </w:r>
          </w:p>
        </w:tc>
        <w:tc>
          <w:tcPr>
            <w:tcW w:w="964" w:type="dxa"/>
            <w:shd w:val="clear" w:color="auto" w:fill="E9E9E9"/>
          </w:tcPr>
          <w:p>
            <w:pPr>
              <w:pStyle w:val="TableParagraph"/>
              <w:spacing w:before="143"/>
              <w:ind w:right="66"/>
              <w:rPr>
                <w:sz w:val="16"/>
              </w:rPr>
            </w:pPr>
            <w:r>
              <w:rPr>
                <w:w w:val="95"/>
                <w:sz w:val="16"/>
              </w:rPr>
              <w:t>88</w:t>
            </w:r>
          </w:p>
        </w:tc>
        <w:tc>
          <w:tcPr>
            <w:tcW w:w="964" w:type="dxa"/>
            <w:shd w:val="clear" w:color="auto" w:fill="E9E9E9"/>
          </w:tcPr>
          <w:p>
            <w:pPr>
              <w:pStyle w:val="TableParagraph"/>
              <w:spacing w:before="143"/>
              <w:ind w:right="81"/>
              <w:rPr>
                <w:sz w:val="16"/>
              </w:rPr>
            </w:pPr>
            <w:r>
              <w:rPr>
                <w:w w:val="105"/>
                <w:sz w:val="16"/>
              </w:rPr>
              <w:t>N/A</w:t>
            </w:r>
          </w:p>
        </w:tc>
        <w:tc>
          <w:tcPr>
            <w:tcW w:w="964" w:type="dxa"/>
            <w:shd w:val="clear" w:color="auto" w:fill="E9E9E9"/>
          </w:tcPr>
          <w:p>
            <w:pPr>
              <w:pStyle w:val="TableParagraph"/>
              <w:spacing w:before="143"/>
              <w:ind w:right="81"/>
              <w:rPr>
                <w:sz w:val="16"/>
              </w:rPr>
            </w:pPr>
            <w:r>
              <w:rPr>
                <w:w w:val="105"/>
                <w:sz w:val="16"/>
              </w:rPr>
              <w:t>N/A</w:t>
            </w:r>
          </w:p>
        </w:tc>
        <w:tc>
          <w:tcPr>
            <w:tcW w:w="964" w:type="dxa"/>
            <w:shd w:val="clear" w:color="auto" w:fill="E9E9E9"/>
          </w:tcPr>
          <w:p>
            <w:pPr>
              <w:pStyle w:val="TableParagraph"/>
              <w:spacing w:before="143"/>
              <w:ind w:right="71"/>
              <w:rPr>
                <w:sz w:val="16"/>
              </w:rPr>
            </w:pPr>
            <w:r>
              <w:rPr>
                <w:w w:val="65"/>
                <w:sz w:val="16"/>
              </w:rPr>
              <w:t>117</w:t>
            </w:r>
          </w:p>
        </w:tc>
        <w:tc>
          <w:tcPr>
            <w:tcW w:w="964" w:type="dxa"/>
            <w:shd w:val="clear" w:color="auto" w:fill="E9E9E9"/>
          </w:tcPr>
          <w:p>
            <w:pPr>
              <w:pStyle w:val="TableParagraph"/>
              <w:spacing w:before="143"/>
              <w:ind w:right="81"/>
              <w:rPr>
                <w:sz w:val="16"/>
              </w:rPr>
            </w:pPr>
            <w:r>
              <w:rPr>
                <w:w w:val="105"/>
                <w:sz w:val="16"/>
              </w:rPr>
              <w:t>N/A</w:t>
            </w:r>
          </w:p>
        </w:tc>
      </w:tr>
    </w:tbl>
    <w:p>
      <w:pPr>
        <w:spacing w:after="0"/>
        <w:rPr>
          <w:sz w:val="16"/>
        </w:rPr>
        <w:sectPr>
          <w:pgSz w:w="11910" w:h="16840"/>
          <w:pgMar w:header="496" w:footer="472" w:top="680" w:bottom="660" w:left="580" w:right="580"/>
        </w:sectPr>
      </w:pPr>
    </w:p>
    <w:p>
      <w:pPr>
        <w:pStyle w:val="BodyText"/>
        <w:spacing w:before="8"/>
        <w:rPr>
          <w:rFonts w:ascii="Gotham Narrow Book"/>
          <w:b w:val="0"/>
          <w:i/>
          <w:sz w:val="28"/>
        </w:rPr>
      </w:pPr>
      <w:r>
        <w:rPr/>
        <w:pict>
          <v:rect style="position:absolute;margin-left:34.015999pt;margin-top:45.355015pt;width:527.244pt;height:751.181pt;mso-position-horizontal-relative:page;mso-position-vertical-relative:page;z-index:-334600" filled="true" fillcolor="#e9e9e9" stroked="false">
            <v:fill type="solid"/>
            <w10:wrap type="none"/>
          </v:rect>
        </w:pict>
      </w:r>
    </w:p>
    <w:p>
      <w:pPr>
        <w:pStyle w:val="Heading1"/>
      </w:pPr>
      <w:r>
        <w:rPr>
          <w:w w:val="95"/>
        </w:rPr>
        <w:t>APPENDIX 10</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7"/>
        <w:spacing w:before="72"/>
        <w:ind w:left="327" w:right="503"/>
      </w:pPr>
      <w:r>
        <w:rPr>
          <w:color w:val="615C58"/>
        </w:rPr>
        <w:t>Table B.1. Trends in the Distribution of EEO Groups – General staff</w:t>
      </w:r>
    </w:p>
    <w:p>
      <w:pPr>
        <w:spacing w:before="93"/>
        <w:ind w:left="327" w:right="7611" w:firstLine="0"/>
        <w:jc w:val="left"/>
        <w:rPr>
          <w:rFonts w:ascii="Gotham Narrow Book"/>
          <w:b w:val="0"/>
          <w:i/>
          <w:sz w:val="16"/>
        </w:rPr>
      </w:pPr>
      <w:r>
        <w:rPr>
          <w:rFonts w:ascii="Gotham Narrow Book"/>
          <w:b w:val="0"/>
          <w:i/>
          <w:sz w:val="16"/>
        </w:rPr>
        <w:t>Distribution index</w:t>
      </w:r>
    </w:p>
    <w:p>
      <w:pPr>
        <w:pStyle w:val="BodyText"/>
        <w:spacing w:before="4"/>
        <w:rPr>
          <w:rFonts w:ascii="Gotham Narrow Book"/>
          <w:b w:val="0"/>
          <w:i/>
          <w:sz w:val="13"/>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2211"/>
        <w:gridCol w:w="1120"/>
        <w:gridCol w:w="964"/>
        <w:gridCol w:w="964"/>
        <w:gridCol w:w="964"/>
        <w:gridCol w:w="964"/>
        <w:gridCol w:w="964"/>
        <w:gridCol w:w="964"/>
        <w:gridCol w:w="964"/>
      </w:tblGrid>
      <w:tr>
        <w:trPr>
          <w:trHeight w:val="488" w:hRule="exact"/>
        </w:trPr>
        <w:tc>
          <w:tcPr>
            <w:tcW w:w="2211" w:type="dxa"/>
            <w:tcBorders>
              <w:top w:val="nil"/>
              <w:left w:val="nil"/>
              <w:bottom w:val="nil"/>
              <w:right w:val="nil"/>
            </w:tcBorders>
            <w:shd w:val="clear" w:color="auto" w:fill="949290"/>
          </w:tcPr>
          <w:p>
            <w:pPr>
              <w:pStyle w:val="TableParagraph"/>
              <w:spacing w:line="249" w:lineRule="auto" w:before="54"/>
              <w:ind w:left="79" w:right="342"/>
              <w:jc w:val="left"/>
              <w:rPr>
                <w:rFonts w:ascii="Gotham Narrow Bold"/>
                <w:b/>
                <w:sz w:val="16"/>
              </w:rPr>
            </w:pPr>
            <w:r>
              <w:rPr>
                <w:rFonts w:ascii="Gotham Narrow Bold"/>
                <w:b/>
                <w:color w:val="FFFFFF"/>
                <w:sz w:val="16"/>
              </w:rPr>
              <w:t>EEO GROUPS: </w:t>
            </w:r>
            <w:r>
              <w:rPr>
                <w:rFonts w:ascii="Gotham Narrow Bold"/>
                <w:b/>
                <w:color w:val="FFFFFF"/>
                <w:w w:val="95"/>
                <w:sz w:val="16"/>
              </w:rPr>
              <w:t>PROFESSIONAL STAFF</w:t>
            </w:r>
          </w:p>
        </w:tc>
        <w:tc>
          <w:tcPr>
            <w:tcW w:w="1120" w:type="dxa"/>
            <w:tcBorders>
              <w:top w:val="nil"/>
              <w:left w:val="nil"/>
              <w:bottom w:val="nil"/>
              <w:right w:val="nil"/>
            </w:tcBorders>
            <w:shd w:val="clear" w:color="auto" w:fill="949290"/>
          </w:tcPr>
          <w:p>
            <w:pPr>
              <w:pStyle w:val="TableParagraph"/>
              <w:spacing w:line="249" w:lineRule="auto" w:before="54"/>
              <w:ind w:left="213" w:hanging="119"/>
              <w:jc w:val="left"/>
              <w:rPr>
                <w:rFonts w:ascii="Gotham Narrow Bold"/>
                <w:b/>
                <w:sz w:val="16"/>
              </w:rPr>
            </w:pPr>
            <w:r>
              <w:rPr>
                <w:rFonts w:ascii="Gotham Narrow Bold"/>
                <w:b/>
                <w:color w:val="FFFFFF"/>
                <w:w w:val="95"/>
                <w:sz w:val="16"/>
              </w:rPr>
              <w:t>BENCHMARK OR TARGET</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9"/>
              <w:rPr>
                <w:rFonts w:ascii="Gotham Narrow Bold"/>
                <w:b/>
                <w:sz w:val="16"/>
              </w:rPr>
            </w:pPr>
            <w:r>
              <w:rPr>
                <w:rFonts w:ascii="Gotham Narrow Bold"/>
                <w:b/>
                <w:color w:val="FFFFFF"/>
                <w:w w:val="95"/>
                <w:sz w:val="16"/>
              </w:rPr>
              <w:t>2010</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2011</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2012</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2013</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2014</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2015</w:t>
            </w:r>
          </w:p>
        </w:tc>
        <w:tc>
          <w:tcPr>
            <w:tcW w:w="964" w:type="dxa"/>
            <w:tcBorders>
              <w:top w:val="nil"/>
              <w:left w:val="nil"/>
              <w:bottom w:val="nil"/>
              <w:right w:val="nil"/>
            </w:tcBorders>
            <w:shd w:val="clear" w:color="auto" w:fill="949290"/>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2016</w:t>
            </w:r>
          </w:p>
        </w:tc>
      </w:tr>
      <w:tr>
        <w:trPr>
          <w:trHeight w:val="340" w:hRule="exact"/>
        </w:trPr>
        <w:tc>
          <w:tcPr>
            <w:tcW w:w="2211" w:type="dxa"/>
            <w:tcBorders>
              <w:top w:val="nil"/>
            </w:tcBorders>
            <w:shd w:val="clear" w:color="auto" w:fill="E9E9E9"/>
          </w:tcPr>
          <w:p>
            <w:pPr>
              <w:pStyle w:val="TableParagraph"/>
              <w:spacing w:before="74"/>
              <w:ind w:left="74" w:right="54"/>
              <w:jc w:val="left"/>
              <w:rPr>
                <w:sz w:val="16"/>
              </w:rPr>
            </w:pPr>
            <w:r>
              <w:rPr>
                <w:sz w:val="16"/>
              </w:rPr>
              <w:t>Women</w:t>
            </w:r>
          </w:p>
        </w:tc>
        <w:tc>
          <w:tcPr>
            <w:tcW w:w="1120" w:type="dxa"/>
            <w:tcBorders>
              <w:top w:val="nil"/>
            </w:tcBorders>
            <w:shd w:val="clear" w:color="auto" w:fill="E9E9E9"/>
          </w:tcPr>
          <w:p>
            <w:pPr>
              <w:pStyle w:val="TableParagraph"/>
              <w:spacing w:before="74"/>
              <w:ind w:right="73"/>
              <w:rPr>
                <w:sz w:val="16"/>
              </w:rPr>
            </w:pPr>
            <w:r>
              <w:rPr>
                <w:w w:val="90"/>
                <w:sz w:val="16"/>
              </w:rPr>
              <w:t>100</w:t>
            </w:r>
          </w:p>
        </w:tc>
        <w:tc>
          <w:tcPr>
            <w:tcW w:w="964" w:type="dxa"/>
            <w:tcBorders>
              <w:top w:val="nil"/>
            </w:tcBorders>
            <w:shd w:val="clear" w:color="auto" w:fill="E9E9E9"/>
          </w:tcPr>
          <w:p>
            <w:pPr>
              <w:pStyle w:val="TableParagraph"/>
              <w:spacing w:before="74"/>
              <w:ind w:right="68"/>
              <w:rPr>
                <w:sz w:val="16"/>
              </w:rPr>
            </w:pPr>
            <w:r>
              <w:rPr>
                <w:w w:val="105"/>
                <w:sz w:val="16"/>
              </w:rPr>
              <w:t>90</w:t>
            </w:r>
          </w:p>
        </w:tc>
        <w:tc>
          <w:tcPr>
            <w:tcW w:w="964" w:type="dxa"/>
            <w:tcBorders>
              <w:top w:val="nil"/>
            </w:tcBorders>
            <w:shd w:val="clear" w:color="auto" w:fill="E9E9E9"/>
          </w:tcPr>
          <w:p>
            <w:pPr>
              <w:pStyle w:val="TableParagraph"/>
              <w:spacing w:before="74"/>
              <w:ind w:right="69"/>
              <w:rPr>
                <w:sz w:val="16"/>
              </w:rPr>
            </w:pPr>
            <w:r>
              <w:rPr>
                <w:sz w:val="16"/>
              </w:rPr>
              <w:t>89</w:t>
            </w:r>
          </w:p>
        </w:tc>
        <w:tc>
          <w:tcPr>
            <w:tcW w:w="964" w:type="dxa"/>
            <w:tcBorders>
              <w:top w:val="nil"/>
            </w:tcBorders>
            <w:shd w:val="clear" w:color="auto" w:fill="E9E9E9"/>
          </w:tcPr>
          <w:p>
            <w:pPr>
              <w:pStyle w:val="TableParagraph"/>
              <w:spacing w:before="74"/>
              <w:ind w:right="69"/>
              <w:rPr>
                <w:sz w:val="16"/>
              </w:rPr>
            </w:pPr>
            <w:r>
              <w:rPr>
                <w:sz w:val="16"/>
              </w:rPr>
              <w:t>89</w:t>
            </w:r>
          </w:p>
        </w:tc>
        <w:tc>
          <w:tcPr>
            <w:tcW w:w="964" w:type="dxa"/>
            <w:tcBorders>
              <w:top w:val="nil"/>
            </w:tcBorders>
            <w:shd w:val="clear" w:color="auto" w:fill="E9E9E9"/>
          </w:tcPr>
          <w:p>
            <w:pPr>
              <w:pStyle w:val="TableParagraph"/>
              <w:spacing w:before="74"/>
              <w:ind w:right="68"/>
              <w:rPr>
                <w:sz w:val="16"/>
              </w:rPr>
            </w:pPr>
            <w:r>
              <w:rPr>
                <w:w w:val="105"/>
                <w:sz w:val="16"/>
              </w:rPr>
              <w:t>90</w:t>
            </w:r>
          </w:p>
        </w:tc>
        <w:tc>
          <w:tcPr>
            <w:tcW w:w="964" w:type="dxa"/>
            <w:tcBorders>
              <w:top w:val="nil"/>
            </w:tcBorders>
            <w:shd w:val="clear" w:color="auto" w:fill="E9E9E9"/>
          </w:tcPr>
          <w:p>
            <w:pPr>
              <w:pStyle w:val="TableParagraph"/>
              <w:spacing w:before="74"/>
              <w:ind w:right="70"/>
              <w:rPr>
                <w:sz w:val="16"/>
              </w:rPr>
            </w:pPr>
            <w:r>
              <w:rPr>
                <w:w w:val="95"/>
                <w:sz w:val="16"/>
              </w:rPr>
              <w:t>92</w:t>
            </w:r>
          </w:p>
        </w:tc>
        <w:tc>
          <w:tcPr>
            <w:tcW w:w="964" w:type="dxa"/>
            <w:tcBorders>
              <w:top w:val="nil"/>
            </w:tcBorders>
            <w:shd w:val="clear" w:color="auto" w:fill="E9E9E9"/>
          </w:tcPr>
          <w:p>
            <w:pPr>
              <w:pStyle w:val="TableParagraph"/>
              <w:spacing w:before="74"/>
              <w:ind w:right="68"/>
              <w:rPr>
                <w:sz w:val="16"/>
              </w:rPr>
            </w:pPr>
            <w:r>
              <w:rPr>
                <w:w w:val="105"/>
                <w:sz w:val="16"/>
              </w:rPr>
              <w:t>90</w:t>
            </w:r>
          </w:p>
        </w:tc>
        <w:tc>
          <w:tcPr>
            <w:tcW w:w="964" w:type="dxa"/>
            <w:tcBorders>
              <w:top w:val="nil"/>
            </w:tcBorders>
            <w:shd w:val="clear" w:color="auto" w:fill="E9E9E9"/>
          </w:tcPr>
          <w:p>
            <w:pPr>
              <w:pStyle w:val="TableParagraph"/>
              <w:spacing w:before="74"/>
              <w:ind w:right="70"/>
              <w:rPr>
                <w:sz w:val="16"/>
              </w:rPr>
            </w:pPr>
            <w:r>
              <w:rPr>
                <w:w w:val="80"/>
                <w:sz w:val="16"/>
              </w:rPr>
              <w:t>91</w:t>
            </w:r>
          </w:p>
        </w:tc>
      </w:tr>
      <w:tr>
        <w:trPr>
          <w:trHeight w:val="488" w:hRule="exact"/>
        </w:trPr>
        <w:tc>
          <w:tcPr>
            <w:tcW w:w="2211" w:type="dxa"/>
            <w:shd w:val="clear" w:color="auto" w:fill="E9E9E9"/>
          </w:tcPr>
          <w:p>
            <w:pPr>
              <w:pStyle w:val="TableParagraph"/>
              <w:spacing w:line="249" w:lineRule="auto" w:before="43"/>
              <w:ind w:left="74" w:right="54"/>
              <w:jc w:val="left"/>
              <w:rPr>
                <w:sz w:val="16"/>
              </w:rPr>
            </w:pPr>
            <w:r>
              <w:rPr>
                <w:sz w:val="16"/>
              </w:rPr>
              <w:t>Aboriginal and Torres Strait Islander people</w:t>
            </w:r>
          </w:p>
        </w:tc>
        <w:tc>
          <w:tcPr>
            <w:tcW w:w="1120" w:type="dxa"/>
            <w:shd w:val="clear" w:color="auto" w:fill="E9E9E9"/>
          </w:tcPr>
          <w:p>
            <w:pPr>
              <w:pStyle w:val="TableParagraph"/>
              <w:spacing w:before="143"/>
              <w:ind w:right="73"/>
              <w:rPr>
                <w:sz w:val="16"/>
              </w:rPr>
            </w:pPr>
            <w:r>
              <w:rPr>
                <w:w w:val="90"/>
                <w:sz w:val="16"/>
              </w:rPr>
              <w:t>100</w:t>
            </w:r>
          </w:p>
        </w:tc>
        <w:tc>
          <w:tcPr>
            <w:tcW w:w="964" w:type="dxa"/>
            <w:shd w:val="clear" w:color="auto" w:fill="E9E9E9"/>
          </w:tcPr>
          <w:p>
            <w:pPr>
              <w:pStyle w:val="TableParagraph"/>
              <w:spacing w:before="143"/>
              <w:ind w:right="72"/>
              <w:rPr>
                <w:sz w:val="16"/>
              </w:rPr>
            </w:pPr>
            <w:r>
              <w:rPr>
                <w:w w:val="85"/>
                <w:sz w:val="16"/>
              </w:rPr>
              <w:t>103</w:t>
            </w:r>
          </w:p>
        </w:tc>
        <w:tc>
          <w:tcPr>
            <w:tcW w:w="964" w:type="dxa"/>
            <w:shd w:val="clear" w:color="auto" w:fill="E9E9E9"/>
          </w:tcPr>
          <w:p>
            <w:pPr>
              <w:pStyle w:val="TableParagraph"/>
              <w:spacing w:before="143"/>
              <w:ind w:right="75"/>
              <w:rPr>
                <w:sz w:val="16"/>
              </w:rPr>
            </w:pPr>
            <w:r>
              <w:rPr>
                <w:w w:val="95"/>
                <w:sz w:val="16"/>
              </w:rPr>
              <w:t>97</w:t>
            </w:r>
          </w:p>
        </w:tc>
        <w:tc>
          <w:tcPr>
            <w:tcW w:w="964" w:type="dxa"/>
            <w:shd w:val="clear" w:color="auto" w:fill="E9E9E9"/>
          </w:tcPr>
          <w:p>
            <w:pPr>
              <w:pStyle w:val="TableParagraph"/>
              <w:spacing w:before="143"/>
              <w:ind w:right="72"/>
              <w:rPr>
                <w:sz w:val="16"/>
              </w:rPr>
            </w:pPr>
            <w:r>
              <w:rPr>
                <w:sz w:val="16"/>
              </w:rPr>
              <w:t>98</w:t>
            </w:r>
          </w:p>
        </w:tc>
        <w:tc>
          <w:tcPr>
            <w:tcW w:w="964" w:type="dxa"/>
            <w:shd w:val="clear" w:color="auto" w:fill="E9E9E9"/>
          </w:tcPr>
          <w:p>
            <w:pPr>
              <w:pStyle w:val="TableParagraph"/>
              <w:spacing w:before="143"/>
              <w:ind w:right="69"/>
              <w:rPr>
                <w:sz w:val="16"/>
              </w:rPr>
            </w:pPr>
            <w:r>
              <w:rPr>
                <w:w w:val="95"/>
                <w:sz w:val="16"/>
              </w:rPr>
              <w:t>95</w:t>
            </w:r>
          </w:p>
        </w:tc>
        <w:tc>
          <w:tcPr>
            <w:tcW w:w="964" w:type="dxa"/>
            <w:shd w:val="clear" w:color="auto" w:fill="E9E9E9"/>
          </w:tcPr>
          <w:p>
            <w:pPr>
              <w:pStyle w:val="TableParagraph"/>
              <w:spacing w:before="143"/>
              <w:ind w:right="69"/>
              <w:rPr>
                <w:sz w:val="16"/>
              </w:rPr>
            </w:pPr>
            <w:r>
              <w:rPr>
                <w:w w:val="95"/>
                <w:sz w:val="16"/>
              </w:rPr>
              <w:t>95</w:t>
            </w:r>
          </w:p>
        </w:tc>
        <w:tc>
          <w:tcPr>
            <w:tcW w:w="964" w:type="dxa"/>
            <w:shd w:val="clear" w:color="auto" w:fill="E9E9E9"/>
          </w:tcPr>
          <w:p>
            <w:pPr>
              <w:pStyle w:val="TableParagraph"/>
              <w:spacing w:before="143"/>
              <w:ind w:right="72"/>
              <w:rPr>
                <w:sz w:val="16"/>
              </w:rPr>
            </w:pPr>
            <w:r>
              <w:rPr>
                <w:sz w:val="16"/>
              </w:rPr>
              <w:t>98</w:t>
            </w:r>
          </w:p>
        </w:tc>
        <w:tc>
          <w:tcPr>
            <w:tcW w:w="964" w:type="dxa"/>
            <w:shd w:val="clear" w:color="auto" w:fill="E9E9E9"/>
          </w:tcPr>
          <w:p>
            <w:pPr>
              <w:pStyle w:val="TableParagraph"/>
              <w:spacing w:before="143"/>
              <w:ind w:right="67"/>
              <w:rPr>
                <w:sz w:val="16"/>
              </w:rPr>
            </w:pPr>
            <w:r>
              <w:rPr>
                <w:sz w:val="16"/>
              </w:rPr>
              <w:t>96</w:t>
            </w:r>
          </w:p>
        </w:tc>
      </w:tr>
      <w:tr>
        <w:trPr>
          <w:trHeight w:val="688" w:hRule="exact"/>
        </w:trPr>
        <w:tc>
          <w:tcPr>
            <w:tcW w:w="2211" w:type="dxa"/>
            <w:shd w:val="clear" w:color="auto" w:fill="E9E9E9"/>
          </w:tcPr>
          <w:p>
            <w:pPr>
              <w:pStyle w:val="TableParagraph"/>
              <w:spacing w:line="249" w:lineRule="auto" w:before="43"/>
              <w:ind w:left="75" w:right="54"/>
              <w:jc w:val="left"/>
              <w:rPr>
                <w:sz w:val="16"/>
              </w:rPr>
            </w:pPr>
            <w:r>
              <w:rPr>
                <w:sz w:val="16"/>
              </w:rPr>
              <w:t>People whose language first spoken as a child was not English</w:t>
            </w:r>
          </w:p>
        </w:tc>
        <w:tc>
          <w:tcPr>
            <w:tcW w:w="1120"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w w:val="90"/>
                <w:sz w:val="16"/>
              </w:rPr>
              <w:t>100</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3"/>
              <w:rPr>
                <w:sz w:val="16"/>
              </w:rPr>
            </w:pPr>
            <w:r>
              <w:rPr>
                <w:w w:val="95"/>
                <w:sz w:val="16"/>
              </w:rPr>
              <w:t>97</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68"/>
              <w:rPr>
                <w:sz w:val="16"/>
              </w:rPr>
            </w:pPr>
            <w:r>
              <w:rPr>
                <w:sz w:val="16"/>
              </w:rPr>
              <w:t>99</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sz w:val="16"/>
              </w:rPr>
              <w:t>98</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sz w:val="16"/>
              </w:rPr>
              <w:t>98</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68"/>
              <w:rPr>
                <w:sz w:val="16"/>
              </w:rPr>
            </w:pPr>
            <w:r>
              <w:rPr>
                <w:sz w:val="16"/>
              </w:rPr>
              <w:t>99</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68"/>
              <w:rPr>
                <w:sz w:val="16"/>
              </w:rPr>
            </w:pPr>
            <w:r>
              <w:rPr>
                <w:sz w:val="16"/>
              </w:rPr>
              <w:t>99</w:t>
            </w:r>
          </w:p>
        </w:tc>
        <w:tc>
          <w:tcPr>
            <w:tcW w:w="964" w:type="dxa"/>
            <w:shd w:val="clear" w:color="auto" w:fill="E9E9E9"/>
          </w:tcPr>
          <w:p>
            <w:pPr>
              <w:pStyle w:val="TableParagraph"/>
              <w:spacing w:before="2"/>
              <w:jc w:val="left"/>
              <w:rPr>
                <w:rFonts w:ascii="Gotham Narrow Book"/>
                <w:b w:val="0"/>
                <w:i/>
                <w:sz w:val="20"/>
              </w:rPr>
            </w:pPr>
          </w:p>
          <w:p>
            <w:pPr>
              <w:pStyle w:val="TableParagraph"/>
              <w:spacing w:before="1"/>
              <w:ind w:right="72"/>
              <w:rPr>
                <w:sz w:val="16"/>
              </w:rPr>
            </w:pPr>
            <w:r>
              <w:rPr>
                <w:sz w:val="16"/>
              </w:rPr>
              <w:t>98</w:t>
            </w:r>
          </w:p>
        </w:tc>
      </w:tr>
      <w:tr>
        <w:trPr>
          <w:trHeight w:val="340" w:hRule="exact"/>
        </w:trPr>
        <w:tc>
          <w:tcPr>
            <w:tcW w:w="2211" w:type="dxa"/>
            <w:shd w:val="clear" w:color="auto" w:fill="E9E9E9"/>
          </w:tcPr>
          <w:p>
            <w:pPr>
              <w:pStyle w:val="TableParagraph"/>
              <w:spacing w:before="69"/>
              <w:ind w:left="75" w:right="54"/>
              <w:jc w:val="left"/>
              <w:rPr>
                <w:sz w:val="16"/>
              </w:rPr>
            </w:pPr>
            <w:r>
              <w:rPr>
                <w:sz w:val="16"/>
              </w:rPr>
              <w:t>People with a disability</w:t>
            </w:r>
          </w:p>
        </w:tc>
        <w:tc>
          <w:tcPr>
            <w:tcW w:w="1120" w:type="dxa"/>
            <w:shd w:val="clear" w:color="auto" w:fill="E9E9E9"/>
          </w:tcPr>
          <w:p>
            <w:pPr>
              <w:pStyle w:val="TableParagraph"/>
              <w:spacing w:before="69"/>
              <w:ind w:right="72"/>
              <w:rPr>
                <w:sz w:val="16"/>
              </w:rPr>
            </w:pPr>
            <w:r>
              <w:rPr>
                <w:w w:val="90"/>
                <w:sz w:val="16"/>
              </w:rPr>
              <w:t>100</w:t>
            </w:r>
          </w:p>
        </w:tc>
        <w:tc>
          <w:tcPr>
            <w:tcW w:w="964" w:type="dxa"/>
            <w:shd w:val="clear" w:color="auto" w:fill="E9E9E9"/>
          </w:tcPr>
          <w:p>
            <w:pPr>
              <w:pStyle w:val="TableParagraph"/>
              <w:spacing w:before="69"/>
              <w:ind w:right="72"/>
              <w:rPr>
                <w:sz w:val="16"/>
              </w:rPr>
            </w:pPr>
            <w:r>
              <w:rPr>
                <w:spacing w:val="4"/>
                <w:w w:val="54"/>
                <w:sz w:val="16"/>
              </w:rPr>
              <w:t>1</w:t>
            </w:r>
            <w:r>
              <w:rPr>
                <w:spacing w:val="1"/>
                <w:w w:val="111"/>
                <w:sz w:val="16"/>
              </w:rPr>
              <w:t>0</w:t>
            </w:r>
            <w:r>
              <w:rPr>
                <w:w w:val="54"/>
                <w:sz w:val="16"/>
              </w:rPr>
              <w:t>1</w:t>
            </w:r>
          </w:p>
        </w:tc>
        <w:tc>
          <w:tcPr>
            <w:tcW w:w="964" w:type="dxa"/>
            <w:shd w:val="clear" w:color="auto" w:fill="E9E9E9"/>
          </w:tcPr>
          <w:p>
            <w:pPr>
              <w:pStyle w:val="TableParagraph"/>
              <w:spacing w:before="69"/>
              <w:ind w:right="72"/>
              <w:rPr>
                <w:sz w:val="16"/>
              </w:rPr>
            </w:pPr>
            <w:r>
              <w:rPr>
                <w:sz w:val="16"/>
              </w:rPr>
              <w:t>98</w:t>
            </w:r>
          </w:p>
        </w:tc>
        <w:tc>
          <w:tcPr>
            <w:tcW w:w="964" w:type="dxa"/>
            <w:shd w:val="clear" w:color="auto" w:fill="E9E9E9"/>
          </w:tcPr>
          <w:p>
            <w:pPr>
              <w:pStyle w:val="TableParagraph"/>
              <w:spacing w:before="69"/>
              <w:ind w:right="72"/>
              <w:rPr>
                <w:sz w:val="16"/>
              </w:rPr>
            </w:pPr>
            <w:r>
              <w:rPr>
                <w:w w:val="90"/>
                <w:sz w:val="16"/>
              </w:rPr>
              <w:t>100</w:t>
            </w:r>
          </w:p>
        </w:tc>
        <w:tc>
          <w:tcPr>
            <w:tcW w:w="964" w:type="dxa"/>
            <w:shd w:val="clear" w:color="auto" w:fill="E9E9E9"/>
          </w:tcPr>
          <w:p>
            <w:pPr>
              <w:pStyle w:val="TableParagraph"/>
              <w:spacing w:before="69"/>
              <w:ind w:right="71"/>
              <w:rPr>
                <w:sz w:val="16"/>
              </w:rPr>
            </w:pPr>
            <w:r>
              <w:rPr>
                <w:w w:val="85"/>
                <w:sz w:val="16"/>
              </w:rPr>
              <w:t>103</w:t>
            </w:r>
          </w:p>
        </w:tc>
        <w:tc>
          <w:tcPr>
            <w:tcW w:w="964" w:type="dxa"/>
            <w:shd w:val="clear" w:color="auto" w:fill="E9E9E9"/>
          </w:tcPr>
          <w:p>
            <w:pPr>
              <w:pStyle w:val="TableParagraph"/>
              <w:spacing w:before="69"/>
              <w:ind w:right="71"/>
              <w:rPr>
                <w:sz w:val="16"/>
              </w:rPr>
            </w:pPr>
            <w:r>
              <w:rPr>
                <w:w w:val="85"/>
                <w:sz w:val="16"/>
              </w:rPr>
              <w:t>103</w:t>
            </w:r>
          </w:p>
        </w:tc>
        <w:tc>
          <w:tcPr>
            <w:tcW w:w="964" w:type="dxa"/>
            <w:shd w:val="clear" w:color="auto" w:fill="E9E9E9"/>
          </w:tcPr>
          <w:p>
            <w:pPr>
              <w:pStyle w:val="TableParagraph"/>
              <w:spacing w:before="69"/>
              <w:ind w:right="72"/>
              <w:rPr>
                <w:sz w:val="16"/>
              </w:rPr>
            </w:pPr>
            <w:r>
              <w:rPr>
                <w:spacing w:val="4"/>
                <w:w w:val="54"/>
                <w:sz w:val="16"/>
              </w:rPr>
              <w:t>1</w:t>
            </w:r>
            <w:r>
              <w:rPr>
                <w:spacing w:val="1"/>
                <w:w w:val="111"/>
                <w:sz w:val="16"/>
              </w:rPr>
              <w:t>0</w:t>
            </w:r>
            <w:r>
              <w:rPr>
                <w:w w:val="54"/>
                <w:sz w:val="16"/>
              </w:rPr>
              <w:t>1</w:t>
            </w:r>
          </w:p>
        </w:tc>
        <w:tc>
          <w:tcPr>
            <w:tcW w:w="964" w:type="dxa"/>
            <w:shd w:val="clear" w:color="auto" w:fill="E9E9E9"/>
          </w:tcPr>
          <w:p>
            <w:pPr>
              <w:pStyle w:val="TableParagraph"/>
              <w:spacing w:before="69"/>
              <w:ind w:right="71"/>
              <w:rPr>
                <w:sz w:val="16"/>
              </w:rPr>
            </w:pPr>
            <w:r>
              <w:rPr>
                <w:w w:val="85"/>
                <w:sz w:val="16"/>
              </w:rPr>
              <w:t>102</w:t>
            </w:r>
          </w:p>
        </w:tc>
      </w:tr>
      <w:tr>
        <w:trPr>
          <w:trHeight w:val="488" w:hRule="exact"/>
        </w:trPr>
        <w:tc>
          <w:tcPr>
            <w:tcW w:w="2211" w:type="dxa"/>
            <w:shd w:val="clear" w:color="auto" w:fill="E9E9E9"/>
          </w:tcPr>
          <w:p>
            <w:pPr>
              <w:pStyle w:val="TableParagraph"/>
              <w:spacing w:line="249" w:lineRule="auto" w:before="43"/>
              <w:ind w:left="75" w:right="54"/>
              <w:jc w:val="left"/>
              <w:rPr>
                <w:sz w:val="16"/>
              </w:rPr>
            </w:pPr>
            <w:r>
              <w:rPr>
                <w:sz w:val="16"/>
              </w:rPr>
              <w:t>People with a disability requiring adjustment at work</w:t>
            </w:r>
          </w:p>
        </w:tc>
        <w:tc>
          <w:tcPr>
            <w:tcW w:w="1120" w:type="dxa"/>
            <w:shd w:val="clear" w:color="auto" w:fill="E9E9E9"/>
          </w:tcPr>
          <w:p>
            <w:pPr>
              <w:pStyle w:val="TableParagraph"/>
              <w:spacing w:before="143"/>
              <w:ind w:right="72"/>
              <w:rPr>
                <w:sz w:val="16"/>
              </w:rPr>
            </w:pPr>
            <w:r>
              <w:rPr>
                <w:w w:val="90"/>
                <w:sz w:val="16"/>
              </w:rPr>
              <w:t>100</w:t>
            </w:r>
          </w:p>
        </w:tc>
        <w:tc>
          <w:tcPr>
            <w:tcW w:w="964" w:type="dxa"/>
            <w:shd w:val="clear" w:color="auto" w:fill="E9E9E9"/>
          </w:tcPr>
          <w:p>
            <w:pPr>
              <w:pStyle w:val="TableParagraph"/>
              <w:spacing w:before="143"/>
              <w:ind w:right="72"/>
              <w:rPr>
                <w:sz w:val="16"/>
              </w:rPr>
            </w:pPr>
            <w:r>
              <w:rPr>
                <w:spacing w:val="4"/>
                <w:w w:val="54"/>
                <w:sz w:val="16"/>
              </w:rPr>
              <w:t>1</w:t>
            </w:r>
            <w:r>
              <w:rPr>
                <w:spacing w:val="1"/>
                <w:w w:val="111"/>
                <w:sz w:val="16"/>
              </w:rPr>
              <w:t>0</w:t>
            </w:r>
            <w:r>
              <w:rPr>
                <w:w w:val="54"/>
                <w:sz w:val="16"/>
              </w:rPr>
              <w:t>1</w:t>
            </w:r>
          </w:p>
        </w:tc>
        <w:tc>
          <w:tcPr>
            <w:tcW w:w="964" w:type="dxa"/>
            <w:shd w:val="clear" w:color="auto" w:fill="E9E9E9"/>
          </w:tcPr>
          <w:p>
            <w:pPr>
              <w:pStyle w:val="TableParagraph"/>
              <w:spacing w:before="143"/>
              <w:ind w:right="72"/>
              <w:rPr>
                <w:sz w:val="16"/>
              </w:rPr>
            </w:pPr>
            <w:r>
              <w:rPr>
                <w:w w:val="90"/>
                <w:sz w:val="16"/>
              </w:rPr>
              <w:t>104</w:t>
            </w:r>
          </w:p>
        </w:tc>
        <w:tc>
          <w:tcPr>
            <w:tcW w:w="964" w:type="dxa"/>
            <w:shd w:val="clear" w:color="auto" w:fill="E9E9E9"/>
          </w:tcPr>
          <w:p>
            <w:pPr>
              <w:pStyle w:val="TableParagraph"/>
              <w:spacing w:before="143"/>
              <w:ind w:right="76"/>
              <w:rPr>
                <w:sz w:val="16"/>
              </w:rPr>
            </w:pPr>
            <w:r>
              <w:rPr>
                <w:w w:val="85"/>
                <w:sz w:val="16"/>
              </w:rPr>
              <w:t>107</w:t>
            </w:r>
          </w:p>
        </w:tc>
        <w:tc>
          <w:tcPr>
            <w:tcW w:w="964" w:type="dxa"/>
            <w:shd w:val="clear" w:color="auto" w:fill="E9E9E9"/>
          </w:tcPr>
          <w:p>
            <w:pPr>
              <w:pStyle w:val="TableParagraph"/>
              <w:spacing w:before="143"/>
              <w:ind w:right="68"/>
              <w:rPr>
                <w:sz w:val="16"/>
              </w:rPr>
            </w:pPr>
            <w:r>
              <w:rPr>
                <w:w w:val="85"/>
                <w:sz w:val="16"/>
              </w:rPr>
              <w:t>109</w:t>
            </w:r>
          </w:p>
        </w:tc>
        <w:tc>
          <w:tcPr>
            <w:tcW w:w="964" w:type="dxa"/>
            <w:shd w:val="clear" w:color="auto" w:fill="E9E9E9"/>
          </w:tcPr>
          <w:p>
            <w:pPr>
              <w:pStyle w:val="TableParagraph"/>
              <w:spacing w:before="143"/>
              <w:ind w:right="69"/>
              <w:rPr>
                <w:sz w:val="16"/>
              </w:rPr>
            </w:pPr>
            <w:r>
              <w:rPr>
                <w:w w:val="55"/>
                <w:sz w:val="16"/>
              </w:rPr>
              <w:t>111</w:t>
            </w:r>
          </w:p>
        </w:tc>
        <w:tc>
          <w:tcPr>
            <w:tcW w:w="964" w:type="dxa"/>
            <w:shd w:val="clear" w:color="auto" w:fill="E9E9E9"/>
          </w:tcPr>
          <w:p>
            <w:pPr>
              <w:pStyle w:val="TableParagraph"/>
              <w:spacing w:before="143"/>
              <w:ind w:right="69"/>
              <w:rPr>
                <w:sz w:val="16"/>
              </w:rPr>
            </w:pPr>
            <w:r>
              <w:rPr>
                <w:w w:val="85"/>
                <w:sz w:val="16"/>
              </w:rPr>
              <w:t>105</w:t>
            </w:r>
          </w:p>
        </w:tc>
        <w:tc>
          <w:tcPr>
            <w:tcW w:w="964" w:type="dxa"/>
            <w:shd w:val="clear" w:color="auto" w:fill="E9E9E9"/>
          </w:tcPr>
          <w:p>
            <w:pPr>
              <w:pStyle w:val="TableParagraph"/>
              <w:spacing w:before="143"/>
              <w:ind w:right="68"/>
              <w:rPr>
                <w:sz w:val="16"/>
              </w:rPr>
            </w:pPr>
            <w:r>
              <w:rPr>
                <w:w w:val="85"/>
                <w:sz w:val="16"/>
              </w:rPr>
              <w:t>109</w:t>
            </w:r>
          </w:p>
        </w:tc>
      </w:tr>
    </w:tbl>
    <w:p>
      <w:pPr>
        <w:spacing w:after="0"/>
        <w:rPr>
          <w:sz w:val="16"/>
        </w:rPr>
        <w:sectPr>
          <w:pgSz w:w="11910" w:h="16840"/>
          <w:pgMar w:header="496" w:footer="472" w:top="680" w:bottom="660" w:left="580" w:right="580"/>
        </w:sectPr>
      </w:pPr>
    </w:p>
    <w:p>
      <w:pPr>
        <w:pStyle w:val="BodyText"/>
        <w:spacing w:before="8"/>
        <w:rPr>
          <w:rFonts w:ascii="Gotham Narrow Book"/>
          <w:b w:val="0"/>
          <w:i/>
          <w:sz w:val="28"/>
        </w:rPr>
      </w:pPr>
      <w:r>
        <w:rPr/>
        <w:pict>
          <v:rect style="position:absolute;margin-left:34.015999pt;margin-top:45.355015pt;width:527.244pt;height:751.181pt;mso-position-horizontal-relative:page;mso-position-vertical-relative:page;z-index:-334576" filled="true" fillcolor="#e9e9e9" stroked="false">
            <v:fill type="solid"/>
            <w10:wrap type="none"/>
          </v:rect>
        </w:pict>
      </w:r>
    </w:p>
    <w:p>
      <w:pPr>
        <w:pStyle w:val="Heading1"/>
      </w:pPr>
      <w:bookmarkStart w:name="_TOC_250003" w:id="51"/>
      <w:bookmarkEnd w:id="51"/>
      <w:r>
        <w:rPr>
          <w:w w:val="95"/>
        </w:rPr>
        <w:t>APPENDIX 11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6585"/>
      </w:pPr>
      <w:bookmarkStart w:name="_TOC_250002" w:id="52"/>
      <w:bookmarkEnd w:id="52"/>
      <w:r>
        <w:rPr>
          <w:w w:val="95"/>
        </w:rPr>
        <w:t>STUDENT ENROLMENT DATA</w:t>
      </w:r>
    </w:p>
    <w:p>
      <w:pPr>
        <w:pStyle w:val="Heading7"/>
        <w:spacing w:before="102"/>
        <w:ind w:left="327" w:right="503"/>
      </w:pPr>
      <w:r>
        <w:rPr>
          <w:color w:val="615C58"/>
        </w:rPr>
        <w:t>Table 1: Student Headcount by Residency Status, 2012 – 2016 (p)</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458"/>
        <w:gridCol w:w="1106"/>
        <w:gridCol w:w="1106"/>
        <w:gridCol w:w="1106"/>
        <w:gridCol w:w="1106"/>
        <w:gridCol w:w="1106"/>
      </w:tblGrid>
      <w:tr>
        <w:trPr>
          <w:trHeight w:val="312" w:hRule="exact"/>
        </w:trPr>
        <w:tc>
          <w:tcPr>
            <w:tcW w:w="8986" w:type="dxa"/>
            <w:gridSpan w:val="6"/>
            <w:tcBorders>
              <w:top w:val="nil"/>
              <w:left w:val="nil"/>
              <w:bottom w:val="nil"/>
              <w:right w:val="nil"/>
            </w:tcBorders>
            <w:shd w:val="clear" w:color="auto" w:fill="949290"/>
          </w:tcPr>
          <w:p>
            <w:pPr>
              <w:pStyle w:val="TableParagraph"/>
              <w:tabs>
                <w:tab w:pos="4142" w:val="left" w:leader="none"/>
                <w:tab w:pos="5248" w:val="left" w:leader="none"/>
                <w:tab w:pos="6343" w:val="left" w:leader="none"/>
                <w:tab w:pos="7457" w:val="left" w:leader="none"/>
                <w:tab w:pos="8300" w:val="left" w:leader="none"/>
              </w:tabs>
              <w:spacing w:before="66"/>
              <w:ind w:left="80"/>
              <w:jc w:val="left"/>
              <w:rPr>
                <w:rFonts w:ascii="Gotham Narrow Bold"/>
                <w:b/>
                <w:sz w:val="16"/>
              </w:rPr>
            </w:pPr>
            <w:r>
              <w:rPr>
                <w:rFonts w:ascii="Gotham Narrow Bold"/>
                <w:b/>
                <w:color w:val="FFFFFF"/>
                <w:spacing w:val="3"/>
                <w:sz w:val="16"/>
              </w:rPr>
              <w:t>RESIDENCY</w:t>
            </w:r>
            <w:r>
              <w:rPr>
                <w:rFonts w:ascii="Gotham Narrow Bold"/>
                <w:b/>
                <w:color w:val="FFFFFF"/>
                <w:spacing w:val="-25"/>
                <w:sz w:val="16"/>
              </w:rPr>
              <w:t> </w:t>
            </w:r>
            <w:r>
              <w:rPr>
                <w:rFonts w:ascii="Gotham Narrow Bold"/>
                <w:b/>
                <w:color w:val="FFFFFF"/>
                <w:sz w:val="16"/>
              </w:rPr>
              <w:t>STATUS</w:t>
              <w:tab/>
              <w:t>2012</w:t>
              <w:tab/>
              <w:t>2013</w:t>
              <w:tab/>
              <w:t>2014</w:t>
              <w:tab/>
              <w:t>2015</w:t>
              <w:tab/>
              <w:t>2016</w:t>
            </w:r>
            <w:r>
              <w:rPr>
                <w:rFonts w:ascii="Gotham Narrow Bold"/>
                <w:b/>
                <w:color w:val="FFFFFF"/>
                <w:spacing w:val="-28"/>
                <w:sz w:val="16"/>
              </w:rPr>
              <w:t> </w:t>
            </w:r>
            <w:r>
              <w:rPr>
                <w:rFonts w:ascii="Gotham Narrow Bold"/>
                <w:b/>
                <w:color w:val="FFFFFF"/>
                <w:spacing w:val="-4"/>
                <w:sz w:val="16"/>
              </w:rPr>
              <w:t>(p)</w:t>
            </w:r>
          </w:p>
        </w:tc>
      </w:tr>
      <w:tr>
        <w:trPr>
          <w:trHeight w:val="312" w:hRule="exact"/>
        </w:trPr>
        <w:tc>
          <w:tcPr>
            <w:tcW w:w="3458" w:type="dxa"/>
            <w:tcBorders>
              <w:top w:val="nil"/>
            </w:tcBorders>
            <w:shd w:val="clear" w:color="auto" w:fill="E9E9E9"/>
          </w:tcPr>
          <w:p>
            <w:pPr>
              <w:pStyle w:val="TableParagraph"/>
              <w:spacing w:before="60"/>
              <w:ind w:left="74"/>
              <w:jc w:val="left"/>
              <w:rPr>
                <w:sz w:val="16"/>
              </w:rPr>
            </w:pPr>
            <w:r>
              <w:rPr>
                <w:sz w:val="16"/>
              </w:rPr>
              <w:t>Domestic</w:t>
            </w:r>
          </w:p>
        </w:tc>
        <w:tc>
          <w:tcPr>
            <w:tcW w:w="1106" w:type="dxa"/>
            <w:tcBorders>
              <w:top w:val="nil"/>
            </w:tcBorders>
            <w:shd w:val="clear" w:color="auto" w:fill="E9E9E9"/>
          </w:tcPr>
          <w:p>
            <w:pPr>
              <w:pStyle w:val="TableParagraph"/>
              <w:spacing w:before="60"/>
              <w:ind w:right="73"/>
              <w:rPr>
                <w:sz w:val="16"/>
              </w:rPr>
            </w:pPr>
            <w:r>
              <w:rPr>
                <w:w w:val="95"/>
                <w:sz w:val="16"/>
              </w:rPr>
              <w:t>35,986</w:t>
            </w:r>
          </w:p>
        </w:tc>
        <w:tc>
          <w:tcPr>
            <w:tcW w:w="1106" w:type="dxa"/>
            <w:tcBorders>
              <w:top w:val="nil"/>
            </w:tcBorders>
            <w:shd w:val="clear" w:color="auto" w:fill="E9E9E9"/>
          </w:tcPr>
          <w:p>
            <w:pPr>
              <w:pStyle w:val="TableParagraph"/>
              <w:spacing w:before="60"/>
              <w:ind w:right="73"/>
              <w:rPr>
                <w:sz w:val="16"/>
              </w:rPr>
            </w:pPr>
            <w:r>
              <w:rPr>
                <w:w w:val="85"/>
                <w:sz w:val="16"/>
              </w:rPr>
              <w:t>37,641</w:t>
            </w:r>
          </w:p>
        </w:tc>
        <w:tc>
          <w:tcPr>
            <w:tcW w:w="1106" w:type="dxa"/>
            <w:tcBorders>
              <w:top w:val="nil"/>
            </w:tcBorders>
            <w:shd w:val="clear" w:color="auto" w:fill="E9E9E9"/>
          </w:tcPr>
          <w:p>
            <w:pPr>
              <w:pStyle w:val="TableParagraph"/>
              <w:spacing w:before="60"/>
              <w:ind w:right="73"/>
              <w:rPr>
                <w:sz w:val="16"/>
              </w:rPr>
            </w:pPr>
            <w:r>
              <w:rPr>
                <w:w w:val="98"/>
                <w:sz w:val="16"/>
              </w:rPr>
              <w:t>3</w:t>
            </w:r>
            <w:r>
              <w:rPr>
                <w:spacing w:val="1"/>
                <w:w w:val="98"/>
                <w:sz w:val="16"/>
              </w:rPr>
              <w:t>9</w:t>
            </w:r>
            <w:r>
              <w:rPr>
                <w:spacing w:val="6"/>
                <w:w w:val="68"/>
                <w:sz w:val="16"/>
              </w:rPr>
              <w:t>,</w:t>
            </w:r>
            <w:r>
              <w:rPr>
                <w:spacing w:val="4"/>
                <w:w w:val="93"/>
                <w:sz w:val="16"/>
              </w:rPr>
              <w:t>2</w:t>
            </w:r>
            <w:r>
              <w:rPr>
                <w:spacing w:val="4"/>
                <w:w w:val="54"/>
                <w:sz w:val="16"/>
              </w:rPr>
              <w:t>1</w:t>
            </w:r>
            <w:r>
              <w:rPr>
                <w:w w:val="111"/>
                <w:sz w:val="16"/>
              </w:rPr>
              <w:t>0</w:t>
            </w:r>
          </w:p>
        </w:tc>
        <w:tc>
          <w:tcPr>
            <w:tcW w:w="1106" w:type="dxa"/>
            <w:tcBorders>
              <w:top w:val="nil"/>
            </w:tcBorders>
            <w:shd w:val="clear" w:color="auto" w:fill="E9E9E9"/>
          </w:tcPr>
          <w:p>
            <w:pPr>
              <w:pStyle w:val="TableParagraph"/>
              <w:spacing w:before="60"/>
              <w:ind w:right="74"/>
              <w:rPr>
                <w:sz w:val="16"/>
              </w:rPr>
            </w:pPr>
            <w:r>
              <w:rPr>
                <w:w w:val="90"/>
                <w:sz w:val="16"/>
              </w:rPr>
              <w:t>40,316</w:t>
            </w:r>
          </w:p>
        </w:tc>
        <w:tc>
          <w:tcPr>
            <w:tcW w:w="1106" w:type="dxa"/>
            <w:tcBorders>
              <w:top w:val="nil"/>
            </w:tcBorders>
            <w:shd w:val="clear" w:color="auto" w:fill="E9E9E9"/>
          </w:tcPr>
          <w:p>
            <w:pPr>
              <w:pStyle w:val="TableParagraph"/>
              <w:spacing w:before="60"/>
              <w:ind w:right="72"/>
              <w:rPr>
                <w:sz w:val="16"/>
              </w:rPr>
            </w:pPr>
            <w:r>
              <w:rPr>
                <w:w w:val="95"/>
                <w:sz w:val="16"/>
              </w:rPr>
              <w:t>39,640</w:t>
            </w:r>
          </w:p>
        </w:tc>
      </w:tr>
      <w:tr>
        <w:trPr>
          <w:trHeight w:val="312" w:hRule="exact"/>
        </w:trPr>
        <w:tc>
          <w:tcPr>
            <w:tcW w:w="3458" w:type="dxa"/>
            <w:shd w:val="clear" w:color="auto" w:fill="E9E9E9"/>
          </w:tcPr>
          <w:p>
            <w:pPr>
              <w:pStyle w:val="TableParagraph"/>
              <w:ind w:left="74"/>
              <w:jc w:val="left"/>
              <w:rPr>
                <w:sz w:val="16"/>
              </w:rPr>
            </w:pPr>
            <w:r>
              <w:rPr>
                <w:sz w:val="16"/>
              </w:rPr>
              <w:t>International - On Shore</w:t>
            </w:r>
          </w:p>
        </w:tc>
        <w:tc>
          <w:tcPr>
            <w:tcW w:w="1106" w:type="dxa"/>
            <w:shd w:val="clear" w:color="auto" w:fill="E9E9E9"/>
          </w:tcPr>
          <w:p>
            <w:pPr>
              <w:pStyle w:val="TableParagraph"/>
              <w:ind w:right="68"/>
              <w:rPr>
                <w:sz w:val="16"/>
              </w:rPr>
            </w:pPr>
            <w:r>
              <w:rPr>
                <w:w w:val="95"/>
                <w:sz w:val="16"/>
              </w:rPr>
              <w:t>3,846</w:t>
            </w:r>
          </w:p>
        </w:tc>
        <w:tc>
          <w:tcPr>
            <w:tcW w:w="1106" w:type="dxa"/>
            <w:shd w:val="clear" w:color="auto" w:fill="E9E9E9"/>
          </w:tcPr>
          <w:p>
            <w:pPr>
              <w:pStyle w:val="TableParagraph"/>
              <w:ind w:right="72"/>
              <w:rPr>
                <w:sz w:val="16"/>
              </w:rPr>
            </w:pPr>
            <w:r>
              <w:rPr>
                <w:w w:val="80"/>
                <w:sz w:val="16"/>
              </w:rPr>
              <w:t>3,921</w:t>
            </w:r>
          </w:p>
        </w:tc>
        <w:tc>
          <w:tcPr>
            <w:tcW w:w="1106" w:type="dxa"/>
            <w:shd w:val="clear" w:color="auto" w:fill="E9E9E9"/>
          </w:tcPr>
          <w:p>
            <w:pPr>
              <w:pStyle w:val="TableParagraph"/>
              <w:ind w:right="73"/>
              <w:rPr>
                <w:sz w:val="16"/>
              </w:rPr>
            </w:pPr>
            <w:r>
              <w:rPr>
                <w:w w:val="85"/>
                <w:sz w:val="16"/>
              </w:rPr>
              <w:t>4,315</w:t>
            </w:r>
          </w:p>
        </w:tc>
        <w:tc>
          <w:tcPr>
            <w:tcW w:w="1106" w:type="dxa"/>
            <w:shd w:val="clear" w:color="auto" w:fill="E9E9E9"/>
          </w:tcPr>
          <w:p>
            <w:pPr>
              <w:pStyle w:val="TableParagraph"/>
              <w:ind w:right="72"/>
              <w:rPr>
                <w:sz w:val="16"/>
              </w:rPr>
            </w:pPr>
            <w:r>
              <w:rPr>
                <w:w w:val="90"/>
                <w:sz w:val="16"/>
              </w:rPr>
              <w:t>4,262</w:t>
            </w:r>
          </w:p>
        </w:tc>
        <w:tc>
          <w:tcPr>
            <w:tcW w:w="1106" w:type="dxa"/>
            <w:shd w:val="clear" w:color="auto" w:fill="E9E9E9"/>
          </w:tcPr>
          <w:p>
            <w:pPr>
              <w:pStyle w:val="TableParagraph"/>
              <w:ind w:right="72"/>
              <w:rPr>
                <w:sz w:val="16"/>
              </w:rPr>
            </w:pPr>
            <w:r>
              <w:rPr>
                <w:sz w:val="16"/>
              </w:rPr>
              <w:t>4,440</w:t>
            </w:r>
          </w:p>
        </w:tc>
      </w:tr>
      <w:tr>
        <w:trPr>
          <w:trHeight w:val="312" w:hRule="exact"/>
        </w:trPr>
        <w:tc>
          <w:tcPr>
            <w:tcW w:w="3458" w:type="dxa"/>
            <w:shd w:val="clear" w:color="auto" w:fill="E9E9E9"/>
          </w:tcPr>
          <w:p>
            <w:pPr>
              <w:pStyle w:val="TableParagraph"/>
              <w:ind w:left="75"/>
              <w:jc w:val="left"/>
              <w:rPr>
                <w:sz w:val="16"/>
              </w:rPr>
            </w:pPr>
            <w:r>
              <w:rPr>
                <w:sz w:val="16"/>
              </w:rPr>
              <w:t>International - Off Shore</w:t>
            </w:r>
          </w:p>
        </w:tc>
        <w:tc>
          <w:tcPr>
            <w:tcW w:w="1106" w:type="dxa"/>
            <w:shd w:val="clear" w:color="auto" w:fill="E9E9E9"/>
          </w:tcPr>
          <w:p>
            <w:pPr>
              <w:pStyle w:val="TableParagraph"/>
              <w:ind w:right="72"/>
              <w:rPr>
                <w:sz w:val="16"/>
              </w:rPr>
            </w:pPr>
            <w:r>
              <w:rPr>
                <w:w w:val="95"/>
                <w:sz w:val="16"/>
              </w:rPr>
              <w:t>425</w:t>
            </w:r>
          </w:p>
        </w:tc>
        <w:tc>
          <w:tcPr>
            <w:tcW w:w="1106" w:type="dxa"/>
            <w:shd w:val="clear" w:color="auto" w:fill="E9E9E9"/>
          </w:tcPr>
          <w:p>
            <w:pPr>
              <w:pStyle w:val="TableParagraph"/>
              <w:ind w:right="74"/>
              <w:rPr>
                <w:sz w:val="16"/>
              </w:rPr>
            </w:pPr>
            <w:r>
              <w:rPr>
                <w:sz w:val="16"/>
              </w:rPr>
              <w:t>438</w:t>
            </w:r>
          </w:p>
        </w:tc>
        <w:tc>
          <w:tcPr>
            <w:tcW w:w="1106" w:type="dxa"/>
            <w:shd w:val="clear" w:color="auto" w:fill="E9E9E9"/>
          </w:tcPr>
          <w:p>
            <w:pPr>
              <w:pStyle w:val="TableParagraph"/>
              <w:ind w:right="72"/>
              <w:rPr>
                <w:sz w:val="16"/>
              </w:rPr>
            </w:pPr>
            <w:r>
              <w:rPr>
                <w:w w:val="80"/>
                <w:sz w:val="16"/>
              </w:rPr>
              <w:t>391</w:t>
            </w:r>
          </w:p>
        </w:tc>
        <w:tc>
          <w:tcPr>
            <w:tcW w:w="1106" w:type="dxa"/>
            <w:shd w:val="clear" w:color="auto" w:fill="E9E9E9"/>
          </w:tcPr>
          <w:p>
            <w:pPr>
              <w:pStyle w:val="TableParagraph"/>
              <w:ind w:right="73"/>
              <w:rPr>
                <w:sz w:val="16"/>
              </w:rPr>
            </w:pPr>
            <w:r>
              <w:rPr>
                <w:w w:val="85"/>
                <w:sz w:val="16"/>
              </w:rPr>
              <w:t>341</w:t>
            </w:r>
          </w:p>
        </w:tc>
        <w:tc>
          <w:tcPr>
            <w:tcW w:w="1106" w:type="dxa"/>
            <w:shd w:val="clear" w:color="auto" w:fill="E9E9E9"/>
          </w:tcPr>
          <w:p>
            <w:pPr>
              <w:pStyle w:val="TableParagraph"/>
              <w:ind w:right="72"/>
              <w:rPr>
                <w:sz w:val="16"/>
              </w:rPr>
            </w:pPr>
            <w:r>
              <w:rPr>
                <w:w w:val="80"/>
                <w:sz w:val="16"/>
              </w:rPr>
              <w:t>371</w:t>
            </w:r>
          </w:p>
        </w:tc>
      </w:tr>
      <w:tr>
        <w:trPr>
          <w:trHeight w:val="312" w:hRule="exact"/>
        </w:trPr>
        <w:tc>
          <w:tcPr>
            <w:tcW w:w="3458" w:type="dxa"/>
            <w:shd w:val="clear" w:color="auto" w:fill="E9E9E9"/>
          </w:tcPr>
          <w:p>
            <w:pPr>
              <w:pStyle w:val="TableParagraph"/>
              <w:spacing w:before="62"/>
              <w:ind w:left="75"/>
              <w:jc w:val="left"/>
              <w:rPr>
                <w:rFonts w:ascii="Calibri"/>
                <w:sz w:val="16"/>
              </w:rPr>
            </w:pPr>
            <w:r>
              <w:rPr>
                <w:rFonts w:ascii="Calibri"/>
                <w:w w:val="110"/>
                <w:sz w:val="16"/>
              </w:rPr>
              <w:t>Total</w:t>
            </w:r>
          </w:p>
        </w:tc>
        <w:tc>
          <w:tcPr>
            <w:tcW w:w="1106" w:type="dxa"/>
            <w:shd w:val="clear" w:color="auto" w:fill="E9E9E9"/>
          </w:tcPr>
          <w:p>
            <w:pPr>
              <w:pStyle w:val="TableParagraph"/>
              <w:spacing w:before="62"/>
              <w:ind w:right="72"/>
              <w:rPr>
                <w:rFonts w:ascii="Calibri"/>
                <w:sz w:val="16"/>
              </w:rPr>
            </w:pPr>
            <w:r>
              <w:rPr>
                <w:rFonts w:ascii="Calibri"/>
                <w:w w:val="110"/>
                <w:sz w:val="16"/>
              </w:rPr>
              <w:t>40,257</w:t>
            </w:r>
          </w:p>
        </w:tc>
        <w:tc>
          <w:tcPr>
            <w:tcW w:w="1106" w:type="dxa"/>
            <w:shd w:val="clear" w:color="auto" w:fill="E9E9E9"/>
          </w:tcPr>
          <w:p>
            <w:pPr>
              <w:pStyle w:val="TableParagraph"/>
              <w:spacing w:before="62"/>
              <w:ind w:right="69"/>
              <w:rPr>
                <w:rFonts w:ascii="Calibri"/>
                <w:sz w:val="16"/>
              </w:rPr>
            </w:pPr>
            <w:r>
              <w:rPr>
                <w:rFonts w:ascii="Calibri"/>
                <w:w w:val="115"/>
                <w:sz w:val="16"/>
              </w:rPr>
              <w:t>42,000</w:t>
            </w:r>
          </w:p>
        </w:tc>
        <w:tc>
          <w:tcPr>
            <w:tcW w:w="1106" w:type="dxa"/>
            <w:shd w:val="clear" w:color="auto" w:fill="E9E9E9"/>
          </w:tcPr>
          <w:p>
            <w:pPr>
              <w:pStyle w:val="TableParagraph"/>
              <w:spacing w:before="62"/>
              <w:ind w:right="72"/>
              <w:rPr>
                <w:rFonts w:ascii="Calibri"/>
                <w:sz w:val="16"/>
              </w:rPr>
            </w:pPr>
            <w:r>
              <w:rPr>
                <w:rFonts w:ascii="Calibri"/>
                <w:w w:val="105"/>
                <w:sz w:val="16"/>
              </w:rPr>
              <w:t>43,916</w:t>
            </w:r>
          </w:p>
        </w:tc>
        <w:tc>
          <w:tcPr>
            <w:tcW w:w="1106" w:type="dxa"/>
            <w:shd w:val="clear" w:color="auto" w:fill="E9E9E9"/>
          </w:tcPr>
          <w:p>
            <w:pPr>
              <w:pStyle w:val="TableParagraph"/>
              <w:spacing w:before="62"/>
              <w:ind w:right="72"/>
              <w:rPr>
                <w:rFonts w:ascii="Calibri"/>
                <w:sz w:val="16"/>
              </w:rPr>
            </w:pPr>
            <w:r>
              <w:rPr>
                <w:rFonts w:ascii="Calibri"/>
                <w:w w:val="105"/>
                <w:sz w:val="16"/>
              </w:rPr>
              <w:t>44,919</w:t>
            </w:r>
          </w:p>
        </w:tc>
        <w:tc>
          <w:tcPr>
            <w:tcW w:w="1106" w:type="dxa"/>
            <w:shd w:val="clear" w:color="auto" w:fill="E9E9E9"/>
          </w:tcPr>
          <w:p>
            <w:pPr>
              <w:pStyle w:val="TableParagraph"/>
              <w:spacing w:before="62"/>
              <w:ind w:right="72"/>
              <w:rPr>
                <w:rFonts w:ascii="Calibri"/>
                <w:sz w:val="16"/>
              </w:rPr>
            </w:pPr>
            <w:r>
              <w:rPr>
                <w:rFonts w:ascii="Calibri"/>
                <w:w w:val="105"/>
                <w:sz w:val="16"/>
              </w:rPr>
              <w:t>44,451</w:t>
            </w:r>
          </w:p>
        </w:tc>
      </w:tr>
    </w:tbl>
    <w:p>
      <w:pPr>
        <w:pStyle w:val="BodyText"/>
        <w:spacing w:before="51"/>
        <w:ind w:left="332" w:right="503"/>
      </w:pPr>
      <w:r>
        <w:rPr/>
        <w:t>(Source: Enrolment submissions to the Department of Education and Training)</w:t>
      </w:r>
    </w:p>
    <w:p>
      <w:pPr>
        <w:pStyle w:val="BodyText"/>
        <w:spacing w:before="2"/>
        <w:rPr>
          <w:sz w:val="20"/>
        </w:rPr>
      </w:pPr>
    </w:p>
    <w:p>
      <w:pPr>
        <w:pStyle w:val="Heading7"/>
        <w:ind w:left="327" w:right="503"/>
      </w:pPr>
      <w:r>
        <w:rPr>
          <w:color w:val="615C58"/>
        </w:rPr>
        <w:t>Table 2: Commencing Student Headcount by Residency Status, 2012 – 2016 (p)</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458"/>
        <w:gridCol w:w="1106"/>
        <w:gridCol w:w="1106"/>
        <w:gridCol w:w="1106"/>
        <w:gridCol w:w="1106"/>
        <w:gridCol w:w="1106"/>
      </w:tblGrid>
      <w:tr>
        <w:trPr>
          <w:trHeight w:val="312" w:hRule="exact"/>
        </w:trPr>
        <w:tc>
          <w:tcPr>
            <w:tcW w:w="8986" w:type="dxa"/>
            <w:gridSpan w:val="6"/>
            <w:tcBorders>
              <w:top w:val="nil"/>
              <w:left w:val="nil"/>
              <w:bottom w:val="nil"/>
              <w:right w:val="nil"/>
            </w:tcBorders>
            <w:shd w:val="clear" w:color="auto" w:fill="949290"/>
          </w:tcPr>
          <w:p>
            <w:pPr>
              <w:pStyle w:val="TableParagraph"/>
              <w:tabs>
                <w:tab w:pos="4142" w:val="left" w:leader="none"/>
                <w:tab w:pos="5248" w:val="left" w:leader="none"/>
                <w:tab w:pos="6343" w:val="left" w:leader="none"/>
                <w:tab w:pos="7457" w:val="left" w:leader="none"/>
                <w:tab w:pos="8300" w:val="left" w:leader="none"/>
              </w:tabs>
              <w:spacing w:before="66"/>
              <w:ind w:left="80"/>
              <w:jc w:val="left"/>
              <w:rPr>
                <w:rFonts w:ascii="Gotham Narrow Bold"/>
                <w:b/>
                <w:sz w:val="16"/>
              </w:rPr>
            </w:pPr>
            <w:r>
              <w:rPr>
                <w:rFonts w:ascii="Gotham Narrow Bold"/>
                <w:b/>
                <w:color w:val="FFFFFF"/>
                <w:spacing w:val="3"/>
                <w:sz w:val="16"/>
              </w:rPr>
              <w:t>RESIDENCY</w:t>
            </w:r>
            <w:r>
              <w:rPr>
                <w:rFonts w:ascii="Gotham Narrow Bold"/>
                <w:b/>
                <w:color w:val="FFFFFF"/>
                <w:spacing w:val="-25"/>
                <w:sz w:val="16"/>
              </w:rPr>
              <w:t> </w:t>
            </w:r>
            <w:r>
              <w:rPr>
                <w:rFonts w:ascii="Gotham Narrow Bold"/>
                <w:b/>
                <w:color w:val="FFFFFF"/>
                <w:sz w:val="16"/>
              </w:rPr>
              <w:t>STATUS</w:t>
              <w:tab/>
              <w:t>2012</w:t>
              <w:tab/>
              <w:t>2013</w:t>
              <w:tab/>
              <w:t>2014</w:t>
              <w:tab/>
              <w:t>2015</w:t>
              <w:tab/>
              <w:t>2016</w:t>
            </w:r>
            <w:r>
              <w:rPr>
                <w:rFonts w:ascii="Gotham Narrow Bold"/>
                <w:b/>
                <w:color w:val="FFFFFF"/>
                <w:spacing w:val="-28"/>
                <w:sz w:val="16"/>
              </w:rPr>
              <w:t> </w:t>
            </w:r>
            <w:r>
              <w:rPr>
                <w:rFonts w:ascii="Gotham Narrow Bold"/>
                <w:b/>
                <w:color w:val="FFFFFF"/>
                <w:spacing w:val="-4"/>
                <w:sz w:val="16"/>
              </w:rPr>
              <w:t>(p)</w:t>
            </w:r>
          </w:p>
        </w:tc>
      </w:tr>
      <w:tr>
        <w:trPr>
          <w:trHeight w:val="312" w:hRule="exact"/>
        </w:trPr>
        <w:tc>
          <w:tcPr>
            <w:tcW w:w="3458" w:type="dxa"/>
            <w:tcBorders>
              <w:top w:val="nil"/>
            </w:tcBorders>
            <w:shd w:val="clear" w:color="auto" w:fill="E9E9E9"/>
          </w:tcPr>
          <w:p>
            <w:pPr>
              <w:pStyle w:val="TableParagraph"/>
              <w:spacing w:before="60"/>
              <w:ind w:left="74"/>
              <w:jc w:val="left"/>
              <w:rPr>
                <w:sz w:val="16"/>
              </w:rPr>
            </w:pPr>
            <w:r>
              <w:rPr>
                <w:sz w:val="16"/>
              </w:rPr>
              <w:t>Domestic</w:t>
            </w:r>
          </w:p>
        </w:tc>
        <w:tc>
          <w:tcPr>
            <w:tcW w:w="1106" w:type="dxa"/>
            <w:tcBorders>
              <w:top w:val="nil"/>
            </w:tcBorders>
            <w:shd w:val="clear" w:color="auto" w:fill="E9E9E9"/>
          </w:tcPr>
          <w:p>
            <w:pPr>
              <w:pStyle w:val="TableParagraph"/>
              <w:spacing w:before="60"/>
              <w:ind w:right="73"/>
              <w:rPr>
                <w:sz w:val="16"/>
              </w:rPr>
            </w:pPr>
            <w:r>
              <w:rPr>
                <w:w w:val="75"/>
                <w:sz w:val="16"/>
              </w:rPr>
              <w:t>13,219</w:t>
            </w:r>
          </w:p>
        </w:tc>
        <w:tc>
          <w:tcPr>
            <w:tcW w:w="1106" w:type="dxa"/>
            <w:tcBorders>
              <w:top w:val="nil"/>
            </w:tcBorders>
            <w:shd w:val="clear" w:color="auto" w:fill="E9E9E9"/>
          </w:tcPr>
          <w:p>
            <w:pPr>
              <w:pStyle w:val="TableParagraph"/>
              <w:spacing w:before="60"/>
              <w:ind w:right="74"/>
              <w:rPr>
                <w:sz w:val="16"/>
              </w:rPr>
            </w:pPr>
            <w:r>
              <w:rPr>
                <w:w w:val="85"/>
                <w:sz w:val="16"/>
              </w:rPr>
              <w:t>14,297</w:t>
            </w:r>
          </w:p>
        </w:tc>
        <w:tc>
          <w:tcPr>
            <w:tcW w:w="1106" w:type="dxa"/>
            <w:tcBorders>
              <w:top w:val="nil"/>
            </w:tcBorders>
            <w:shd w:val="clear" w:color="auto" w:fill="E9E9E9"/>
          </w:tcPr>
          <w:p>
            <w:pPr>
              <w:pStyle w:val="TableParagraph"/>
              <w:spacing w:before="60"/>
              <w:ind w:right="71"/>
              <w:rPr>
                <w:sz w:val="16"/>
              </w:rPr>
            </w:pPr>
            <w:r>
              <w:rPr>
                <w:w w:val="85"/>
                <w:sz w:val="16"/>
              </w:rPr>
              <w:t>14,867</w:t>
            </w:r>
          </w:p>
        </w:tc>
        <w:tc>
          <w:tcPr>
            <w:tcW w:w="1106" w:type="dxa"/>
            <w:tcBorders>
              <w:top w:val="nil"/>
            </w:tcBorders>
            <w:shd w:val="clear" w:color="auto" w:fill="E9E9E9"/>
          </w:tcPr>
          <w:p>
            <w:pPr>
              <w:pStyle w:val="TableParagraph"/>
              <w:spacing w:before="60"/>
              <w:ind w:right="70"/>
              <w:rPr>
                <w:sz w:val="16"/>
              </w:rPr>
            </w:pPr>
            <w:r>
              <w:rPr>
                <w:w w:val="85"/>
                <w:sz w:val="16"/>
              </w:rPr>
              <w:t>15,928</w:t>
            </w:r>
          </w:p>
        </w:tc>
        <w:tc>
          <w:tcPr>
            <w:tcW w:w="1106" w:type="dxa"/>
            <w:tcBorders>
              <w:top w:val="nil"/>
            </w:tcBorders>
            <w:shd w:val="clear" w:color="auto" w:fill="E9E9E9"/>
          </w:tcPr>
          <w:p>
            <w:pPr>
              <w:pStyle w:val="TableParagraph"/>
              <w:spacing w:before="60"/>
              <w:ind w:right="75"/>
              <w:rPr>
                <w:sz w:val="16"/>
              </w:rPr>
            </w:pPr>
            <w:r>
              <w:rPr>
                <w:w w:val="80"/>
                <w:sz w:val="16"/>
              </w:rPr>
              <w:t>15,107</w:t>
            </w:r>
          </w:p>
        </w:tc>
      </w:tr>
      <w:tr>
        <w:trPr>
          <w:trHeight w:val="312" w:hRule="exact"/>
        </w:trPr>
        <w:tc>
          <w:tcPr>
            <w:tcW w:w="3458" w:type="dxa"/>
            <w:shd w:val="clear" w:color="auto" w:fill="E9E9E9"/>
          </w:tcPr>
          <w:p>
            <w:pPr>
              <w:pStyle w:val="TableParagraph"/>
              <w:ind w:left="74"/>
              <w:jc w:val="left"/>
              <w:rPr>
                <w:sz w:val="16"/>
              </w:rPr>
            </w:pPr>
            <w:r>
              <w:rPr>
                <w:sz w:val="16"/>
              </w:rPr>
              <w:t>International - On Shore</w:t>
            </w:r>
          </w:p>
        </w:tc>
        <w:tc>
          <w:tcPr>
            <w:tcW w:w="1106" w:type="dxa"/>
            <w:shd w:val="clear" w:color="auto" w:fill="E9E9E9"/>
          </w:tcPr>
          <w:p>
            <w:pPr>
              <w:pStyle w:val="TableParagraph"/>
              <w:ind w:right="73"/>
              <w:rPr>
                <w:sz w:val="16"/>
              </w:rPr>
            </w:pPr>
            <w:r>
              <w:rPr>
                <w:w w:val="80"/>
                <w:sz w:val="16"/>
              </w:rPr>
              <w:t>1,792</w:t>
            </w:r>
          </w:p>
        </w:tc>
        <w:tc>
          <w:tcPr>
            <w:tcW w:w="1106" w:type="dxa"/>
            <w:shd w:val="clear" w:color="auto" w:fill="E9E9E9"/>
          </w:tcPr>
          <w:p>
            <w:pPr>
              <w:pStyle w:val="TableParagraph"/>
              <w:ind w:right="73"/>
              <w:rPr>
                <w:sz w:val="16"/>
              </w:rPr>
            </w:pPr>
            <w:r>
              <w:rPr>
                <w:spacing w:val="4"/>
                <w:w w:val="54"/>
                <w:sz w:val="16"/>
              </w:rPr>
              <w:t>1</w:t>
            </w:r>
            <w:r>
              <w:rPr>
                <w:spacing w:val="2"/>
                <w:w w:val="68"/>
                <w:sz w:val="16"/>
              </w:rPr>
              <w:t>,</w:t>
            </w:r>
            <w:r>
              <w:rPr>
                <w:spacing w:val="4"/>
                <w:w w:val="101"/>
                <w:sz w:val="16"/>
              </w:rPr>
              <w:t>9</w:t>
            </w:r>
            <w:r>
              <w:rPr>
                <w:spacing w:val="1"/>
                <w:w w:val="111"/>
                <w:sz w:val="16"/>
              </w:rPr>
              <w:t>0</w:t>
            </w:r>
            <w:r>
              <w:rPr>
                <w:w w:val="54"/>
                <w:sz w:val="16"/>
              </w:rPr>
              <w:t>1</w:t>
            </w:r>
          </w:p>
        </w:tc>
        <w:tc>
          <w:tcPr>
            <w:tcW w:w="1106" w:type="dxa"/>
            <w:shd w:val="clear" w:color="auto" w:fill="E9E9E9"/>
          </w:tcPr>
          <w:p>
            <w:pPr>
              <w:pStyle w:val="TableParagraph"/>
              <w:ind w:right="73"/>
              <w:rPr>
                <w:sz w:val="16"/>
              </w:rPr>
            </w:pPr>
            <w:r>
              <w:rPr>
                <w:w w:val="80"/>
                <w:sz w:val="16"/>
              </w:rPr>
              <w:t>2,221</w:t>
            </w:r>
          </w:p>
        </w:tc>
        <w:tc>
          <w:tcPr>
            <w:tcW w:w="1106" w:type="dxa"/>
            <w:shd w:val="clear" w:color="auto" w:fill="E9E9E9"/>
          </w:tcPr>
          <w:p>
            <w:pPr>
              <w:pStyle w:val="TableParagraph"/>
              <w:ind w:right="72"/>
              <w:rPr>
                <w:sz w:val="16"/>
              </w:rPr>
            </w:pPr>
            <w:r>
              <w:rPr>
                <w:sz w:val="16"/>
              </w:rPr>
              <w:t>2,002</w:t>
            </w:r>
          </w:p>
        </w:tc>
        <w:tc>
          <w:tcPr>
            <w:tcW w:w="1106" w:type="dxa"/>
            <w:shd w:val="clear" w:color="auto" w:fill="E9E9E9"/>
          </w:tcPr>
          <w:p>
            <w:pPr>
              <w:pStyle w:val="TableParagraph"/>
              <w:ind w:right="73"/>
              <w:rPr>
                <w:sz w:val="16"/>
              </w:rPr>
            </w:pPr>
            <w:r>
              <w:rPr>
                <w:w w:val="85"/>
                <w:sz w:val="16"/>
              </w:rPr>
              <w:t>2,120</w:t>
            </w:r>
          </w:p>
        </w:tc>
      </w:tr>
      <w:tr>
        <w:trPr>
          <w:trHeight w:val="312" w:hRule="exact"/>
        </w:trPr>
        <w:tc>
          <w:tcPr>
            <w:tcW w:w="3458" w:type="dxa"/>
            <w:shd w:val="clear" w:color="auto" w:fill="E9E9E9"/>
          </w:tcPr>
          <w:p>
            <w:pPr>
              <w:pStyle w:val="TableParagraph"/>
              <w:ind w:left="74"/>
              <w:jc w:val="left"/>
              <w:rPr>
                <w:sz w:val="16"/>
              </w:rPr>
            </w:pPr>
            <w:r>
              <w:rPr>
                <w:sz w:val="16"/>
              </w:rPr>
              <w:t>International - Off Shore</w:t>
            </w:r>
          </w:p>
        </w:tc>
        <w:tc>
          <w:tcPr>
            <w:tcW w:w="1106" w:type="dxa"/>
            <w:shd w:val="clear" w:color="auto" w:fill="E9E9E9"/>
          </w:tcPr>
          <w:p>
            <w:pPr>
              <w:pStyle w:val="TableParagraph"/>
              <w:ind w:right="72"/>
              <w:rPr>
                <w:sz w:val="16"/>
              </w:rPr>
            </w:pPr>
            <w:r>
              <w:rPr>
                <w:w w:val="85"/>
                <w:sz w:val="16"/>
              </w:rPr>
              <w:t>145</w:t>
            </w:r>
          </w:p>
        </w:tc>
        <w:tc>
          <w:tcPr>
            <w:tcW w:w="1106" w:type="dxa"/>
            <w:shd w:val="clear" w:color="auto" w:fill="E9E9E9"/>
          </w:tcPr>
          <w:p>
            <w:pPr>
              <w:pStyle w:val="TableParagraph"/>
              <w:ind w:right="69"/>
              <w:rPr>
                <w:sz w:val="16"/>
              </w:rPr>
            </w:pPr>
            <w:r>
              <w:rPr>
                <w:w w:val="70"/>
                <w:sz w:val="16"/>
              </w:rPr>
              <w:t>161</w:t>
            </w:r>
          </w:p>
        </w:tc>
        <w:tc>
          <w:tcPr>
            <w:tcW w:w="1106" w:type="dxa"/>
            <w:shd w:val="clear" w:color="auto" w:fill="E9E9E9"/>
          </w:tcPr>
          <w:p>
            <w:pPr>
              <w:pStyle w:val="TableParagraph"/>
              <w:ind w:right="73"/>
              <w:rPr>
                <w:sz w:val="16"/>
              </w:rPr>
            </w:pPr>
            <w:r>
              <w:rPr>
                <w:w w:val="80"/>
                <w:sz w:val="16"/>
              </w:rPr>
              <w:t>125</w:t>
            </w:r>
          </w:p>
        </w:tc>
        <w:tc>
          <w:tcPr>
            <w:tcW w:w="1106" w:type="dxa"/>
            <w:shd w:val="clear" w:color="auto" w:fill="E9E9E9"/>
          </w:tcPr>
          <w:p>
            <w:pPr>
              <w:pStyle w:val="TableParagraph"/>
              <w:ind w:right="73"/>
              <w:rPr>
                <w:sz w:val="16"/>
              </w:rPr>
            </w:pPr>
            <w:r>
              <w:rPr>
                <w:w w:val="80"/>
                <w:sz w:val="16"/>
              </w:rPr>
              <w:t>156</w:t>
            </w:r>
          </w:p>
        </w:tc>
        <w:tc>
          <w:tcPr>
            <w:tcW w:w="1106" w:type="dxa"/>
            <w:shd w:val="clear" w:color="auto" w:fill="E9E9E9"/>
          </w:tcPr>
          <w:p>
            <w:pPr>
              <w:pStyle w:val="TableParagraph"/>
              <w:ind w:right="73"/>
              <w:rPr>
                <w:sz w:val="16"/>
              </w:rPr>
            </w:pPr>
            <w:r>
              <w:rPr>
                <w:w w:val="85"/>
                <w:sz w:val="16"/>
              </w:rPr>
              <w:t>169</w:t>
            </w:r>
          </w:p>
        </w:tc>
      </w:tr>
      <w:tr>
        <w:trPr>
          <w:trHeight w:val="312" w:hRule="exact"/>
        </w:trPr>
        <w:tc>
          <w:tcPr>
            <w:tcW w:w="3458" w:type="dxa"/>
            <w:shd w:val="clear" w:color="auto" w:fill="E9E9E9"/>
          </w:tcPr>
          <w:p>
            <w:pPr>
              <w:pStyle w:val="TableParagraph"/>
              <w:spacing w:before="62"/>
              <w:ind w:left="74"/>
              <w:jc w:val="left"/>
              <w:rPr>
                <w:rFonts w:ascii="Calibri"/>
                <w:sz w:val="16"/>
              </w:rPr>
            </w:pPr>
            <w:r>
              <w:rPr>
                <w:rFonts w:ascii="Calibri"/>
                <w:w w:val="110"/>
                <w:sz w:val="16"/>
              </w:rPr>
              <w:t>Total</w:t>
            </w:r>
          </w:p>
        </w:tc>
        <w:tc>
          <w:tcPr>
            <w:tcW w:w="1106" w:type="dxa"/>
            <w:shd w:val="clear" w:color="auto" w:fill="E9E9E9"/>
          </w:tcPr>
          <w:p>
            <w:pPr>
              <w:pStyle w:val="TableParagraph"/>
              <w:spacing w:before="62"/>
              <w:ind w:right="73"/>
              <w:rPr>
                <w:rFonts w:ascii="Calibri"/>
                <w:sz w:val="16"/>
              </w:rPr>
            </w:pPr>
            <w:r>
              <w:rPr>
                <w:rFonts w:ascii="Calibri"/>
                <w:w w:val="95"/>
                <w:sz w:val="16"/>
              </w:rPr>
              <w:t>15,156</w:t>
            </w:r>
          </w:p>
        </w:tc>
        <w:tc>
          <w:tcPr>
            <w:tcW w:w="1106" w:type="dxa"/>
            <w:shd w:val="clear" w:color="auto" w:fill="E9E9E9"/>
          </w:tcPr>
          <w:p>
            <w:pPr>
              <w:pStyle w:val="TableParagraph"/>
              <w:spacing w:before="62"/>
              <w:ind w:right="72"/>
              <w:rPr>
                <w:rFonts w:ascii="Calibri"/>
                <w:sz w:val="16"/>
              </w:rPr>
            </w:pPr>
            <w:r>
              <w:rPr>
                <w:rFonts w:ascii="Calibri"/>
                <w:sz w:val="16"/>
              </w:rPr>
              <w:t>16,359</w:t>
            </w:r>
          </w:p>
        </w:tc>
        <w:tc>
          <w:tcPr>
            <w:tcW w:w="1106" w:type="dxa"/>
            <w:shd w:val="clear" w:color="auto" w:fill="E9E9E9"/>
          </w:tcPr>
          <w:p>
            <w:pPr>
              <w:pStyle w:val="TableParagraph"/>
              <w:spacing w:before="62"/>
              <w:ind w:right="73"/>
              <w:rPr>
                <w:rFonts w:ascii="Calibri"/>
                <w:sz w:val="16"/>
              </w:rPr>
            </w:pPr>
            <w:r>
              <w:rPr>
                <w:rFonts w:ascii="Calibri"/>
                <w:w w:val="90"/>
                <w:sz w:val="16"/>
              </w:rPr>
              <w:t>17,213</w:t>
            </w:r>
          </w:p>
        </w:tc>
        <w:tc>
          <w:tcPr>
            <w:tcW w:w="1106" w:type="dxa"/>
            <w:shd w:val="clear" w:color="auto" w:fill="E9E9E9"/>
          </w:tcPr>
          <w:p>
            <w:pPr>
              <w:pStyle w:val="TableParagraph"/>
              <w:spacing w:before="62"/>
              <w:ind w:right="73"/>
              <w:rPr>
                <w:rFonts w:ascii="Calibri"/>
                <w:sz w:val="16"/>
              </w:rPr>
            </w:pPr>
            <w:r>
              <w:rPr>
                <w:rFonts w:ascii="Calibri"/>
                <w:w w:val="105"/>
                <w:sz w:val="16"/>
              </w:rPr>
              <w:t>18,086</w:t>
            </w:r>
          </w:p>
        </w:tc>
        <w:tc>
          <w:tcPr>
            <w:tcW w:w="1106" w:type="dxa"/>
            <w:shd w:val="clear" w:color="auto" w:fill="E9E9E9"/>
          </w:tcPr>
          <w:p>
            <w:pPr>
              <w:pStyle w:val="TableParagraph"/>
              <w:spacing w:before="62"/>
              <w:ind w:right="73"/>
              <w:rPr>
                <w:rFonts w:ascii="Calibri"/>
                <w:sz w:val="16"/>
              </w:rPr>
            </w:pPr>
            <w:r>
              <w:rPr>
                <w:rFonts w:ascii="Calibri"/>
                <w:sz w:val="16"/>
              </w:rPr>
              <w:t>17,396</w:t>
            </w:r>
          </w:p>
        </w:tc>
      </w:tr>
    </w:tbl>
    <w:p>
      <w:pPr>
        <w:pStyle w:val="BodyText"/>
        <w:spacing w:before="79"/>
        <w:ind w:left="331" w:right="503"/>
      </w:pPr>
      <w:r>
        <w:rPr/>
        <w:t>(Source: Enrolment submissions to the Department of Education and Training)</w:t>
      </w:r>
    </w:p>
    <w:p>
      <w:pPr>
        <w:pStyle w:val="BodyText"/>
      </w:pPr>
    </w:p>
    <w:p>
      <w:pPr>
        <w:pStyle w:val="Heading7"/>
        <w:spacing w:before="134"/>
        <w:ind w:left="326" w:right="5978"/>
      </w:pPr>
      <w:r>
        <w:rPr>
          <w:color w:val="615C58"/>
        </w:rPr>
        <w:t>Table 3: Student Headcount by Gender, 2012 – 2016 (p)</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458"/>
        <w:gridCol w:w="1106"/>
        <w:gridCol w:w="1106"/>
        <w:gridCol w:w="1106"/>
        <w:gridCol w:w="1106"/>
        <w:gridCol w:w="1106"/>
      </w:tblGrid>
      <w:tr>
        <w:trPr>
          <w:trHeight w:val="312" w:hRule="exact"/>
        </w:trPr>
        <w:tc>
          <w:tcPr>
            <w:tcW w:w="8986" w:type="dxa"/>
            <w:gridSpan w:val="6"/>
            <w:tcBorders>
              <w:top w:val="nil"/>
              <w:left w:val="nil"/>
              <w:bottom w:val="nil"/>
              <w:right w:val="nil"/>
            </w:tcBorders>
            <w:shd w:val="clear" w:color="auto" w:fill="949290"/>
          </w:tcPr>
          <w:p>
            <w:pPr>
              <w:pStyle w:val="TableParagraph"/>
              <w:tabs>
                <w:tab w:pos="4142" w:val="left" w:leader="none"/>
                <w:tab w:pos="5248" w:val="left" w:leader="none"/>
                <w:tab w:pos="6343" w:val="left" w:leader="none"/>
                <w:tab w:pos="7457" w:val="left" w:leader="none"/>
                <w:tab w:pos="8300" w:val="left" w:leader="none"/>
              </w:tabs>
              <w:spacing w:before="66"/>
              <w:ind w:left="80"/>
              <w:jc w:val="left"/>
              <w:rPr>
                <w:rFonts w:ascii="Gotham Narrow Bold"/>
                <w:b/>
                <w:sz w:val="16"/>
              </w:rPr>
            </w:pPr>
            <w:r>
              <w:rPr>
                <w:rFonts w:ascii="Gotham Narrow Bold"/>
                <w:b/>
                <w:color w:val="FFFFFF"/>
                <w:spacing w:val="3"/>
                <w:sz w:val="16"/>
              </w:rPr>
              <w:t>GENDER</w:t>
              <w:tab/>
            </w:r>
            <w:r>
              <w:rPr>
                <w:rFonts w:ascii="Gotham Narrow Bold"/>
                <w:b/>
                <w:color w:val="FFFFFF"/>
                <w:sz w:val="16"/>
              </w:rPr>
              <w:t>2012</w:t>
              <w:tab/>
              <w:t>2013</w:t>
              <w:tab/>
              <w:t>2014</w:t>
              <w:tab/>
              <w:t>2015</w:t>
              <w:tab/>
              <w:t>2016</w:t>
            </w:r>
            <w:r>
              <w:rPr>
                <w:rFonts w:ascii="Gotham Narrow Bold"/>
                <w:b/>
                <w:color w:val="FFFFFF"/>
                <w:spacing w:val="-28"/>
                <w:sz w:val="16"/>
              </w:rPr>
              <w:t> </w:t>
            </w:r>
            <w:r>
              <w:rPr>
                <w:rFonts w:ascii="Gotham Narrow Bold"/>
                <w:b/>
                <w:color w:val="FFFFFF"/>
                <w:spacing w:val="-4"/>
                <w:sz w:val="16"/>
              </w:rPr>
              <w:t>(p)</w:t>
            </w:r>
          </w:p>
        </w:tc>
      </w:tr>
      <w:tr>
        <w:trPr>
          <w:trHeight w:val="312" w:hRule="exact"/>
        </w:trPr>
        <w:tc>
          <w:tcPr>
            <w:tcW w:w="3458" w:type="dxa"/>
            <w:tcBorders>
              <w:top w:val="nil"/>
            </w:tcBorders>
            <w:shd w:val="clear" w:color="auto" w:fill="E9E9E9"/>
          </w:tcPr>
          <w:p>
            <w:pPr>
              <w:pStyle w:val="TableParagraph"/>
              <w:spacing w:before="60"/>
              <w:ind w:left="74"/>
              <w:jc w:val="left"/>
              <w:rPr>
                <w:sz w:val="16"/>
              </w:rPr>
            </w:pPr>
            <w:r>
              <w:rPr>
                <w:sz w:val="16"/>
              </w:rPr>
              <w:t>Females</w:t>
            </w:r>
          </w:p>
        </w:tc>
        <w:tc>
          <w:tcPr>
            <w:tcW w:w="1106" w:type="dxa"/>
            <w:tcBorders>
              <w:top w:val="nil"/>
            </w:tcBorders>
            <w:shd w:val="clear" w:color="auto" w:fill="E9E9E9"/>
          </w:tcPr>
          <w:p>
            <w:pPr>
              <w:pStyle w:val="TableParagraph"/>
              <w:spacing w:before="60"/>
              <w:ind w:right="69"/>
              <w:rPr>
                <w:sz w:val="16"/>
              </w:rPr>
            </w:pPr>
            <w:r>
              <w:rPr>
                <w:w w:val="90"/>
                <w:sz w:val="16"/>
              </w:rPr>
              <w:t>22,372</w:t>
            </w:r>
          </w:p>
        </w:tc>
        <w:tc>
          <w:tcPr>
            <w:tcW w:w="1106" w:type="dxa"/>
            <w:tcBorders>
              <w:top w:val="nil"/>
            </w:tcBorders>
            <w:shd w:val="clear" w:color="auto" w:fill="E9E9E9"/>
          </w:tcPr>
          <w:p>
            <w:pPr>
              <w:pStyle w:val="TableParagraph"/>
              <w:spacing w:before="60"/>
              <w:ind w:right="73"/>
              <w:rPr>
                <w:sz w:val="16"/>
              </w:rPr>
            </w:pPr>
            <w:r>
              <w:rPr>
                <w:w w:val="85"/>
                <w:sz w:val="16"/>
              </w:rPr>
              <w:t>23,146</w:t>
            </w:r>
          </w:p>
        </w:tc>
        <w:tc>
          <w:tcPr>
            <w:tcW w:w="1106" w:type="dxa"/>
            <w:tcBorders>
              <w:top w:val="nil"/>
            </w:tcBorders>
            <w:shd w:val="clear" w:color="auto" w:fill="E9E9E9"/>
          </w:tcPr>
          <w:p>
            <w:pPr>
              <w:pStyle w:val="TableParagraph"/>
              <w:spacing w:before="60"/>
              <w:ind w:right="73"/>
              <w:rPr>
                <w:sz w:val="16"/>
              </w:rPr>
            </w:pPr>
            <w:r>
              <w:rPr>
                <w:spacing w:val="-3"/>
                <w:w w:val="93"/>
                <w:sz w:val="16"/>
              </w:rPr>
              <w:t>2</w:t>
            </w:r>
            <w:r>
              <w:rPr>
                <w:spacing w:val="4"/>
                <w:w w:val="103"/>
                <w:sz w:val="16"/>
              </w:rPr>
              <w:t>4</w:t>
            </w:r>
            <w:r>
              <w:rPr>
                <w:w w:val="68"/>
                <w:sz w:val="16"/>
              </w:rPr>
              <w:t>,</w:t>
            </w:r>
            <w:r>
              <w:rPr>
                <w:spacing w:val="2"/>
                <w:w w:val="54"/>
                <w:sz w:val="16"/>
              </w:rPr>
              <w:t>1</w:t>
            </w:r>
            <w:r>
              <w:rPr>
                <w:spacing w:val="3"/>
                <w:w w:val="95"/>
                <w:sz w:val="16"/>
              </w:rPr>
              <w:t>5</w:t>
            </w:r>
            <w:r>
              <w:rPr>
                <w:w w:val="111"/>
                <w:sz w:val="16"/>
              </w:rPr>
              <w:t>0</w:t>
            </w:r>
          </w:p>
        </w:tc>
        <w:tc>
          <w:tcPr>
            <w:tcW w:w="1106" w:type="dxa"/>
            <w:tcBorders>
              <w:top w:val="nil"/>
            </w:tcBorders>
            <w:shd w:val="clear" w:color="auto" w:fill="E9E9E9"/>
          </w:tcPr>
          <w:p>
            <w:pPr>
              <w:pStyle w:val="TableParagraph"/>
              <w:spacing w:before="60"/>
              <w:ind w:right="73"/>
              <w:rPr>
                <w:sz w:val="16"/>
              </w:rPr>
            </w:pPr>
            <w:r>
              <w:rPr>
                <w:spacing w:val="-3"/>
                <w:w w:val="93"/>
                <w:sz w:val="16"/>
              </w:rPr>
              <w:t>2</w:t>
            </w:r>
            <w:r>
              <w:rPr>
                <w:spacing w:val="4"/>
                <w:w w:val="103"/>
                <w:sz w:val="16"/>
              </w:rPr>
              <w:t>4</w:t>
            </w:r>
            <w:r>
              <w:rPr>
                <w:spacing w:val="3"/>
                <w:w w:val="68"/>
                <w:sz w:val="16"/>
              </w:rPr>
              <w:t>,</w:t>
            </w:r>
            <w:r>
              <w:rPr>
                <w:spacing w:val="3"/>
                <w:w w:val="101"/>
                <w:sz w:val="16"/>
              </w:rPr>
              <w:t>6</w:t>
            </w:r>
            <w:r>
              <w:rPr>
                <w:spacing w:val="1"/>
                <w:w w:val="111"/>
                <w:sz w:val="16"/>
              </w:rPr>
              <w:t>0</w:t>
            </w:r>
            <w:r>
              <w:rPr>
                <w:w w:val="54"/>
                <w:sz w:val="16"/>
              </w:rPr>
              <w:t>1</w:t>
            </w:r>
          </w:p>
        </w:tc>
        <w:tc>
          <w:tcPr>
            <w:tcW w:w="1106" w:type="dxa"/>
            <w:tcBorders>
              <w:top w:val="nil"/>
            </w:tcBorders>
            <w:shd w:val="clear" w:color="auto" w:fill="E9E9E9"/>
          </w:tcPr>
          <w:p>
            <w:pPr>
              <w:pStyle w:val="TableParagraph"/>
              <w:spacing w:before="60"/>
              <w:ind w:right="73"/>
              <w:rPr>
                <w:sz w:val="16"/>
              </w:rPr>
            </w:pPr>
            <w:r>
              <w:rPr>
                <w:w w:val="95"/>
                <w:sz w:val="16"/>
              </w:rPr>
              <w:t>24,525</w:t>
            </w:r>
          </w:p>
        </w:tc>
      </w:tr>
      <w:tr>
        <w:trPr>
          <w:trHeight w:val="312" w:hRule="exact"/>
        </w:trPr>
        <w:tc>
          <w:tcPr>
            <w:tcW w:w="3458" w:type="dxa"/>
            <w:shd w:val="clear" w:color="auto" w:fill="E9E9E9"/>
          </w:tcPr>
          <w:p>
            <w:pPr>
              <w:pStyle w:val="TableParagraph"/>
              <w:ind w:left="74"/>
              <w:jc w:val="left"/>
              <w:rPr>
                <w:sz w:val="16"/>
              </w:rPr>
            </w:pPr>
            <w:r>
              <w:rPr>
                <w:sz w:val="16"/>
              </w:rPr>
              <w:t>Males</w:t>
            </w:r>
          </w:p>
        </w:tc>
        <w:tc>
          <w:tcPr>
            <w:tcW w:w="1106" w:type="dxa"/>
            <w:shd w:val="clear" w:color="auto" w:fill="E9E9E9"/>
          </w:tcPr>
          <w:p>
            <w:pPr>
              <w:pStyle w:val="TableParagraph"/>
              <w:ind w:right="73"/>
              <w:rPr>
                <w:sz w:val="16"/>
              </w:rPr>
            </w:pPr>
            <w:r>
              <w:rPr>
                <w:w w:val="85"/>
                <w:sz w:val="16"/>
              </w:rPr>
              <w:t>17,885</w:t>
            </w:r>
          </w:p>
        </w:tc>
        <w:tc>
          <w:tcPr>
            <w:tcW w:w="1106" w:type="dxa"/>
            <w:shd w:val="clear" w:color="auto" w:fill="E9E9E9"/>
          </w:tcPr>
          <w:p>
            <w:pPr>
              <w:pStyle w:val="TableParagraph"/>
              <w:ind w:right="67"/>
              <w:rPr>
                <w:sz w:val="16"/>
              </w:rPr>
            </w:pPr>
            <w:r>
              <w:rPr>
                <w:w w:val="85"/>
                <w:sz w:val="16"/>
              </w:rPr>
              <w:t>18,854</w:t>
            </w:r>
          </w:p>
        </w:tc>
        <w:tc>
          <w:tcPr>
            <w:tcW w:w="1106" w:type="dxa"/>
            <w:shd w:val="clear" w:color="auto" w:fill="E9E9E9"/>
          </w:tcPr>
          <w:p>
            <w:pPr>
              <w:pStyle w:val="TableParagraph"/>
              <w:ind w:right="73"/>
              <w:rPr>
                <w:sz w:val="16"/>
              </w:rPr>
            </w:pPr>
            <w:r>
              <w:rPr>
                <w:w w:val="85"/>
                <w:sz w:val="16"/>
              </w:rPr>
              <w:t>19,766</w:t>
            </w:r>
          </w:p>
        </w:tc>
        <w:tc>
          <w:tcPr>
            <w:tcW w:w="1106" w:type="dxa"/>
            <w:shd w:val="clear" w:color="auto" w:fill="E9E9E9"/>
          </w:tcPr>
          <w:p>
            <w:pPr>
              <w:pStyle w:val="TableParagraph"/>
              <w:ind w:right="73"/>
              <w:rPr>
                <w:sz w:val="16"/>
              </w:rPr>
            </w:pPr>
            <w:r>
              <w:rPr>
                <w:w w:val="85"/>
                <w:sz w:val="16"/>
              </w:rPr>
              <w:t>20,315</w:t>
            </w:r>
          </w:p>
        </w:tc>
        <w:tc>
          <w:tcPr>
            <w:tcW w:w="1106" w:type="dxa"/>
            <w:shd w:val="clear" w:color="auto" w:fill="E9E9E9"/>
          </w:tcPr>
          <w:p>
            <w:pPr>
              <w:pStyle w:val="TableParagraph"/>
              <w:ind w:right="73"/>
              <w:rPr>
                <w:sz w:val="16"/>
              </w:rPr>
            </w:pPr>
            <w:r>
              <w:rPr>
                <w:w w:val="80"/>
                <w:sz w:val="16"/>
              </w:rPr>
              <w:t>19,921</w:t>
            </w:r>
          </w:p>
        </w:tc>
      </w:tr>
      <w:tr>
        <w:trPr>
          <w:trHeight w:val="312" w:hRule="exact"/>
        </w:trPr>
        <w:tc>
          <w:tcPr>
            <w:tcW w:w="3458" w:type="dxa"/>
            <w:shd w:val="clear" w:color="auto" w:fill="E9E9E9"/>
          </w:tcPr>
          <w:p>
            <w:pPr>
              <w:pStyle w:val="TableParagraph"/>
              <w:spacing w:before="62"/>
              <w:ind w:left="75"/>
              <w:jc w:val="left"/>
              <w:rPr>
                <w:rFonts w:ascii="Calibri"/>
                <w:sz w:val="16"/>
              </w:rPr>
            </w:pPr>
            <w:r>
              <w:rPr>
                <w:rFonts w:ascii="Calibri"/>
                <w:w w:val="105"/>
                <w:sz w:val="16"/>
              </w:rPr>
              <w:t>Total*</w:t>
            </w:r>
          </w:p>
        </w:tc>
        <w:tc>
          <w:tcPr>
            <w:tcW w:w="1106" w:type="dxa"/>
            <w:shd w:val="clear" w:color="auto" w:fill="E9E9E9"/>
          </w:tcPr>
          <w:p>
            <w:pPr>
              <w:pStyle w:val="TableParagraph"/>
              <w:spacing w:before="62"/>
              <w:ind w:right="72"/>
              <w:rPr>
                <w:rFonts w:ascii="Calibri"/>
                <w:sz w:val="16"/>
              </w:rPr>
            </w:pPr>
            <w:r>
              <w:rPr>
                <w:rFonts w:ascii="Calibri"/>
                <w:w w:val="110"/>
                <w:sz w:val="16"/>
              </w:rPr>
              <w:t>40,257</w:t>
            </w:r>
          </w:p>
        </w:tc>
        <w:tc>
          <w:tcPr>
            <w:tcW w:w="1106" w:type="dxa"/>
            <w:shd w:val="clear" w:color="auto" w:fill="E9E9E9"/>
          </w:tcPr>
          <w:p>
            <w:pPr>
              <w:pStyle w:val="TableParagraph"/>
              <w:spacing w:before="62"/>
              <w:ind w:right="69"/>
              <w:rPr>
                <w:rFonts w:ascii="Calibri"/>
                <w:sz w:val="16"/>
              </w:rPr>
            </w:pPr>
            <w:r>
              <w:rPr>
                <w:rFonts w:ascii="Calibri"/>
                <w:w w:val="115"/>
                <w:sz w:val="16"/>
              </w:rPr>
              <w:t>42,000</w:t>
            </w:r>
          </w:p>
        </w:tc>
        <w:tc>
          <w:tcPr>
            <w:tcW w:w="1106" w:type="dxa"/>
            <w:shd w:val="clear" w:color="auto" w:fill="E9E9E9"/>
          </w:tcPr>
          <w:p>
            <w:pPr>
              <w:pStyle w:val="TableParagraph"/>
              <w:spacing w:before="62"/>
              <w:ind w:right="73"/>
              <w:rPr>
                <w:rFonts w:ascii="Calibri"/>
                <w:sz w:val="16"/>
              </w:rPr>
            </w:pPr>
            <w:r>
              <w:rPr>
                <w:rFonts w:ascii="Calibri"/>
                <w:w w:val="105"/>
                <w:sz w:val="16"/>
              </w:rPr>
              <w:t>43,916</w:t>
            </w:r>
          </w:p>
        </w:tc>
        <w:tc>
          <w:tcPr>
            <w:tcW w:w="1106" w:type="dxa"/>
            <w:shd w:val="clear" w:color="auto" w:fill="E9E9E9"/>
          </w:tcPr>
          <w:p>
            <w:pPr>
              <w:pStyle w:val="TableParagraph"/>
              <w:spacing w:before="62"/>
              <w:ind w:right="73"/>
              <w:rPr>
                <w:rFonts w:ascii="Calibri"/>
                <w:sz w:val="16"/>
              </w:rPr>
            </w:pPr>
            <w:r>
              <w:rPr>
                <w:rFonts w:ascii="Calibri"/>
                <w:w w:val="105"/>
                <w:sz w:val="16"/>
              </w:rPr>
              <w:t>44,919</w:t>
            </w:r>
          </w:p>
        </w:tc>
        <w:tc>
          <w:tcPr>
            <w:tcW w:w="1106" w:type="dxa"/>
            <w:shd w:val="clear" w:color="auto" w:fill="E9E9E9"/>
          </w:tcPr>
          <w:p>
            <w:pPr>
              <w:pStyle w:val="TableParagraph"/>
              <w:spacing w:before="62"/>
              <w:ind w:right="73"/>
              <w:rPr>
                <w:rFonts w:ascii="Calibri"/>
                <w:sz w:val="16"/>
              </w:rPr>
            </w:pPr>
            <w:r>
              <w:rPr>
                <w:rFonts w:ascii="Calibri"/>
                <w:w w:val="105"/>
                <w:sz w:val="16"/>
              </w:rPr>
              <w:t>44,451</w:t>
            </w:r>
          </w:p>
        </w:tc>
      </w:tr>
    </w:tbl>
    <w:p>
      <w:pPr>
        <w:pStyle w:val="BodyText"/>
        <w:spacing w:before="51"/>
        <w:ind w:left="332" w:right="7611"/>
      </w:pPr>
      <w:r>
        <w:rPr/>
        <w:t>*Includes gender not specified</w:t>
      </w:r>
    </w:p>
    <w:p>
      <w:pPr>
        <w:pStyle w:val="BodyText"/>
        <w:spacing w:before="7"/>
        <w:ind w:left="332" w:right="503"/>
      </w:pPr>
      <w:r>
        <w:rPr/>
        <w:t>(Source: Enrolment submissions to the Department of Education and Training)</w:t>
      </w:r>
    </w:p>
    <w:p>
      <w:pPr>
        <w:pStyle w:val="BodyText"/>
        <w:spacing w:before="2"/>
        <w:rPr>
          <w:sz w:val="20"/>
        </w:rPr>
      </w:pPr>
    </w:p>
    <w:p>
      <w:pPr>
        <w:pStyle w:val="Heading7"/>
        <w:ind w:left="327" w:right="503"/>
      </w:pPr>
      <w:r>
        <w:rPr>
          <w:color w:val="615C58"/>
        </w:rPr>
        <w:t>Table 4: Student Headcount by Course Level, 2014 – 2016 (p)</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458"/>
        <w:gridCol w:w="1106"/>
        <w:gridCol w:w="1106"/>
        <w:gridCol w:w="1106"/>
        <w:gridCol w:w="1106"/>
        <w:gridCol w:w="1106"/>
        <w:gridCol w:w="1106"/>
      </w:tblGrid>
      <w:tr>
        <w:trPr>
          <w:trHeight w:val="312" w:hRule="exact"/>
        </w:trPr>
        <w:tc>
          <w:tcPr>
            <w:tcW w:w="3458" w:type="dxa"/>
            <w:tcBorders>
              <w:top w:val="nil"/>
              <w:left w:val="nil"/>
              <w:bottom w:val="nil"/>
              <w:right w:val="nil"/>
            </w:tcBorders>
            <w:shd w:val="clear" w:color="auto" w:fill="949290"/>
          </w:tcPr>
          <w:p>
            <w:pPr>
              <w:pStyle w:val="TableParagraph"/>
              <w:spacing w:before="66"/>
              <w:ind w:left="80"/>
              <w:jc w:val="left"/>
              <w:rPr>
                <w:rFonts w:ascii="Gotham Narrow Bold"/>
                <w:b/>
                <w:sz w:val="16"/>
              </w:rPr>
            </w:pPr>
            <w:r>
              <w:rPr>
                <w:rFonts w:ascii="Gotham Narrow Bold"/>
                <w:b/>
                <w:color w:val="FFFFFF"/>
                <w:w w:val="95"/>
                <w:sz w:val="16"/>
              </w:rPr>
              <w:t>COURSE LEVEL</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674"/>
              <w:jc w:val="left"/>
              <w:rPr>
                <w:rFonts w:ascii="Gotham Narrow Bold"/>
                <w:b/>
                <w:sz w:val="16"/>
              </w:rPr>
            </w:pPr>
            <w:r>
              <w:rPr>
                <w:rFonts w:ascii="Gotham Narrow Bold"/>
                <w:b/>
                <w:color w:val="FFFFFF"/>
                <w:sz w:val="16"/>
              </w:rPr>
              <w:t>2014</w:t>
              <w:tab/>
              <w:t>%</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682"/>
              <w:jc w:val="left"/>
              <w:rPr>
                <w:rFonts w:ascii="Gotham Narrow Bold"/>
                <w:b/>
                <w:sz w:val="16"/>
              </w:rPr>
            </w:pPr>
            <w:r>
              <w:rPr>
                <w:rFonts w:ascii="Gotham Narrow Bold"/>
                <w:b/>
                <w:color w:val="FFFFFF"/>
                <w:sz w:val="16"/>
              </w:rPr>
              <w:t>2015</w:t>
              <w:tab/>
              <w:t>%</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675"/>
              <w:jc w:val="left"/>
              <w:rPr>
                <w:rFonts w:ascii="Gotham Narrow Bold"/>
                <w:b/>
                <w:sz w:val="16"/>
              </w:rPr>
            </w:pPr>
            <w:r>
              <w:rPr>
                <w:rFonts w:ascii="Gotham Narrow Bold"/>
                <w:b/>
                <w:color w:val="FFFFFF"/>
                <w:sz w:val="16"/>
              </w:rPr>
              <w:t>2016</w:t>
              <w:tab/>
              <w:t>%</w:t>
            </w:r>
          </w:p>
        </w:tc>
      </w:tr>
      <w:tr>
        <w:trPr>
          <w:trHeight w:val="312" w:hRule="exact"/>
        </w:trPr>
        <w:tc>
          <w:tcPr>
            <w:tcW w:w="3458" w:type="dxa"/>
            <w:tcBorders>
              <w:top w:val="nil"/>
            </w:tcBorders>
            <w:shd w:val="clear" w:color="auto" w:fill="E9E9E9"/>
          </w:tcPr>
          <w:p>
            <w:pPr>
              <w:pStyle w:val="TableParagraph"/>
              <w:spacing w:before="60"/>
              <w:ind w:left="75"/>
              <w:jc w:val="left"/>
              <w:rPr>
                <w:sz w:val="16"/>
              </w:rPr>
            </w:pPr>
            <w:r>
              <w:rPr>
                <w:sz w:val="16"/>
              </w:rPr>
              <w:t>Undergraduate</w:t>
            </w:r>
          </w:p>
        </w:tc>
        <w:tc>
          <w:tcPr>
            <w:tcW w:w="1106" w:type="dxa"/>
            <w:tcBorders>
              <w:top w:val="nil"/>
            </w:tcBorders>
            <w:shd w:val="clear" w:color="auto" w:fill="E9E9E9"/>
          </w:tcPr>
          <w:p>
            <w:pPr>
              <w:pStyle w:val="TableParagraph"/>
              <w:spacing w:before="60"/>
              <w:ind w:right="73"/>
              <w:rPr>
                <w:sz w:val="16"/>
              </w:rPr>
            </w:pPr>
            <w:r>
              <w:rPr>
                <w:w w:val="80"/>
                <w:sz w:val="16"/>
              </w:rPr>
              <w:t>35,351</w:t>
            </w:r>
          </w:p>
        </w:tc>
        <w:tc>
          <w:tcPr>
            <w:tcW w:w="1106" w:type="dxa"/>
            <w:tcBorders>
              <w:top w:val="nil"/>
            </w:tcBorders>
            <w:shd w:val="clear" w:color="auto" w:fill="E9E9E9"/>
          </w:tcPr>
          <w:p>
            <w:pPr>
              <w:pStyle w:val="TableParagraph"/>
              <w:spacing w:before="60"/>
              <w:ind w:right="72"/>
              <w:rPr>
                <w:sz w:val="16"/>
              </w:rPr>
            </w:pPr>
            <w:r>
              <w:rPr>
                <w:w w:val="85"/>
                <w:sz w:val="16"/>
              </w:rPr>
              <w:t>80.5%</w:t>
            </w:r>
          </w:p>
        </w:tc>
        <w:tc>
          <w:tcPr>
            <w:tcW w:w="1106" w:type="dxa"/>
            <w:tcBorders>
              <w:top w:val="nil"/>
            </w:tcBorders>
            <w:shd w:val="clear" w:color="auto" w:fill="E9E9E9"/>
          </w:tcPr>
          <w:p>
            <w:pPr>
              <w:pStyle w:val="TableParagraph"/>
              <w:spacing w:before="60"/>
              <w:ind w:right="73"/>
              <w:rPr>
                <w:sz w:val="16"/>
              </w:rPr>
            </w:pPr>
            <w:r>
              <w:rPr>
                <w:w w:val="95"/>
                <w:sz w:val="16"/>
              </w:rPr>
              <w:t>37,034</w:t>
            </w:r>
          </w:p>
        </w:tc>
        <w:tc>
          <w:tcPr>
            <w:tcW w:w="1106" w:type="dxa"/>
            <w:tcBorders>
              <w:top w:val="nil"/>
            </w:tcBorders>
            <w:shd w:val="clear" w:color="auto" w:fill="E9E9E9"/>
          </w:tcPr>
          <w:p>
            <w:pPr>
              <w:pStyle w:val="TableParagraph"/>
              <w:spacing w:before="60"/>
              <w:ind w:right="73"/>
              <w:rPr>
                <w:sz w:val="16"/>
              </w:rPr>
            </w:pPr>
            <w:r>
              <w:rPr>
                <w:w w:val="85"/>
                <w:sz w:val="16"/>
              </w:rPr>
              <w:t>82.4%</w:t>
            </w:r>
          </w:p>
        </w:tc>
        <w:tc>
          <w:tcPr>
            <w:tcW w:w="1106" w:type="dxa"/>
            <w:tcBorders>
              <w:top w:val="nil"/>
            </w:tcBorders>
            <w:shd w:val="clear" w:color="auto" w:fill="E9E9E9"/>
          </w:tcPr>
          <w:p>
            <w:pPr>
              <w:pStyle w:val="TableParagraph"/>
              <w:spacing w:before="60"/>
              <w:ind w:right="73"/>
              <w:rPr>
                <w:sz w:val="16"/>
              </w:rPr>
            </w:pPr>
            <w:r>
              <w:rPr>
                <w:w w:val="95"/>
                <w:sz w:val="16"/>
              </w:rPr>
              <w:t>36,746</w:t>
            </w:r>
          </w:p>
        </w:tc>
        <w:tc>
          <w:tcPr>
            <w:tcW w:w="1106" w:type="dxa"/>
            <w:tcBorders>
              <w:top w:val="nil"/>
            </w:tcBorders>
            <w:shd w:val="clear" w:color="auto" w:fill="E9E9E9"/>
          </w:tcPr>
          <w:p>
            <w:pPr>
              <w:pStyle w:val="TableParagraph"/>
              <w:spacing w:before="60"/>
              <w:ind w:right="73"/>
              <w:rPr>
                <w:sz w:val="16"/>
              </w:rPr>
            </w:pPr>
            <w:r>
              <w:rPr>
                <w:w w:val="85"/>
                <w:sz w:val="16"/>
              </w:rPr>
              <w:t>82.7%</w:t>
            </w:r>
          </w:p>
        </w:tc>
      </w:tr>
      <w:tr>
        <w:trPr>
          <w:trHeight w:val="312" w:hRule="exact"/>
        </w:trPr>
        <w:tc>
          <w:tcPr>
            <w:tcW w:w="3458" w:type="dxa"/>
            <w:shd w:val="clear" w:color="auto" w:fill="E9E9E9"/>
          </w:tcPr>
          <w:p>
            <w:pPr>
              <w:pStyle w:val="TableParagraph"/>
              <w:ind w:left="74"/>
              <w:jc w:val="left"/>
              <w:rPr>
                <w:sz w:val="16"/>
              </w:rPr>
            </w:pPr>
            <w:r>
              <w:rPr>
                <w:sz w:val="16"/>
              </w:rPr>
              <w:t>Higher Degree by Coursework</w:t>
            </w:r>
          </w:p>
        </w:tc>
        <w:tc>
          <w:tcPr>
            <w:tcW w:w="1106" w:type="dxa"/>
            <w:shd w:val="clear" w:color="auto" w:fill="E9E9E9"/>
          </w:tcPr>
          <w:p>
            <w:pPr>
              <w:pStyle w:val="TableParagraph"/>
              <w:ind w:right="74"/>
              <w:rPr>
                <w:sz w:val="16"/>
              </w:rPr>
            </w:pPr>
            <w:r>
              <w:rPr>
                <w:w w:val="85"/>
                <w:sz w:val="16"/>
              </w:rPr>
              <w:t>6,170</w:t>
            </w:r>
          </w:p>
        </w:tc>
        <w:tc>
          <w:tcPr>
            <w:tcW w:w="1106" w:type="dxa"/>
            <w:shd w:val="clear" w:color="auto" w:fill="E9E9E9"/>
          </w:tcPr>
          <w:p>
            <w:pPr>
              <w:pStyle w:val="TableParagraph"/>
              <w:ind w:right="73"/>
              <w:rPr>
                <w:sz w:val="16"/>
              </w:rPr>
            </w:pPr>
            <w:r>
              <w:rPr>
                <w:w w:val="85"/>
                <w:sz w:val="16"/>
              </w:rPr>
              <w:t>14.0%</w:t>
            </w:r>
          </w:p>
        </w:tc>
        <w:tc>
          <w:tcPr>
            <w:tcW w:w="1106" w:type="dxa"/>
            <w:shd w:val="clear" w:color="auto" w:fill="E9E9E9"/>
          </w:tcPr>
          <w:p>
            <w:pPr>
              <w:pStyle w:val="TableParagraph"/>
              <w:ind w:right="69"/>
              <w:rPr>
                <w:sz w:val="16"/>
              </w:rPr>
            </w:pPr>
            <w:r>
              <w:rPr>
                <w:w w:val="90"/>
                <w:sz w:val="16"/>
              </w:rPr>
              <w:t>5,625</w:t>
            </w:r>
          </w:p>
        </w:tc>
        <w:tc>
          <w:tcPr>
            <w:tcW w:w="1106" w:type="dxa"/>
            <w:shd w:val="clear" w:color="auto" w:fill="E9E9E9"/>
          </w:tcPr>
          <w:p>
            <w:pPr>
              <w:pStyle w:val="TableParagraph"/>
              <w:ind w:right="72"/>
              <w:rPr>
                <w:sz w:val="16"/>
              </w:rPr>
            </w:pPr>
            <w:r>
              <w:rPr>
                <w:w w:val="75"/>
                <w:sz w:val="16"/>
              </w:rPr>
              <w:t>12.5%</w:t>
            </w:r>
          </w:p>
        </w:tc>
        <w:tc>
          <w:tcPr>
            <w:tcW w:w="1106" w:type="dxa"/>
            <w:shd w:val="clear" w:color="auto" w:fill="E9E9E9"/>
          </w:tcPr>
          <w:p>
            <w:pPr>
              <w:pStyle w:val="TableParagraph"/>
              <w:ind w:right="72"/>
              <w:rPr>
                <w:sz w:val="16"/>
              </w:rPr>
            </w:pPr>
            <w:r>
              <w:rPr>
                <w:sz w:val="16"/>
              </w:rPr>
              <w:t>5,600</w:t>
            </w:r>
          </w:p>
        </w:tc>
        <w:tc>
          <w:tcPr>
            <w:tcW w:w="1106" w:type="dxa"/>
            <w:shd w:val="clear" w:color="auto" w:fill="E9E9E9"/>
          </w:tcPr>
          <w:p>
            <w:pPr>
              <w:pStyle w:val="TableParagraph"/>
              <w:ind w:right="72"/>
              <w:rPr>
                <w:sz w:val="16"/>
              </w:rPr>
            </w:pPr>
            <w:r>
              <w:rPr>
                <w:w w:val="80"/>
                <w:sz w:val="16"/>
              </w:rPr>
              <w:t>12.6%</w:t>
            </w:r>
          </w:p>
        </w:tc>
      </w:tr>
      <w:tr>
        <w:trPr>
          <w:trHeight w:val="312" w:hRule="exact"/>
        </w:trPr>
        <w:tc>
          <w:tcPr>
            <w:tcW w:w="3458" w:type="dxa"/>
            <w:shd w:val="clear" w:color="auto" w:fill="E9E9E9"/>
          </w:tcPr>
          <w:p>
            <w:pPr>
              <w:pStyle w:val="TableParagraph"/>
              <w:ind w:left="75"/>
              <w:jc w:val="left"/>
              <w:rPr>
                <w:sz w:val="16"/>
              </w:rPr>
            </w:pPr>
            <w:r>
              <w:rPr>
                <w:sz w:val="16"/>
              </w:rPr>
              <w:t>Higher Degree by Research</w:t>
            </w:r>
          </w:p>
        </w:tc>
        <w:tc>
          <w:tcPr>
            <w:tcW w:w="1106" w:type="dxa"/>
            <w:shd w:val="clear" w:color="auto" w:fill="E9E9E9"/>
          </w:tcPr>
          <w:p>
            <w:pPr>
              <w:pStyle w:val="TableParagraph"/>
              <w:ind w:right="73"/>
              <w:rPr>
                <w:sz w:val="16"/>
              </w:rPr>
            </w:pPr>
            <w:r>
              <w:rPr>
                <w:w w:val="95"/>
                <w:sz w:val="16"/>
              </w:rPr>
              <w:t>955</w:t>
            </w:r>
          </w:p>
        </w:tc>
        <w:tc>
          <w:tcPr>
            <w:tcW w:w="1106" w:type="dxa"/>
            <w:shd w:val="clear" w:color="auto" w:fill="E9E9E9"/>
          </w:tcPr>
          <w:p>
            <w:pPr>
              <w:pStyle w:val="TableParagraph"/>
              <w:ind w:right="73"/>
              <w:rPr>
                <w:sz w:val="16"/>
              </w:rPr>
            </w:pPr>
            <w:r>
              <w:rPr>
                <w:w w:val="80"/>
                <w:sz w:val="16"/>
              </w:rPr>
              <w:t>2.2%</w:t>
            </w:r>
          </w:p>
        </w:tc>
        <w:tc>
          <w:tcPr>
            <w:tcW w:w="1106" w:type="dxa"/>
            <w:shd w:val="clear" w:color="auto" w:fill="E9E9E9"/>
          </w:tcPr>
          <w:p>
            <w:pPr>
              <w:pStyle w:val="TableParagraph"/>
              <w:ind w:right="74"/>
              <w:rPr>
                <w:sz w:val="16"/>
              </w:rPr>
            </w:pPr>
            <w:r>
              <w:rPr>
                <w:w w:val="85"/>
                <w:sz w:val="16"/>
              </w:rPr>
              <w:t>1,076</w:t>
            </w:r>
          </w:p>
        </w:tc>
        <w:tc>
          <w:tcPr>
            <w:tcW w:w="1106" w:type="dxa"/>
            <w:shd w:val="clear" w:color="auto" w:fill="E9E9E9"/>
          </w:tcPr>
          <w:p>
            <w:pPr>
              <w:pStyle w:val="TableParagraph"/>
              <w:ind w:right="73"/>
              <w:rPr>
                <w:sz w:val="16"/>
              </w:rPr>
            </w:pPr>
            <w:r>
              <w:rPr>
                <w:w w:val="85"/>
                <w:sz w:val="16"/>
              </w:rPr>
              <w:t>2.4%</w:t>
            </w:r>
          </w:p>
        </w:tc>
        <w:tc>
          <w:tcPr>
            <w:tcW w:w="1106" w:type="dxa"/>
            <w:shd w:val="clear" w:color="auto" w:fill="E9E9E9"/>
          </w:tcPr>
          <w:p>
            <w:pPr>
              <w:pStyle w:val="TableParagraph"/>
              <w:ind w:right="73"/>
              <w:rPr>
                <w:sz w:val="16"/>
              </w:rPr>
            </w:pPr>
            <w:r>
              <w:rPr>
                <w:w w:val="75"/>
                <w:sz w:val="16"/>
              </w:rPr>
              <w:t>1,188</w:t>
            </w:r>
          </w:p>
        </w:tc>
        <w:tc>
          <w:tcPr>
            <w:tcW w:w="1106" w:type="dxa"/>
            <w:shd w:val="clear" w:color="auto" w:fill="E9E9E9"/>
          </w:tcPr>
          <w:p>
            <w:pPr>
              <w:pStyle w:val="TableParagraph"/>
              <w:ind w:right="73"/>
              <w:rPr>
                <w:sz w:val="16"/>
              </w:rPr>
            </w:pPr>
            <w:r>
              <w:rPr>
                <w:w w:val="80"/>
                <w:sz w:val="16"/>
              </w:rPr>
              <w:t>2.7%</w:t>
            </w:r>
          </w:p>
        </w:tc>
      </w:tr>
      <w:tr>
        <w:trPr>
          <w:trHeight w:val="312" w:hRule="exact"/>
        </w:trPr>
        <w:tc>
          <w:tcPr>
            <w:tcW w:w="3458" w:type="dxa"/>
            <w:shd w:val="clear" w:color="auto" w:fill="E9E9E9"/>
          </w:tcPr>
          <w:p>
            <w:pPr>
              <w:pStyle w:val="TableParagraph"/>
              <w:ind w:left="75"/>
              <w:jc w:val="left"/>
              <w:rPr>
                <w:sz w:val="16"/>
              </w:rPr>
            </w:pPr>
            <w:r>
              <w:rPr>
                <w:sz w:val="16"/>
              </w:rPr>
              <w:t>Other*</w:t>
            </w:r>
          </w:p>
        </w:tc>
        <w:tc>
          <w:tcPr>
            <w:tcW w:w="1106" w:type="dxa"/>
            <w:shd w:val="clear" w:color="auto" w:fill="E9E9E9"/>
          </w:tcPr>
          <w:p>
            <w:pPr>
              <w:pStyle w:val="TableParagraph"/>
              <w:ind w:right="72"/>
              <w:rPr>
                <w:sz w:val="16"/>
              </w:rPr>
            </w:pPr>
            <w:r>
              <w:rPr>
                <w:spacing w:val="4"/>
                <w:w w:val="54"/>
                <w:sz w:val="16"/>
              </w:rPr>
              <w:t>1</w:t>
            </w:r>
            <w:r>
              <w:rPr>
                <w:spacing w:val="2"/>
                <w:w w:val="91"/>
                <w:sz w:val="16"/>
              </w:rPr>
              <w:t>,</w:t>
            </w:r>
            <w:r>
              <w:rPr>
                <w:spacing w:val="6"/>
                <w:w w:val="91"/>
                <w:sz w:val="16"/>
              </w:rPr>
              <w:t>4</w:t>
            </w:r>
            <w:r>
              <w:rPr>
                <w:spacing w:val="4"/>
                <w:w w:val="103"/>
                <w:sz w:val="16"/>
              </w:rPr>
              <w:t>4</w:t>
            </w:r>
            <w:r>
              <w:rPr>
                <w:w w:val="111"/>
                <w:sz w:val="16"/>
              </w:rPr>
              <w:t>0</w:t>
            </w:r>
          </w:p>
        </w:tc>
        <w:tc>
          <w:tcPr>
            <w:tcW w:w="1106" w:type="dxa"/>
            <w:shd w:val="clear" w:color="auto" w:fill="E9E9E9"/>
          </w:tcPr>
          <w:p>
            <w:pPr>
              <w:pStyle w:val="TableParagraph"/>
              <w:ind w:right="71"/>
              <w:rPr>
                <w:sz w:val="16"/>
              </w:rPr>
            </w:pPr>
            <w:r>
              <w:rPr>
                <w:w w:val="80"/>
                <w:sz w:val="16"/>
              </w:rPr>
              <w:t>3.3%</w:t>
            </w:r>
          </w:p>
        </w:tc>
        <w:tc>
          <w:tcPr>
            <w:tcW w:w="1106" w:type="dxa"/>
            <w:shd w:val="clear" w:color="auto" w:fill="E9E9E9"/>
          </w:tcPr>
          <w:p>
            <w:pPr>
              <w:pStyle w:val="TableParagraph"/>
              <w:ind w:right="72"/>
              <w:rPr>
                <w:sz w:val="16"/>
              </w:rPr>
            </w:pPr>
            <w:r>
              <w:rPr>
                <w:w w:val="75"/>
                <w:sz w:val="16"/>
              </w:rPr>
              <w:t>1,184</w:t>
            </w:r>
          </w:p>
        </w:tc>
        <w:tc>
          <w:tcPr>
            <w:tcW w:w="1106" w:type="dxa"/>
            <w:shd w:val="clear" w:color="auto" w:fill="E9E9E9"/>
          </w:tcPr>
          <w:p>
            <w:pPr>
              <w:pStyle w:val="TableParagraph"/>
              <w:ind w:right="72"/>
              <w:rPr>
                <w:sz w:val="16"/>
              </w:rPr>
            </w:pPr>
            <w:r>
              <w:rPr>
                <w:w w:val="85"/>
                <w:sz w:val="16"/>
              </w:rPr>
              <w:t>2.6%</w:t>
            </w:r>
          </w:p>
        </w:tc>
        <w:tc>
          <w:tcPr>
            <w:tcW w:w="1106" w:type="dxa"/>
            <w:shd w:val="clear" w:color="auto" w:fill="E9E9E9"/>
          </w:tcPr>
          <w:p>
            <w:pPr>
              <w:pStyle w:val="TableParagraph"/>
              <w:ind w:right="71"/>
              <w:rPr>
                <w:sz w:val="16"/>
              </w:rPr>
            </w:pPr>
            <w:r>
              <w:rPr>
                <w:w w:val="80"/>
                <w:sz w:val="16"/>
              </w:rPr>
              <w:t>917</w:t>
            </w:r>
          </w:p>
        </w:tc>
        <w:tc>
          <w:tcPr>
            <w:tcW w:w="1106" w:type="dxa"/>
            <w:shd w:val="clear" w:color="auto" w:fill="E9E9E9"/>
          </w:tcPr>
          <w:p>
            <w:pPr>
              <w:pStyle w:val="TableParagraph"/>
              <w:ind w:right="72"/>
              <w:rPr>
                <w:sz w:val="16"/>
              </w:rPr>
            </w:pPr>
            <w:r>
              <w:rPr>
                <w:w w:val="70"/>
                <w:sz w:val="16"/>
              </w:rPr>
              <w:t>2.1%</w:t>
            </w:r>
          </w:p>
        </w:tc>
      </w:tr>
      <w:tr>
        <w:trPr>
          <w:trHeight w:val="312" w:hRule="exact"/>
        </w:trPr>
        <w:tc>
          <w:tcPr>
            <w:tcW w:w="3458" w:type="dxa"/>
            <w:shd w:val="clear" w:color="auto" w:fill="E9E9E9"/>
          </w:tcPr>
          <w:p>
            <w:pPr>
              <w:pStyle w:val="TableParagraph"/>
              <w:spacing w:before="62"/>
              <w:ind w:left="75"/>
              <w:jc w:val="left"/>
              <w:rPr>
                <w:rFonts w:ascii="Calibri"/>
                <w:sz w:val="16"/>
              </w:rPr>
            </w:pPr>
            <w:r>
              <w:rPr>
                <w:rFonts w:ascii="Calibri"/>
                <w:w w:val="110"/>
                <w:sz w:val="16"/>
              </w:rPr>
              <w:t>Total</w:t>
            </w:r>
          </w:p>
        </w:tc>
        <w:tc>
          <w:tcPr>
            <w:tcW w:w="1106" w:type="dxa"/>
            <w:shd w:val="clear" w:color="auto" w:fill="E9E9E9"/>
          </w:tcPr>
          <w:p>
            <w:pPr>
              <w:pStyle w:val="TableParagraph"/>
              <w:spacing w:before="62"/>
              <w:ind w:right="72"/>
              <w:rPr>
                <w:rFonts w:ascii="Calibri"/>
                <w:sz w:val="16"/>
              </w:rPr>
            </w:pPr>
            <w:r>
              <w:rPr>
                <w:rFonts w:ascii="Calibri"/>
                <w:w w:val="105"/>
                <w:sz w:val="16"/>
              </w:rPr>
              <w:t>43,916</w:t>
            </w:r>
          </w:p>
        </w:tc>
        <w:tc>
          <w:tcPr>
            <w:tcW w:w="1106" w:type="dxa"/>
            <w:shd w:val="clear" w:color="auto" w:fill="E9E9E9"/>
          </w:tcPr>
          <w:p>
            <w:pPr>
              <w:pStyle w:val="TableParagraph"/>
              <w:spacing w:before="62"/>
              <w:ind w:right="72"/>
              <w:rPr>
                <w:rFonts w:ascii="Calibri"/>
                <w:sz w:val="16"/>
              </w:rPr>
            </w:pPr>
            <w:r>
              <w:rPr>
                <w:rFonts w:ascii="Calibri"/>
                <w:w w:val="110"/>
                <w:sz w:val="16"/>
              </w:rPr>
              <w:t>100.0%</w:t>
            </w:r>
          </w:p>
        </w:tc>
        <w:tc>
          <w:tcPr>
            <w:tcW w:w="1106" w:type="dxa"/>
            <w:shd w:val="clear" w:color="auto" w:fill="E9E9E9"/>
          </w:tcPr>
          <w:p>
            <w:pPr>
              <w:pStyle w:val="TableParagraph"/>
              <w:spacing w:before="62"/>
              <w:ind w:right="72"/>
              <w:rPr>
                <w:rFonts w:ascii="Calibri"/>
                <w:sz w:val="16"/>
              </w:rPr>
            </w:pPr>
            <w:r>
              <w:rPr>
                <w:rFonts w:ascii="Calibri"/>
                <w:w w:val="105"/>
                <w:sz w:val="16"/>
              </w:rPr>
              <w:t>44,919</w:t>
            </w:r>
          </w:p>
        </w:tc>
        <w:tc>
          <w:tcPr>
            <w:tcW w:w="1106" w:type="dxa"/>
            <w:shd w:val="clear" w:color="auto" w:fill="E9E9E9"/>
          </w:tcPr>
          <w:p>
            <w:pPr>
              <w:pStyle w:val="TableParagraph"/>
              <w:spacing w:before="62"/>
              <w:ind w:right="72"/>
              <w:rPr>
                <w:rFonts w:ascii="Calibri"/>
                <w:sz w:val="16"/>
              </w:rPr>
            </w:pPr>
            <w:r>
              <w:rPr>
                <w:rFonts w:ascii="Calibri"/>
                <w:w w:val="110"/>
                <w:sz w:val="16"/>
              </w:rPr>
              <w:t>100.0%</w:t>
            </w:r>
          </w:p>
        </w:tc>
        <w:tc>
          <w:tcPr>
            <w:tcW w:w="1106" w:type="dxa"/>
            <w:shd w:val="clear" w:color="auto" w:fill="E9E9E9"/>
          </w:tcPr>
          <w:p>
            <w:pPr>
              <w:pStyle w:val="TableParagraph"/>
              <w:spacing w:before="62"/>
              <w:ind w:right="72"/>
              <w:rPr>
                <w:rFonts w:ascii="Calibri"/>
                <w:sz w:val="16"/>
              </w:rPr>
            </w:pPr>
            <w:r>
              <w:rPr>
                <w:rFonts w:ascii="Calibri"/>
                <w:w w:val="105"/>
                <w:sz w:val="16"/>
              </w:rPr>
              <w:t>44,451</w:t>
            </w:r>
          </w:p>
        </w:tc>
        <w:tc>
          <w:tcPr>
            <w:tcW w:w="1106" w:type="dxa"/>
            <w:shd w:val="clear" w:color="auto" w:fill="E9E9E9"/>
          </w:tcPr>
          <w:p>
            <w:pPr>
              <w:pStyle w:val="TableParagraph"/>
              <w:spacing w:before="62"/>
              <w:ind w:right="72"/>
              <w:rPr>
                <w:rFonts w:ascii="Calibri"/>
                <w:sz w:val="16"/>
              </w:rPr>
            </w:pPr>
            <w:r>
              <w:rPr>
                <w:rFonts w:ascii="Calibri"/>
                <w:w w:val="110"/>
                <w:sz w:val="16"/>
              </w:rPr>
              <w:t>100.0%</w:t>
            </w:r>
          </w:p>
        </w:tc>
      </w:tr>
    </w:tbl>
    <w:p>
      <w:pPr>
        <w:pStyle w:val="BodyText"/>
        <w:spacing w:before="43"/>
        <w:ind w:left="332" w:right="5978"/>
      </w:pPr>
      <w:r>
        <w:rPr/>
        <w:t>*Other includes enabling, non-award and cross-institutional</w:t>
      </w:r>
    </w:p>
    <w:p>
      <w:pPr>
        <w:pStyle w:val="BodyText"/>
        <w:spacing w:before="7"/>
        <w:ind w:left="332" w:right="503"/>
      </w:pPr>
      <w:r>
        <w:rPr/>
        <w:t>(Source: Enrolment submissions to the Department of Education and Training)</w:t>
      </w:r>
    </w:p>
    <w:p>
      <w:pPr>
        <w:spacing w:after="0"/>
        <w:sectPr>
          <w:pgSz w:w="11910" w:h="16840"/>
          <w:pgMar w:header="496" w:footer="472" w:top="680" w:bottom="660" w:left="580" w:right="580"/>
        </w:sectPr>
      </w:pPr>
    </w:p>
    <w:p>
      <w:pPr>
        <w:pStyle w:val="BodyText"/>
        <w:spacing w:before="6"/>
        <w:rPr>
          <w:sz w:val="28"/>
        </w:rPr>
      </w:pPr>
      <w:r>
        <w:rPr/>
        <w:pict>
          <v:rect style="position:absolute;margin-left:34.015999pt;margin-top:45.355015pt;width:527.244pt;height:751.181pt;mso-position-horizontal-relative:page;mso-position-vertical-relative:page;z-index:-334552" filled="true" fillcolor="#e9e9e9" stroked="false">
            <v:fill type="solid"/>
            <w10:wrap type="none"/>
          </v:rect>
        </w:pict>
      </w:r>
    </w:p>
    <w:p>
      <w:pPr>
        <w:pStyle w:val="Heading1"/>
      </w:pPr>
      <w:r>
        <w:rPr>
          <w:w w:val="95"/>
        </w:rPr>
        <w:t>APPENDIX 11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7"/>
        <w:spacing w:before="72"/>
        <w:ind w:left="327" w:right="503"/>
      </w:pPr>
      <w:r>
        <w:rPr>
          <w:color w:val="615C58"/>
        </w:rPr>
        <w:t>Table 5: Student Headcount by Broad Field of Education, 2014 – 2016 (p)</w:t>
      </w:r>
    </w:p>
    <w:p>
      <w:pPr>
        <w:pStyle w:val="BodyText"/>
        <w:spacing w:before="11"/>
        <w:rPr>
          <w:rFonts w:ascii="Gotham Narrow Bold"/>
          <w:b/>
          <w:sz w:val="10"/>
        </w:rPr>
      </w:pPr>
    </w:p>
    <w:tbl>
      <w:tblPr>
        <w:tblW w:w="0" w:type="auto"/>
        <w:jc w:val="left"/>
        <w:tblInd w:w="332"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458"/>
        <w:gridCol w:w="1106"/>
        <w:gridCol w:w="1106"/>
        <w:gridCol w:w="1106"/>
        <w:gridCol w:w="1106"/>
        <w:gridCol w:w="1106"/>
        <w:gridCol w:w="1106"/>
      </w:tblGrid>
      <w:tr>
        <w:trPr>
          <w:trHeight w:val="312" w:hRule="exact"/>
        </w:trPr>
        <w:tc>
          <w:tcPr>
            <w:tcW w:w="3458" w:type="dxa"/>
            <w:tcBorders>
              <w:top w:val="nil"/>
              <w:left w:val="nil"/>
              <w:bottom w:val="nil"/>
              <w:right w:val="nil"/>
            </w:tcBorders>
            <w:shd w:val="clear" w:color="auto" w:fill="949290"/>
          </w:tcPr>
          <w:p>
            <w:pPr>
              <w:pStyle w:val="TableParagraph"/>
              <w:spacing w:before="66"/>
              <w:ind w:left="80"/>
              <w:jc w:val="left"/>
              <w:rPr>
                <w:rFonts w:ascii="Gotham Narrow Bold"/>
                <w:b/>
                <w:sz w:val="16"/>
              </w:rPr>
            </w:pPr>
            <w:r>
              <w:rPr>
                <w:rFonts w:ascii="Gotham Narrow Bold"/>
                <w:b/>
                <w:color w:val="FFFFFF"/>
                <w:sz w:val="16"/>
              </w:rPr>
              <w:t>BROAD FIELD OF EDUCATION</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674"/>
              <w:jc w:val="left"/>
              <w:rPr>
                <w:rFonts w:ascii="Gotham Narrow Bold"/>
                <w:b/>
                <w:sz w:val="16"/>
              </w:rPr>
            </w:pPr>
            <w:r>
              <w:rPr>
                <w:rFonts w:ascii="Gotham Narrow Bold"/>
                <w:b/>
                <w:color w:val="FFFFFF"/>
                <w:sz w:val="16"/>
              </w:rPr>
              <w:t>2014</w:t>
              <w:tab/>
              <w:t>%</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682"/>
              <w:jc w:val="left"/>
              <w:rPr>
                <w:rFonts w:ascii="Gotham Narrow Bold"/>
                <w:b/>
                <w:sz w:val="16"/>
              </w:rPr>
            </w:pPr>
            <w:r>
              <w:rPr>
                <w:rFonts w:ascii="Gotham Narrow Bold"/>
                <w:b/>
                <w:color w:val="FFFFFF"/>
                <w:sz w:val="16"/>
              </w:rPr>
              <w:t>2015</w:t>
              <w:tab/>
              <w:t>%</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420"/>
              <w:jc w:val="left"/>
              <w:rPr>
                <w:rFonts w:ascii="Gotham Narrow Bold"/>
                <w:b/>
                <w:sz w:val="16"/>
              </w:rPr>
            </w:pPr>
            <w:r>
              <w:rPr>
                <w:rFonts w:ascii="Gotham Narrow Bold"/>
                <w:b/>
                <w:color w:val="FFFFFF"/>
                <w:sz w:val="16"/>
              </w:rPr>
              <w:t>2016</w:t>
            </w:r>
            <w:r>
              <w:rPr>
                <w:rFonts w:ascii="Gotham Narrow Bold"/>
                <w:b/>
                <w:color w:val="FFFFFF"/>
                <w:spacing w:val="-13"/>
                <w:sz w:val="16"/>
              </w:rPr>
              <w:t> </w:t>
            </w:r>
            <w:r>
              <w:rPr>
                <w:rFonts w:ascii="Gotham Narrow Bold"/>
                <w:b/>
                <w:color w:val="FFFFFF"/>
                <w:sz w:val="16"/>
              </w:rPr>
              <w:t>(p)</w:t>
              <w:tab/>
              <w:t>%</w:t>
            </w:r>
          </w:p>
        </w:tc>
      </w:tr>
      <w:tr>
        <w:trPr>
          <w:trHeight w:val="312" w:hRule="exact"/>
        </w:trPr>
        <w:tc>
          <w:tcPr>
            <w:tcW w:w="3458" w:type="dxa"/>
            <w:tcBorders>
              <w:top w:val="nil"/>
            </w:tcBorders>
            <w:shd w:val="clear" w:color="auto" w:fill="E9E9E9"/>
          </w:tcPr>
          <w:p>
            <w:pPr>
              <w:pStyle w:val="TableParagraph"/>
              <w:spacing w:before="60"/>
              <w:ind w:left="75"/>
              <w:jc w:val="left"/>
              <w:rPr>
                <w:sz w:val="16"/>
              </w:rPr>
            </w:pPr>
            <w:r>
              <w:rPr>
                <w:sz w:val="16"/>
              </w:rPr>
              <w:t>Society and Culture</w:t>
            </w:r>
          </w:p>
        </w:tc>
        <w:tc>
          <w:tcPr>
            <w:tcW w:w="1106" w:type="dxa"/>
            <w:tcBorders>
              <w:top w:val="nil"/>
            </w:tcBorders>
            <w:shd w:val="clear" w:color="auto" w:fill="E9E9E9"/>
          </w:tcPr>
          <w:p>
            <w:pPr>
              <w:pStyle w:val="TableParagraph"/>
              <w:spacing w:before="60"/>
              <w:ind w:right="71"/>
              <w:rPr>
                <w:sz w:val="16"/>
              </w:rPr>
            </w:pPr>
            <w:r>
              <w:rPr>
                <w:w w:val="75"/>
                <w:sz w:val="16"/>
              </w:rPr>
              <w:t>11,545</w:t>
            </w:r>
          </w:p>
        </w:tc>
        <w:tc>
          <w:tcPr>
            <w:tcW w:w="1106" w:type="dxa"/>
            <w:tcBorders>
              <w:top w:val="nil"/>
            </w:tcBorders>
            <w:shd w:val="clear" w:color="auto" w:fill="E9E9E9"/>
          </w:tcPr>
          <w:p>
            <w:pPr>
              <w:pStyle w:val="TableParagraph"/>
              <w:spacing w:before="60"/>
              <w:ind w:right="71"/>
              <w:rPr>
                <w:sz w:val="16"/>
              </w:rPr>
            </w:pPr>
            <w:r>
              <w:rPr>
                <w:w w:val="85"/>
                <w:sz w:val="16"/>
              </w:rPr>
              <w:t>26.3%</w:t>
            </w:r>
          </w:p>
        </w:tc>
        <w:tc>
          <w:tcPr>
            <w:tcW w:w="1106" w:type="dxa"/>
            <w:tcBorders>
              <w:top w:val="nil"/>
            </w:tcBorders>
            <w:shd w:val="clear" w:color="auto" w:fill="E9E9E9"/>
          </w:tcPr>
          <w:p>
            <w:pPr>
              <w:pStyle w:val="TableParagraph"/>
              <w:spacing w:before="60"/>
              <w:ind w:right="74"/>
              <w:rPr>
                <w:sz w:val="16"/>
              </w:rPr>
            </w:pPr>
            <w:r>
              <w:rPr>
                <w:w w:val="70"/>
                <w:sz w:val="16"/>
              </w:rPr>
              <w:t>12,411</w:t>
            </w:r>
          </w:p>
        </w:tc>
        <w:tc>
          <w:tcPr>
            <w:tcW w:w="1106" w:type="dxa"/>
            <w:tcBorders>
              <w:top w:val="nil"/>
            </w:tcBorders>
            <w:shd w:val="clear" w:color="auto" w:fill="E9E9E9"/>
          </w:tcPr>
          <w:p>
            <w:pPr>
              <w:pStyle w:val="TableParagraph"/>
              <w:spacing w:before="60"/>
              <w:ind w:right="72"/>
              <w:rPr>
                <w:sz w:val="16"/>
              </w:rPr>
            </w:pPr>
            <w:r>
              <w:rPr>
                <w:w w:val="85"/>
                <w:sz w:val="16"/>
              </w:rPr>
              <w:t>27.6%</w:t>
            </w:r>
          </w:p>
        </w:tc>
        <w:tc>
          <w:tcPr>
            <w:tcW w:w="1106" w:type="dxa"/>
            <w:tcBorders>
              <w:top w:val="nil"/>
            </w:tcBorders>
            <w:shd w:val="clear" w:color="auto" w:fill="E9E9E9"/>
          </w:tcPr>
          <w:p>
            <w:pPr>
              <w:pStyle w:val="TableParagraph"/>
              <w:spacing w:before="60"/>
              <w:ind w:right="72"/>
              <w:rPr>
                <w:sz w:val="16"/>
              </w:rPr>
            </w:pPr>
            <w:r>
              <w:rPr>
                <w:spacing w:val="2"/>
                <w:w w:val="54"/>
                <w:sz w:val="16"/>
              </w:rPr>
              <w:t>1</w:t>
            </w:r>
            <w:r>
              <w:rPr>
                <w:spacing w:val="2"/>
                <w:w w:val="93"/>
                <w:sz w:val="16"/>
              </w:rPr>
              <w:t>2</w:t>
            </w:r>
            <w:r>
              <w:rPr>
                <w:spacing w:val="3"/>
                <w:w w:val="68"/>
                <w:sz w:val="16"/>
              </w:rPr>
              <w:t>,</w:t>
            </w:r>
            <w:r>
              <w:rPr>
                <w:spacing w:val="3"/>
                <w:w w:val="101"/>
                <w:sz w:val="16"/>
              </w:rPr>
              <w:t>6</w:t>
            </w:r>
            <w:r>
              <w:rPr>
                <w:spacing w:val="1"/>
                <w:w w:val="111"/>
                <w:sz w:val="16"/>
              </w:rPr>
              <w:t>0</w:t>
            </w:r>
            <w:r>
              <w:rPr>
                <w:w w:val="54"/>
                <w:sz w:val="16"/>
              </w:rPr>
              <w:t>1</w:t>
            </w:r>
          </w:p>
        </w:tc>
        <w:tc>
          <w:tcPr>
            <w:tcW w:w="1106" w:type="dxa"/>
            <w:tcBorders>
              <w:top w:val="nil"/>
            </w:tcBorders>
            <w:shd w:val="clear" w:color="auto" w:fill="E9E9E9"/>
          </w:tcPr>
          <w:p>
            <w:pPr>
              <w:pStyle w:val="TableParagraph"/>
              <w:spacing w:before="60"/>
              <w:ind w:right="71"/>
              <w:rPr>
                <w:sz w:val="16"/>
              </w:rPr>
            </w:pPr>
            <w:r>
              <w:rPr>
                <w:w w:val="85"/>
                <w:sz w:val="16"/>
              </w:rPr>
              <w:t>28.3%</w:t>
            </w:r>
          </w:p>
        </w:tc>
      </w:tr>
      <w:tr>
        <w:trPr>
          <w:trHeight w:val="312" w:hRule="exact"/>
        </w:trPr>
        <w:tc>
          <w:tcPr>
            <w:tcW w:w="3458" w:type="dxa"/>
            <w:shd w:val="clear" w:color="auto" w:fill="E9E9E9"/>
          </w:tcPr>
          <w:p>
            <w:pPr>
              <w:pStyle w:val="TableParagraph"/>
              <w:ind w:left="75"/>
              <w:jc w:val="left"/>
              <w:rPr>
                <w:sz w:val="16"/>
              </w:rPr>
            </w:pPr>
            <w:r>
              <w:rPr>
                <w:sz w:val="16"/>
              </w:rPr>
              <w:t>Management and Commerce</w:t>
            </w:r>
          </w:p>
        </w:tc>
        <w:tc>
          <w:tcPr>
            <w:tcW w:w="1106" w:type="dxa"/>
            <w:shd w:val="clear" w:color="auto" w:fill="E9E9E9"/>
          </w:tcPr>
          <w:p>
            <w:pPr>
              <w:pStyle w:val="TableParagraph"/>
              <w:ind w:right="75"/>
              <w:rPr>
                <w:sz w:val="16"/>
              </w:rPr>
            </w:pPr>
            <w:r>
              <w:rPr>
                <w:w w:val="95"/>
                <w:sz w:val="16"/>
              </w:rPr>
              <w:t>9,907</w:t>
            </w:r>
          </w:p>
        </w:tc>
        <w:tc>
          <w:tcPr>
            <w:tcW w:w="1106" w:type="dxa"/>
            <w:shd w:val="clear" w:color="auto" w:fill="E9E9E9"/>
          </w:tcPr>
          <w:p>
            <w:pPr>
              <w:pStyle w:val="TableParagraph"/>
              <w:ind w:right="72"/>
              <w:rPr>
                <w:sz w:val="16"/>
              </w:rPr>
            </w:pPr>
            <w:r>
              <w:rPr>
                <w:w w:val="85"/>
                <w:sz w:val="16"/>
              </w:rPr>
              <w:t>22.6%</w:t>
            </w:r>
          </w:p>
        </w:tc>
        <w:tc>
          <w:tcPr>
            <w:tcW w:w="1106" w:type="dxa"/>
            <w:shd w:val="clear" w:color="auto" w:fill="E9E9E9"/>
          </w:tcPr>
          <w:p>
            <w:pPr>
              <w:pStyle w:val="TableParagraph"/>
              <w:ind w:right="72"/>
              <w:rPr>
                <w:sz w:val="16"/>
              </w:rPr>
            </w:pPr>
            <w:r>
              <w:rPr>
                <w:w w:val="95"/>
                <w:sz w:val="16"/>
              </w:rPr>
              <w:t>9,354</w:t>
            </w:r>
          </w:p>
        </w:tc>
        <w:tc>
          <w:tcPr>
            <w:tcW w:w="1106" w:type="dxa"/>
            <w:shd w:val="clear" w:color="auto" w:fill="E9E9E9"/>
          </w:tcPr>
          <w:p>
            <w:pPr>
              <w:pStyle w:val="TableParagraph"/>
              <w:ind w:right="73"/>
              <w:rPr>
                <w:sz w:val="16"/>
              </w:rPr>
            </w:pPr>
            <w:r>
              <w:rPr>
                <w:w w:val="90"/>
                <w:sz w:val="16"/>
              </w:rPr>
              <w:t>20.8%</w:t>
            </w:r>
          </w:p>
        </w:tc>
        <w:tc>
          <w:tcPr>
            <w:tcW w:w="1106" w:type="dxa"/>
            <w:shd w:val="clear" w:color="auto" w:fill="E9E9E9"/>
          </w:tcPr>
          <w:p>
            <w:pPr>
              <w:pStyle w:val="TableParagraph"/>
              <w:ind w:right="69"/>
              <w:rPr>
                <w:sz w:val="16"/>
              </w:rPr>
            </w:pPr>
            <w:r>
              <w:rPr>
                <w:w w:val="85"/>
                <w:sz w:val="16"/>
              </w:rPr>
              <w:t>8,610</w:t>
            </w:r>
          </w:p>
        </w:tc>
        <w:tc>
          <w:tcPr>
            <w:tcW w:w="1106" w:type="dxa"/>
            <w:shd w:val="clear" w:color="auto" w:fill="E9E9E9"/>
          </w:tcPr>
          <w:p>
            <w:pPr>
              <w:pStyle w:val="TableParagraph"/>
              <w:ind w:right="73"/>
              <w:rPr>
                <w:sz w:val="16"/>
              </w:rPr>
            </w:pPr>
            <w:r>
              <w:rPr>
                <w:w w:val="80"/>
                <w:sz w:val="16"/>
              </w:rPr>
              <w:t>19.4%</w:t>
            </w:r>
          </w:p>
        </w:tc>
      </w:tr>
      <w:tr>
        <w:trPr>
          <w:trHeight w:val="312" w:hRule="exact"/>
        </w:trPr>
        <w:tc>
          <w:tcPr>
            <w:tcW w:w="3458" w:type="dxa"/>
            <w:shd w:val="clear" w:color="auto" w:fill="E9E9E9"/>
          </w:tcPr>
          <w:p>
            <w:pPr>
              <w:pStyle w:val="TableParagraph"/>
              <w:ind w:left="75"/>
              <w:jc w:val="left"/>
              <w:rPr>
                <w:sz w:val="16"/>
              </w:rPr>
            </w:pPr>
            <w:r>
              <w:rPr>
                <w:sz w:val="16"/>
              </w:rPr>
              <w:t>Health</w:t>
            </w:r>
          </w:p>
        </w:tc>
        <w:tc>
          <w:tcPr>
            <w:tcW w:w="1106" w:type="dxa"/>
            <w:shd w:val="clear" w:color="auto" w:fill="E9E9E9"/>
          </w:tcPr>
          <w:p>
            <w:pPr>
              <w:pStyle w:val="TableParagraph"/>
              <w:ind w:right="72"/>
              <w:rPr>
                <w:sz w:val="16"/>
              </w:rPr>
            </w:pPr>
            <w:r>
              <w:rPr>
                <w:w w:val="90"/>
                <w:sz w:val="16"/>
              </w:rPr>
              <w:t>7,795</w:t>
            </w:r>
          </w:p>
        </w:tc>
        <w:tc>
          <w:tcPr>
            <w:tcW w:w="1106" w:type="dxa"/>
            <w:shd w:val="clear" w:color="auto" w:fill="E9E9E9"/>
          </w:tcPr>
          <w:p>
            <w:pPr>
              <w:pStyle w:val="TableParagraph"/>
              <w:ind w:right="72"/>
              <w:rPr>
                <w:sz w:val="16"/>
              </w:rPr>
            </w:pPr>
            <w:r>
              <w:rPr>
                <w:w w:val="75"/>
                <w:sz w:val="16"/>
              </w:rPr>
              <w:t>17.7%</w:t>
            </w:r>
          </w:p>
        </w:tc>
        <w:tc>
          <w:tcPr>
            <w:tcW w:w="1106" w:type="dxa"/>
            <w:shd w:val="clear" w:color="auto" w:fill="E9E9E9"/>
          </w:tcPr>
          <w:p>
            <w:pPr>
              <w:pStyle w:val="TableParagraph"/>
              <w:ind w:right="72"/>
              <w:rPr>
                <w:sz w:val="16"/>
              </w:rPr>
            </w:pPr>
            <w:r>
              <w:rPr>
                <w:w w:val="95"/>
                <w:sz w:val="16"/>
              </w:rPr>
              <w:t>7,960</w:t>
            </w:r>
          </w:p>
        </w:tc>
        <w:tc>
          <w:tcPr>
            <w:tcW w:w="1106" w:type="dxa"/>
            <w:shd w:val="clear" w:color="auto" w:fill="E9E9E9"/>
          </w:tcPr>
          <w:p>
            <w:pPr>
              <w:pStyle w:val="TableParagraph"/>
              <w:ind w:right="72"/>
              <w:rPr>
                <w:sz w:val="16"/>
              </w:rPr>
            </w:pPr>
            <w:r>
              <w:rPr>
                <w:w w:val="75"/>
                <w:sz w:val="16"/>
              </w:rPr>
              <w:t>17.7%</w:t>
            </w:r>
          </w:p>
        </w:tc>
        <w:tc>
          <w:tcPr>
            <w:tcW w:w="1106" w:type="dxa"/>
            <w:shd w:val="clear" w:color="auto" w:fill="E9E9E9"/>
          </w:tcPr>
          <w:p>
            <w:pPr>
              <w:pStyle w:val="TableParagraph"/>
              <w:ind w:right="72"/>
              <w:rPr>
                <w:sz w:val="16"/>
              </w:rPr>
            </w:pPr>
            <w:r>
              <w:rPr>
                <w:w w:val="95"/>
                <w:sz w:val="16"/>
              </w:rPr>
              <w:t>8,082</w:t>
            </w:r>
          </w:p>
        </w:tc>
        <w:tc>
          <w:tcPr>
            <w:tcW w:w="1106" w:type="dxa"/>
            <w:shd w:val="clear" w:color="auto" w:fill="E9E9E9"/>
          </w:tcPr>
          <w:p>
            <w:pPr>
              <w:pStyle w:val="TableParagraph"/>
              <w:ind w:right="68"/>
              <w:rPr>
                <w:sz w:val="16"/>
              </w:rPr>
            </w:pPr>
            <w:r>
              <w:rPr>
                <w:w w:val="75"/>
                <w:sz w:val="16"/>
              </w:rPr>
              <w:t>18.2%</w:t>
            </w:r>
          </w:p>
        </w:tc>
      </w:tr>
      <w:tr>
        <w:trPr>
          <w:trHeight w:val="312" w:hRule="exact"/>
        </w:trPr>
        <w:tc>
          <w:tcPr>
            <w:tcW w:w="3458" w:type="dxa"/>
            <w:shd w:val="clear" w:color="auto" w:fill="E9E9E9"/>
          </w:tcPr>
          <w:p>
            <w:pPr>
              <w:pStyle w:val="TableParagraph"/>
              <w:ind w:left="75"/>
              <w:jc w:val="left"/>
              <w:rPr>
                <w:sz w:val="16"/>
              </w:rPr>
            </w:pPr>
            <w:r>
              <w:rPr>
                <w:sz w:val="16"/>
              </w:rPr>
              <w:t>Natural and Physical Sciences</w:t>
            </w:r>
          </w:p>
        </w:tc>
        <w:tc>
          <w:tcPr>
            <w:tcW w:w="1106" w:type="dxa"/>
            <w:shd w:val="clear" w:color="auto" w:fill="E9E9E9"/>
          </w:tcPr>
          <w:p>
            <w:pPr>
              <w:pStyle w:val="TableParagraph"/>
              <w:ind w:right="72"/>
              <w:rPr>
                <w:sz w:val="16"/>
              </w:rPr>
            </w:pPr>
            <w:r>
              <w:rPr>
                <w:w w:val="95"/>
                <w:sz w:val="16"/>
              </w:rPr>
              <w:t>3,639</w:t>
            </w:r>
          </w:p>
        </w:tc>
        <w:tc>
          <w:tcPr>
            <w:tcW w:w="1106" w:type="dxa"/>
            <w:shd w:val="clear" w:color="auto" w:fill="E9E9E9"/>
          </w:tcPr>
          <w:p>
            <w:pPr>
              <w:pStyle w:val="TableParagraph"/>
              <w:ind w:right="71"/>
              <w:rPr>
                <w:sz w:val="16"/>
              </w:rPr>
            </w:pPr>
            <w:r>
              <w:rPr>
                <w:w w:val="80"/>
                <w:sz w:val="16"/>
              </w:rPr>
              <w:t>8.3%</w:t>
            </w:r>
          </w:p>
        </w:tc>
        <w:tc>
          <w:tcPr>
            <w:tcW w:w="1106" w:type="dxa"/>
            <w:shd w:val="clear" w:color="auto" w:fill="E9E9E9"/>
          </w:tcPr>
          <w:p>
            <w:pPr>
              <w:pStyle w:val="TableParagraph"/>
              <w:ind w:right="72"/>
              <w:rPr>
                <w:sz w:val="16"/>
              </w:rPr>
            </w:pPr>
            <w:r>
              <w:rPr>
                <w:w w:val="95"/>
                <w:sz w:val="16"/>
              </w:rPr>
              <w:t>3,750</w:t>
            </w:r>
          </w:p>
        </w:tc>
        <w:tc>
          <w:tcPr>
            <w:tcW w:w="1106" w:type="dxa"/>
            <w:shd w:val="clear" w:color="auto" w:fill="E9E9E9"/>
          </w:tcPr>
          <w:p>
            <w:pPr>
              <w:pStyle w:val="TableParagraph"/>
              <w:ind w:right="71"/>
              <w:rPr>
                <w:sz w:val="16"/>
              </w:rPr>
            </w:pPr>
            <w:r>
              <w:rPr>
                <w:w w:val="80"/>
                <w:sz w:val="16"/>
              </w:rPr>
              <w:t>8.3%</w:t>
            </w:r>
          </w:p>
        </w:tc>
        <w:tc>
          <w:tcPr>
            <w:tcW w:w="1106" w:type="dxa"/>
            <w:shd w:val="clear" w:color="auto" w:fill="E9E9E9"/>
          </w:tcPr>
          <w:p>
            <w:pPr>
              <w:pStyle w:val="TableParagraph"/>
              <w:ind w:right="69"/>
              <w:rPr>
                <w:sz w:val="16"/>
              </w:rPr>
            </w:pPr>
            <w:r>
              <w:rPr>
                <w:w w:val="90"/>
                <w:sz w:val="16"/>
              </w:rPr>
              <w:t>3,682</w:t>
            </w:r>
          </w:p>
        </w:tc>
        <w:tc>
          <w:tcPr>
            <w:tcW w:w="1106" w:type="dxa"/>
            <w:shd w:val="clear" w:color="auto" w:fill="E9E9E9"/>
          </w:tcPr>
          <w:p>
            <w:pPr>
              <w:pStyle w:val="TableParagraph"/>
              <w:ind w:right="71"/>
              <w:rPr>
                <w:sz w:val="16"/>
              </w:rPr>
            </w:pPr>
            <w:r>
              <w:rPr>
                <w:w w:val="80"/>
                <w:sz w:val="16"/>
              </w:rPr>
              <w:t>8.3%</w:t>
            </w:r>
          </w:p>
        </w:tc>
      </w:tr>
      <w:tr>
        <w:trPr>
          <w:trHeight w:val="312" w:hRule="exact"/>
        </w:trPr>
        <w:tc>
          <w:tcPr>
            <w:tcW w:w="3458" w:type="dxa"/>
            <w:shd w:val="clear" w:color="auto" w:fill="E9E9E9"/>
          </w:tcPr>
          <w:p>
            <w:pPr>
              <w:pStyle w:val="TableParagraph"/>
              <w:ind w:left="75"/>
              <w:jc w:val="left"/>
              <w:rPr>
                <w:sz w:val="16"/>
              </w:rPr>
            </w:pPr>
            <w:r>
              <w:rPr>
                <w:sz w:val="16"/>
              </w:rPr>
              <w:t>Education</w:t>
            </w:r>
          </w:p>
        </w:tc>
        <w:tc>
          <w:tcPr>
            <w:tcW w:w="1106" w:type="dxa"/>
            <w:shd w:val="clear" w:color="auto" w:fill="E9E9E9"/>
          </w:tcPr>
          <w:p>
            <w:pPr>
              <w:pStyle w:val="TableParagraph"/>
              <w:ind w:right="70"/>
              <w:rPr>
                <w:sz w:val="16"/>
              </w:rPr>
            </w:pPr>
            <w:r>
              <w:rPr>
                <w:w w:val="90"/>
                <w:sz w:val="16"/>
              </w:rPr>
              <w:t>3,257</w:t>
            </w:r>
          </w:p>
        </w:tc>
        <w:tc>
          <w:tcPr>
            <w:tcW w:w="1106" w:type="dxa"/>
            <w:shd w:val="clear" w:color="auto" w:fill="E9E9E9"/>
          </w:tcPr>
          <w:p>
            <w:pPr>
              <w:pStyle w:val="TableParagraph"/>
              <w:ind w:right="72"/>
              <w:rPr>
                <w:sz w:val="16"/>
              </w:rPr>
            </w:pPr>
            <w:r>
              <w:rPr>
                <w:w w:val="85"/>
                <w:sz w:val="16"/>
              </w:rPr>
              <w:t>7.4%</w:t>
            </w:r>
          </w:p>
        </w:tc>
        <w:tc>
          <w:tcPr>
            <w:tcW w:w="1106" w:type="dxa"/>
            <w:shd w:val="clear" w:color="auto" w:fill="E9E9E9"/>
          </w:tcPr>
          <w:p>
            <w:pPr>
              <w:pStyle w:val="TableParagraph"/>
              <w:ind w:right="72"/>
              <w:rPr>
                <w:sz w:val="16"/>
              </w:rPr>
            </w:pPr>
            <w:r>
              <w:rPr>
                <w:w w:val="85"/>
                <w:sz w:val="16"/>
              </w:rPr>
              <w:t>3,195</w:t>
            </w:r>
          </w:p>
        </w:tc>
        <w:tc>
          <w:tcPr>
            <w:tcW w:w="1106" w:type="dxa"/>
            <w:shd w:val="clear" w:color="auto" w:fill="E9E9E9"/>
          </w:tcPr>
          <w:p>
            <w:pPr>
              <w:pStyle w:val="TableParagraph"/>
              <w:ind w:right="72"/>
              <w:rPr>
                <w:sz w:val="16"/>
              </w:rPr>
            </w:pPr>
            <w:r>
              <w:rPr>
                <w:w w:val="70"/>
                <w:sz w:val="16"/>
              </w:rPr>
              <w:t>7.1%</w:t>
            </w:r>
          </w:p>
        </w:tc>
        <w:tc>
          <w:tcPr>
            <w:tcW w:w="1106" w:type="dxa"/>
            <w:shd w:val="clear" w:color="auto" w:fill="E9E9E9"/>
          </w:tcPr>
          <w:p>
            <w:pPr>
              <w:pStyle w:val="TableParagraph"/>
              <w:ind w:right="72"/>
              <w:rPr>
                <w:sz w:val="16"/>
              </w:rPr>
            </w:pPr>
            <w:r>
              <w:rPr>
                <w:w w:val="70"/>
                <w:sz w:val="16"/>
              </w:rPr>
              <w:t>3,131</w:t>
            </w:r>
          </w:p>
        </w:tc>
        <w:tc>
          <w:tcPr>
            <w:tcW w:w="1106" w:type="dxa"/>
            <w:shd w:val="clear" w:color="auto" w:fill="E9E9E9"/>
          </w:tcPr>
          <w:p>
            <w:pPr>
              <w:pStyle w:val="TableParagraph"/>
              <w:ind w:right="72"/>
              <w:rPr>
                <w:sz w:val="16"/>
              </w:rPr>
            </w:pPr>
            <w:r>
              <w:rPr>
                <w:w w:val="85"/>
                <w:sz w:val="16"/>
              </w:rPr>
              <w:t>7.0%</w:t>
            </w:r>
          </w:p>
        </w:tc>
      </w:tr>
      <w:tr>
        <w:trPr>
          <w:trHeight w:val="312" w:hRule="exact"/>
        </w:trPr>
        <w:tc>
          <w:tcPr>
            <w:tcW w:w="3458" w:type="dxa"/>
            <w:shd w:val="clear" w:color="auto" w:fill="E9E9E9"/>
          </w:tcPr>
          <w:p>
            <w:pPr>
              <w:pStyle w:val="TableParagraph"/>
              <w:ind w:left="75"/>
              <w:jc w:val="left"/>
              <w:rPr>
                <w:sz w:val="16"/>
              </w:rPr>
            </w:pPr>
            <w:r>
              <w:rPr>
                <w:sz w:val="16"/>
              </w:rPr>
              <w:t>Engineering and Related Technologies</w:t>
            </w:r>
          </w:p>
        </w:tc>
        <w:tc>
          <w:tcPr>
            <w:tcW w:w="1106" w:type="dxa"/>
            <w:shd w:val="clear" w:color="auto" w:fill="E9E9E9"/>
          </w:tcPr>
          <w:p>
            <w:pPr>
              <w:pStyle w:val="TableParagraph"/>
              <w:ind w:right="72"/>
              <w:rPr>
                <w:sz w:val="16"/>
              </w:rPr>
            </w:pPr>
            <w:r>
              <w:rPr>
                <w:w w:val="65"/>
                <w:sz w:val="16"/>
              </w:rPr>
              <w:t>1,711</w:t>
            </w:r>
          </w:p>
        </w:tc>
        <w:tc>
          <w:tcPr>
            <w:tcW w:w="1106" w:type="dxa"/>
            <w:shd w:val="clear" w:color="auto" w:fill="E9E9E9"/>
          </w:tcPr>
          <w:p>
            <w:pPr>
              <w:pStyle w:val="TableParagraph"/>
              <w:ind w:right="72"/>
              <w:rPr>
                <w:sz w:val="16"/>
              </w:rPr>
            </w:pPr>
            <w:r>
              <w:rPr>
                <w:w w:val="85"/>
                <w:sz w:val="16"/>
              </w:rPr>
              <w:t>3.9%</w:t>
            </w:r>
          </w:p>
        </w:tc>
        <w:tc>
          <w:tcPr>
            <w:tcW w:w="1106" w:type="dxa"/>
            <w:shd w:val="clear" w:color="auto" w:fill="E9E9E9"/>
          </w:tcPr>
          <w:p>
            <w:pPr>
              <w:pStyle w:val="TableParagraph"/>
              <w:ind w:right="72"/>
              <w:rPr>
                <w:sz w:val="16"/>
              </w:rPr>
            </w:pPr>
            <w:r>
              <w:rPr>
                <w:spacing w:val="4"/>
                <w:w w:val="54"/>
                <w:sz w:val="16"/>
              </w:rPr>
              <w:t>1</w:t>
            </w:r>
            <w:r>
              <w:rPr>
                <w:spacing w:val="2"/>
                <w:w w:val="89"/>
                <w:sz w:val="16"/>
              </w:rPr>
              <w:t>,</w:t>
            </w:r>
            <w:r>
              <w:rPr>
                <w:spacing w:val="3"/>
                <w:w w:val="89"/>
                <w:sz w:val="16"/>
              </w:rPr>
              <w:t>9</w:t>
            </w:r>
            <w:r>
              <w:rPr>
                <w:spacing w:val="4"/>
                <w:w w:val="101"/>
                <w:sz w:val="16"/>
              </w:rPr>
              <w:t>9</w:t>
            </w:r>
            <w:r>
              <w:rPr>
                <w:w w:val="111"/>
                <w:sz w:val="16"/>
              </w:rPr>
              <w:t>0</w:t>
            </w:r>
          </w:p>
        </w:tc>
        <w:tc>
          <w:tcPr>
            <w:tcW w:w="1106" w:type="dxa"/>
            <w:shd w:val="clear" w:color="auto" w:fill="E9E9E9"/>
          </w:tcPr>
          <w:p>
            <w:pPr>
              <w:pStyle w:val="TableParagraph"/>
              <w:ind w:right="73"/>
              <w:rPr>
                <w:sz w:val="16"/>
              </w:rPr>
            </w:pPr>
            <w:r>
              <w:rPr>
                <w:w w:val="85"/>
                <w:sz w:val="16"/>
              </w:rPr>
              <w:t>4.4%</w:t>
            </w:r>
          </w:p>
        </w:tc>
        <w:tc>
          <w:tcPr>
            <w:tcW w:w="1106" w:type="dxa"/>
            <w:shd w:val="clear" w:color="auto" w:fill="E9E9E9"/>
          </w:tcPr>
          <w:p>
            <w:pPr>
              <w:pStyle w:val="TableParagraph"/>
              <w:ind w:right="72"/>
              <w:rPr>
                <w:sz w:val="16"/>
              </w:rPr>
            </w:pPr>
            <w:r>
              <w:rPr>
                <w:w w:val="80"/>
                <w:sz w:val="16"/>
              </w:rPr>
              <w:t>2,178</w:t>
            </w:r>
          </w:p>
        </w:tc>
        <w:tc>
          <w:tcPr>
            <w:tcW w:w="1106" w:type="dxa"/>
            <w:shd w:val="clear" w:color="auto" w:fill="E9E9E9"/>
          </w:tcPr>
          <w:p>
            <w:pPr>
              <w:pStyle w:val="TableParagraph"/>
              <w:ind w:right="68"/>
              <w:rPr>
                <w:sz w:val="16"/>
              </w:rPr>
            </w:pPr>
            <w:r>
              <w:rPr>
                <w:w w:val="85"/>
                <w:sz w:val="16"/>
              </w:rPr>
              <w:t>4.9%</w:t>
            </w:r>
          </w:p>
        </w:tc>
      </w:tr>
      <w:tr>
        <w:trPr>
          <w:trHeight w:val="312" w:hRule="exact"/>
        </w:trPr>
        <w:tc>
          <w:tcPr>
            <w:tcW w:w="3458" w:type="dxa"/>
            <w:shd w:val="clear" w:color="auto" w:fill="E9E9E9"/>
          </w:tcPr>
          <w:p>
            <w:pPr>
              <w:pStyle w:val="TableParagraph"/>
              <w:ind w:left="75"/>
              <w:jc w:val="left"/>
              <w:rPr>
                <w:sz w:val="16"/>
              </w:rPr>
            </w:pPr>
            <w:r>
              <w:rPr>
                <w:sz w:val="16"/>
              </w:rPr>
              <w:t>Creative Arts</w:t>
            </w:r>
          </w:p>
        </w:tc>
        <w:tc>
          <w:tcPr>
            <w:tcW w:w="1106" w:type="dxa"/>
            <w:shd w:val="clear" w:color="auto" w:fill="E9E9E9"/>
          </w:tcPr>
          <w:p>
            <w:pPr>
              <w:pStyle w:val="TableParagraph"/>
              <w:ind w:right="74"/>
              <w:rPr>
                <w:sz w:val="16"/>
              </w:rPr>
            </w:pPr>
            <w:r>
              <w:rPr>
                <w:w w:val="85"/>
                <w:sz w:val="16"/>
              </w:rPr>
              <w:t>1,834</w:t>
            </w:r>
          </w:p>
        </w:tc>
        <w:tc>
          <w:tcPr>
            <w:tcW w:w="1106" w:type="dxa"/>
            <w:shd w:val="clear" w:color="auto" w:fill="E9E9E9"/>
          </w:tcPr>
          <w:p>
            <w:pPr>
              <w:pStyle w:val="TableParagraph"/>
              <w:ind w:right="73"/>
              <w:rPr>
                <w:sz w:val="16"/>
              </w:rPr>
            </w:pPr>
            <w:r>
              <w:rPr>
                <w:w w:val="85"/>
                <w:sz w:val="16"/>
              </w:rPr>
              <w:t>4.2%</w:t>
            </w:r>
          </w:p>
        </w:tc>
        <w:tc>
          <w:tcPr>
            <w:tcW w:w="1106" w:type="dxa"/>
            <w:shd w:val="clear" w:color="auto" w:fill="E9E9E9"/>
          </w:tcPr>
          <w:p>
            <w:pPr>
              <w:pStyle w:val="TableParagraph"/>
              <w:ind w:right="69"/>
              <w:rPr>
                <w:sz w:val="16"/>
              </w:rPr>
            </w:pPr>
            <w:r>
              <w:rPr>
                <w:w w:val="75"/>
                <w:sz w:val="16"/>
              </w:rPr>
              <w:t>1,861</w:t>
            </w:r>
          </w:p>
        </w:tc>
        <w:tc>
          <w:tcPr>
            <w:tcW w:w="1106" w:type="dxa"/>
            <w:shd w:val="clear" w:color="auto" w:fill="E9E9E9"/>
          </w:tcPr>
          <w:p>
            <w:pPr>
              <w:pStyle w:val="TableParagraph"/>
              <w:ind w:right="73"/>
              <w:rPr>
                <w:sz w:val="16"/>
              </w:rPr>
            </w:pPr>
            <w:r>
              <w:rPr>
                <w:w w:val="75"/>
                <w:sz w:val="16"/>
              </w:rPr>
              <w:t>4.1%</w:t>
            </w:r>
          </w:p>
        </w:tc>
        <w:tc>
          <w:tcPr>
            <w:tcW w:w="1106" w:type="dxa"/>
            <w:shd w:val="clear" w:color="auto" w:fill="E9E9E9"/>
          </w:tcPr>
          <w:p>
            <w:pPr>
              <w:pStyle w:val="TableParagraph"/>
              <w:ind w:right="73"/>
              <w:rPr>
                <w:sz w:val="16"/>
              </w:rPr>
            </w:pPr>
            <w:r>
              <w:rPr>
                <w:w w:val="85"/>
                <w:sz w:val="16"/>
              </w:rPr>
              <w:t>1,854</w:t>
            </w:r>
          </w:p>
        </w:tc>
        <w:tc>
          <w:tcPr>
            <w:tcW w:w="1106" w:type="dxa"/>
            <w:shd w:val="clear" w:color="auto" w:fill="E9E9E9"/>
          </w:tcPr>
          <w:p>
            <w:pPr>
              <w:pStyle w:val="TableParagraph"/>
              <w:ind w:right="73"/>
              <w:rPr>
                <w:sz w:val="16"/>
              </w:rPr>
            </w:pPr>
            <w:r>
              <w:rPr>
                <w:w w:val="85"/>
                <w:sz w:val="16"/>
              </w:rPr>
              <w:t>4.2%</w:t>
            </w:r>
          </w:p>
        </w:tc>
      </w:tr>
      <w:tr>
        <w:trPr>
          <w:trHeight w:val="312" w:hRule="exact"/>
        </w:trPr>
        <w:tc>
          <w:tcPr>
            <w:tcW w:w="3458" w:type="dxa"/>
            <w:shd w:val="clear" w:color="auto" w:fill="E9E9E9"/>
          </w:tcPr>
          <w:p>
            <w:pPr>
              <w:pStyle w:val="TableParagraph"/>
              <w:ind w:left="74"/>
              <w:jc w:val="left"/>
              <w:rPr>
                <w:sz w:val="16"/>
              </w:rPr>
            </w:pPr>
            <w:r>
              <w:rPr>
                <w:w w:val="95"/>
                <w:sz w:val="16"/>
              </w:rPr>
              <w:t>Information Technology</w:t>
            </w:r>
          </w:p>
        </w:tc>
        <w:tc>
          <w:tcPr>
            <w:tcW w:w="1106" w:type="dxa"/>
            <w:shd w:val="clear" w:color="auto" w:fill="E9E9E9"/>
          </w:tcPr>
          <w:p>
            <w:pPr>
              <w:pStyle w:val="TableParagraph"/>
              <w:ind w:right="72"/>
              <w:rPr>
                <w:sz w:val="16"/>
              </w:rPr>
            </w:pPr>
            <w:r>
              <w:rPr>
                <w:w w:val="85"/>
                <w:sz w:val="16"/>
              </w:rPr>
              <w:t>1,679</w:t>
            </w:r>
          </w:p>
        </w:tc>
        <w:tc>
          <w:tcPr>
            <w:tcW w:w="1106" w:type="dxa"/>
            <w:shd w:val="clear" w:color="auto" w:fill="E9E9E9"/>
          </w:tcPr>
          <w:p>
            <w:pPr>
              <w:pStyle w:val="TableParagraph"/>
              <w:ind w:right="69"/>
              <w:rPr>
                <w:sz w:val="16"/>
              </w:rPr>
            </w:pPr>
            <w:r>
              <w:rPr>
                <w:w w:val="80"/>
                <w:sz w:val="16"/>
              </w:rPr>
              <w:t>3.8%</w:t>
            </w:r>
          </w:p>
        </w:tc>
        <w:tc>
          <w:tcPr>
            <w:tcW w:w="1106" w:type="dxa"/>
            <w:shd w:val="clear" w:color="auto" w:fill="E9E9E9"/>
          </w:tcPr>
          <w:p>
            <w:pPr>
              <w:pStyle w:val="TableParagraph"/>
              <w:ind w:right="68"/>
              <w:rPr>
                <w:sz w:val="16"/>
              </w:rPr>
            </w:pPr>
            <w:r>
              <w:rPr>
                <w:w w:val="90"/>
                <w:sz w:val="16"/>
              </w:rPr>
              <w:t>1,900</w:t>
            </w:r>
          </w:p>
        </w:tc>
        <w:tc>
          <w:tcPr>
            <w:tcW w:w="1106" w:type="dxa"/>
            <w:shd w:val="clear" w:color="auto" w:fill="E9E9E9"/>
          </w:tcPr>
          <w:p>
            <w:pPr>
              <w:pStyle w:val="TableParagraph"/>
              <w:ind w:right="73"/>
              <w:rPr>
                <w:sz w:val="16"/>
              </w:rPr>
            </w:pPr>
            <w:r>
              <w:rPr>
                <w:w w:val="85"/>
                <w:sz w:val="16"/>
              </w:rPr>
              <w:t>4.2%</w:t>
            </w:r>
          </w:p>
        </w:tc>
        <w:tc>
          <w:tcPr>
            <w:tcW w:w="1106" w:type="dxa"/>
            <w:shd w:val="clear" w:color="auto" w:fill="E9E9E9"/>
          </w:tcPr>
          <w:p>
            <w:pPr>
              <w:pStyle w:val="TableParagraph"/>
              <w:ind w:right="73"/>
              <w:rPr>
                <w:sz w:val="16"/>
              </w:rPr>
            </w:pPr>
            <w:r>
              <w:rPr>
                <w:spacing w:val="4"/>
                <w:w w:val="54"/>
                <w:sz w:val="16"/>
              </w:rPr>
              <w:t>1</w:t>
            </w:r>
            <w:r>
              <w:rPr>
                <w:spacing w:val="2"/>
                <w:w w:val="89"/>
                <w:sz w:val="16"/>
              </w:rPr>
              <w:t>,</w:t>
            </w:r>
            <w:r>
              <w:rPr>
                <w:spacing w:val="4"/>
                <w:w w:val="89"/>
                <w:sz w:val="16"/>
              </w:rPr>
              <w:t>9</w:t>
            </w:r>
            <w:r>
              <w:rPr>
                <w:spacing w:val="4"/>
                <w:w w:val="111"/>
                <w:sz w:val="16"/>
              </w:rPr>
              <w:t>0</w:t>
            </w:r>
            <w:r>
              <w:rPr>
                <w:w w:val="103"/>
                <w:sz w:val="16"/>
              </w:rPr>
              <w:t>4</w:t>
            </w:r>
          </w:p>
        </w:tc>
        <w:tc>
          <w:tcPr>
            <w:tcW w:w="1106" w:type="dxa"/>
            <w:shd w:val="clear" w:color="auto" w:fill="E9E9E9"/>
          </w:tcPr>
          <w:p>
            <w:pPr>
              <w:pStyle w:val="TableParagraph"/>
              <w:ind w:right="71"/>
              <w:rPr>
                <w:sz w:val="16"/>
              </w:rPr>
            </w:pPr>
            <w:r>
              <w:rPr>
                <w:w w:val="80"/>
                <w:sz w:val="16"/>
              </w:rPr>
              <w:t>4.3%</w:t>
            </w:r>
          </w:p>
        </w:tc>
      </w:tr>
      <w:tr>
        <w:trPr>
          <w:trHeight w:val="312" w:hRule="exact"/>
        </w:trPr>
        <w:tc>
          <w:tcPr>
            <w:tcW w:w="3458" w:type="dxa"/>
            <w:shd w:val="clear" w:color="auto" w:fill="E9E9E9"/>
          </w:tcPr>
          <w:p>
            <w:pPr>
              <w:pStyle w:val="TableParagraph"/>
              <w:ind w:left="74"/>
              <w:jc w:val="left"/>
              <w:rPr>
                <w:sz w:val="16"/>
              </w:rPr>
            </w:pPr>
            <w:r>
              <w:rPr>
                <w:sz w:val="16"/>
              </w:rPr>
              <w:t>Architecture and Building</w:t>
            </w:r>
          </w:p>
        </w:tc>
        <w:tc>
          <w:tcPr>
            <w:tcW w:w="1106" w:type="dxa"/>
            <w:shd w:val="clear" w:color="auto" w:fill="E9E9E9"/>
          </w:tcPr>
          <w:p>
            <w:pPr>
              <w:pStyle w:val="TableParagraph"/>
              <w:ind w:right="73"/>
              <w:rPr>
                <w:sz w:val="16"/>
              </w:rPr>
            </w:pPr>
            <w:r>
              <w:rPr>
                <w:w w:val="65"/>
                <w:sz w:val="16"/>
              </w:rPr>
              <w:t>1,191</w:t>
            </w:r>
          </w:p>
        </w:tc>
        <w:tc>
          <w:tcPr>
            <w:tcW w:w="1106" w:type="dxa"/>
            <w:shd w:val="clear" w:color="auto" w:fill="E9E9E9"/>
          </w:tcPr>
          <w:p>
            <w:pPr>
              <w:pStyle w:val="TableParagraph"/>
              <w:ind w:right="73"/>
              <w:rPr>
                <w:sz w:val="16"/>
              </w:rPr>
            </w:pPr>
            <w:r>
              <w:rPr>
                <w:w w:val="80"/>
                <w:sz w:val="16"/>
              </w:rPr>
              <w:t>2.7%</w:t>
            </w:r>
          </w:p>
        </w:tc>
        <w:tc>
          <w:tcPr>
            <w:tcW w:w="1106" w:type="dxa"/>
            <w:shd w:val="clear" w:color="auto" w:fill="E9E9E9"/>
          </w:tcPr>
          <w:p>
            <w:pPr>
              <w:pStyle w:val="TableParagraph"/>
              <w:ind w:right="73"/>
              <w:rPr>
                <w:sz w:val="16"/>
              </w:rPr>
            </w:pPr>
            <w:r>
              <w:rPr>
                <w:w w:val="85"/>
                <w:sz w:val="16"/>
              </w:rPr>
              <w:t>1,424</w:t>
            </w:r>
          </w:p>
        </w:tc>
        <w:tc>
          <w:tcPr>
            <w:tcW w:w="1106" w:type="dxa"/>
            <w:shd w:val="clear" w:color="auto" w:fill="E9E9E9"/>
          </w:tcPr>
          <w:p>
            <w:pPr>
              <w:pStyle w:val="TableParagraph"/>
              <w:ind w:right="68"/>
              <w:rPr>
                <w:sz w:val="16"/>
              </w:rPr>
            </w:pPr>
            <w:r>
              <w:rPr>
                <w:w w:val="80"/>
                <w:sz w:val="16"/>
              </w:rPr>
              <w:t>3.2%</w:t>
            </w:r>
          </w:p>
        </w:tc>
        <w:tc>
          <w:tcPr>
            <w:tcW w:w="1106" w:type="dxa"/>
            <w:shd w:val="clear" w:color="auto" w:fill="E9E9E9"/>
          </w:tcPr>
          <w:p>
            <w:pPr>
              <w:pStyle w:val="TableParagraph"/>
              <w:ind w:right="73"/>
              <w:rPr>
                <w:sz w:val="16"/>
              </w:rPr>
            </w:pPr>
            <w:r>
              <w:rPr>
                <w:w w:val="85"/>
                <w:sz w:val="16"/>
              </w:rPr>
              <w:t>1,643</w:t>
            </w:r>
          </w:p>
        </w:tc>
        <w:tc>
          <w:tcPr>
            <w:tcW w:w="1106" w:type="dxa"/>
            <w:shd w:val="clear" w:color="auto" w:fill="E9E9E9"/>
          </w:tcPr>
          <w:p>
            <w:pPr>
              <w:pStyle w:val="TableParagraph"/>
              <w:ind w:right="73"/>
              <w:rPr>
                <w:sz w:val="16"/>
              </w:rPr>
            </w:pPr>
            <w:r>
              <w:rPr>
                <w:w w:val="80"/>
                <w:sz w:val="16"/>
              </w:rPr>
              <w:t>3.7%</w:t>
            </w:r>
          </w:p>
        </w:tc>
      </w:tr>
      <w:tr>
        <w:trPr>
          <w:trHeight w:val="312" w:hRule="exact"/>
        </w:trPr>
        <w:tc>
          <w:tcPr>
            <w:tcW w:w="3458" w:type="dxa"/>
            <w:shd w:val="clear" w:color="auto" w:fill="E9E9E9"/>
          </w:tcPr>
          <w:p>
            <w:pPr>
              <w:pStyle w:val="TableParagraph"/>
              <w:ind w:left="74"/>
              <w:jc w:val="left"/>
              <w:rPr>
                <w:sz w:val="16"/>
              </w:rPr>
            </w:pPr>
            <w:r>
              <w:rPr>
                <w:sz w:val="16"/>
              </w:rPr>
              <w:t>Mixed Field Programmes</w:t>
            </w:r>
          </w:p>
        </w:tc>
        <w:tc>
          <w:tcPr>
            <w:tcW w:w="1106" w:type="dxa"/>
            <w:shd w:val="clear" w:color="auto" w:fill="E9E9E9"/>
          </w:tcPr>
          <w:p>
            <w:pPr>
              <w:pStyle w:val="TableParagraph"/>
              <w:ind w:right="73"/>
              <w:rPr>
                <w:sz w:val="16"/>
              </w:rPr>
            </w:pPr>
            <w:r>
              <w:rPr>
                <w:w w:val="85"/>
                <w:sz w:val="16"/>
              </w:rPr>
              <w:t>1,098</w:t>
            </w:r>
          </w:p>
        </w:tc>
        <w:tc>
          <w:tcPr>
            <w:tcW w:w="1106" w:type="dxa"/>
            <w:shd w:val="clear" w:color="auto" w:fill="E9E9E9"/>
          </w:tcPr>
          <w:p>
            <w:pPr>
              <w:pStyle w:val="TableParagraph"/>
              <w:ind w:right="72"/>
              <w:rPr>
                <w:sz w:val="16"/>
              </w:rPr>
            </w:pPr>
            <w:r>
              <w:rPr>
                <w:w w:val="80"/>
                <w:sz w:val="16"/>
              </w:rPr>
              <w:t>2.5%</w:t>
            </w:r>
          </w:p>
        </w:tc>
        <w:tc>
          <w:tcPr>
            <w:tcW w:w="1106" w:type="dxa"/>
            <w:shd w:val="clear" w:color="auto" w:fill="E9E9E9"/>
          </w:tcPr>
          <w:p>
            <w:pPr>
              <w:pStyle w:val="TableParagraph"/>
              <w:ind w:right="73"/>
              <w:rPr>
                <w:sz w:val="16"/>
              </w:rPr>
            </w:pPr>
            <w:r>
              <w:rPr>
                <w:sz w:val="16"/>
              </w:rPr>
              <w:t>790</w:t>
            </w:r>
          </w:p>
        </w:tc>
        <w:tc>
          <w:tcPr>
            <w:tcW w:w="1106" w:type="dxa"/>
            <w:shd w:val="clear" w:color="auto" w:fill="E9E9E9"/>
          </w:tcPr>
          <w:p>
            <w:pPr>
              <w:pStyle w:val="TableParagraph"/>
              <w:ind w:right="69"/>
              <w:rPr>
                <w:sz w:val="16"/>
              </w:rPr>
            </w:pPr>
            <w:r>
              <w:rPr>
                <w:w w:val="75"/>
                <w:sz w:val="16"/>
              </w:rPr>
              <w:t>1.8%</w:t>
            </w:r>
          </w:p>
        </w:tc>
        <w:tc>
          <w:tcPr>
            <w:tcW w:w="1106" w:type="dxa"/>
            <w:shd w:val="clear" w:color="auto" w:fill="E9E9E9"/>
          </w:tcPr>
          <w:p>
            <w:pPr>
              <w:pStyle w:val="TableParagraph"/>
              <w:ind w:right="80"/>
              <w:rPr>
                <w:sz w:val="16"/>
              </w:rPr>
            </w:pPr>
            <w:r>
              <w:rPr>
                <w:w w:val="95"/>
                <w:sz w:val="16"/>
              </w:rPr>
              <w:t>574</w:t>
            </w:r>
          </w:p>
        </w:tc>
        <w:tc>
          <w:tcPr>
            <w:tcW w:w="1106" w:type="dxa"/>
            <w:shd w:val="clear" w:color="auto" w:fill="E9E9E9"/>
          </w:tcPr>
          <w:p>
            <w:pPr>
              <w:pStyle w:val="TableParagraph"/>
              <w:ind w:right="71"/>
              <w:rPr>
                <w:sz w:val="16"/>
              </w:rPr>
            </w:pPr>
            <w:r>
              <w:rPr>
                <w:w w:val="70"/>
                <w:sz w:val="16"/>
              </w:rPr>
              <w:t>1.3%</w:t>
            </w:r>
          </w:p>
        </w:tc>
      </w:tr>
      <w:tr>
        <w:trPr>
          <w:trHeight w:val="312" w:hRule="exact"/>
        </w:trPr>
        <w:tc>
          <w:tcPr>
            <w:tcW w:w="3458" w:type="dxa"/>
            <w:shd w:val="clear" w:color="auto" w:fill="E9E9E9"/>
          </w:tcPr>
          <w:p>
            <w:pPr>
              <w:pStyle w:val="TableParagraph"/>
              <w:ind w:left="74"/>
              <w:jc w:val="left"/>
              <w:rPr>
                <w:sz w:val="16"/>
              </w:rPr>
            </w:pPr>
            <w:r>
              <w:rPr>
                <w:sz w:val="16"/>
              </w:rPr>
              <w:t>Agriculture, Environmental and Related Studies</w:t>
            </w:r>
          </w:p>
        </w:tc>
        <w:tc>
          <w:tcPr>
            <w:tcW w:w="1106" w:type="dxa"/>
            <w:shd w:val="clear" w:color="auto" w:fill="E9E9E9"/>
          </w:tcPr>
          <w:p>
            <w:pPr>
              <w:pStyle w:val="TableParagraph"/>
              <w:ind w:right="73"/>
              <w:rPr>
                <w:sz w:val="16"/>
              </w:rPr>
            </w:pPr>
            <w:r>
              <w:rPr>
                <w:w w:val="103"/>
                <w:sz w:val="16"/>
              </w:rPr>
              <w:t>4</w:t>
            </w:r>
          </w:p>
        </w:tc>
        <w:tc>
          <w:tcPr>
            <w:tcW w:w="1106" w:type="dxa"/>
            <w:shd w:val="clear" w:color="auto" w:fill="E9E9E9"/>
          </w:tcPr>
          <w:p>
            <w:pPr>
              <w:pStyle w:val="TableParagraph"/>
              <w:ind w:right="73"/>
              <w:rPr>
                <w:sz w:val="16"/>
              </w:rPr>
            </w:pPr>
            <w:r>
              <w:rPr>
                <w:w w:val="90"/>
                <w:sz w:val="16"/>
              </w:rPr>
              <w:t>0.0%</w:t>
            </w:r>
          </w:p>
        </w:tc>
        <w:tc>
          <w:tcPr>
            <w:tcW w:w="1106" w:type="dxa"/>
            <w:shd w:val="clear" w:color="auto" w:fill="E9E9E9"/>
          </w:tcPr>
          <w:p>
            <w:pPr>
              <w:pStyle w:val="TableParagraph"/>
              <w:ind w:right="73"/>
              <w:rPr>
                <w:sz w:val="16"/>
              </w:rPr>
            </w:pPr>
            <w:r>
              <w:rPr>
                <w:w w:val="101"/>
                <w:sz w:val="16"/>
              </w:rPr>
              <w:t>6</w:t>
            </w:r>
          </w:p>
        </w:tc>
        <w:tc>
          <w:tcPr>
            <w:tcW w:w="1106" w:type="dxa"/>
            <w:shd w:val="clear" w:color="auto" w:fill="E9E9E9"/>
          </w:tcPr>
          <w:p>
            <w:pPr>
              <w:pStyle w:val="TableParagraph"/>
              <w:ind w:right="73"/>
              <w:rPr>
                <w:sz w:val="16"/>
              </w:rPr>
            </w:pPr>
            <w:r>
              <w:rPr>
                <w:w w:val="90"/>
                <w:sz w:val="16"/>
              </w:rPr>
              <w:t>0.0%</w:t>
            </w:r>
          </w:p>
        </w:tc>
        <w:tc>
          <w:tcPr>
            <w:tcW w:w="1106" w:type="dxa"/>
            <w:shd w:val="clear" w:color="auto" w:fill="E9E9E9"/>
          </w:tcPr>
          <w:p>
            <w:pPr>
              <w:pStyle w:val="TableParagraph"/>
              <w:ind w:right="70"/>
              <w:rPr>
                <w:sz w:val="16"/>
              </w:rPr>
            </w:pPr>
            <w:r>
              <w:rPr>
                <w:w w:val="95"/>
                <w:sz w:val="16"/>
              </w:rPr>
              <w:t>28</w:t>
            </w:r>
          </w:p>
        </w:tc>
        <w:tc>
          <w:tcPr>
            <w:tcW w:w="1106" w:type="dxa"/>
            <w:shd w:val="clear" w:color="auto" w:fill="E9E9E9"/>
          </w:tcPr>
          <w:p>
            <w:pPr>
              <w:pStyle w:val="TableParagraph"/>
              <w:ind w:right="70"/>
              <w:rPr>
                <w:sz w:val="16"/>
              </w:rPr>
            </w:pPr>
            <w:r>
              <w:rPr>
                <w:w w:val="75"/>
                <w:sz w:val="16"/>
              </w:rPr>
              <w:t>0.1%</w:t>
            </w:r>
          </w:p>
        </w:tc>
      </w:tr>
      <w:tr>
        <w:trPr>
          <w:trHeight w:val="312" w:hRule="exact"/>
        </w:trPr>
        <w:tc>
          <w:tcPr>
            <w:tcW w:w="3458" w:type="dxa"/>
            <w:shd w:val="clear" w:color="auto" w:fill="E9E9E9"/>
          </w:tcPr>
          <w:p>
            <w:pPr>
              <w:pStyle w:val="TableParagraph"/>
              <w:ind w:left="75"/>
              <w:jc w:val="left"/>
              <w:rPr>
                <w:sz w:val="16"/>
              </w:rPr>
            </w:pPr>
            <w:r>
              <w:rPr>
                <w:sz w:val="16"/>
              </w:rPr>
              <w:t>Non-award course</w:t>
            </w:r>
          </w:p>
        </w:tc>
        <w:tc>
          <w:tcPr>
            <w:tcW w:w="1106" w:type="dxa"/>
            <w:shd w:val="clear" w:color="auto" w:fill="E9E9E9"/>
          </w:tcPr>
          <w:p>
            <w:pPr>
              <w:pStyle w:val="TableParagraph"/>
              <w:ind w:right="72"/>
              <w:rPr>
                <w:sz w:val="16"/>
              </w:rPr>
            </w:pPr>
            <w:r>
              <w:rPr>
                <w:w w:val="95"/>
                <w:sz w:val="16"/>
              </w:rPr>
              <w:t>256</w:t>
            </w:r>
          </w:p>
        </w:tc>
        <w:tc>
          <w:tcPr>
            <w:tcW w:w="1106" w:type="dxa"/>
            <w:shd w:val="clear" w:color="auto" w:fill="E9E9E9"/>
          </w:tcPr>
          <w:p>
            <w:pPr>
              <w:pStyle w:val="TableParagraph"/>
              <w:ind w:right="72"/>
              <w:rPr>
                <w:sz w:val="16"/>
              </w:rPr>
            </w:pPr>
            <w:r>
              <w:rPr>
                <w:w w:val="85"/>
                <w:sz w:val="16"/>
              </w:rPr>
              <w:t>0.6%</w:t>
            </w:r>
          </w:p>
        </w:tc>
        <w:tc>
          <w:tcPr>
            <w:tcW w:w="1106" w:type="dxa"/>
            <w:shd w:val="clear" w:color="auto" w:fill="E9E9E9"/>
          </w:tcPr>
          <w:p>
            <w:pPr>
              <w:pStyle w:val="TableParagraph"/>
              <w:ind w:right="73"/>
              <w:rPr>
                <w:sz w:val="16"/>
              </w:rPr>
            </w:pPr>
            <w:r>
              <w:rPr>
                <w:w w:val="95"/>
                <w:sz w:val="16"/>
              </w:rPr>
              <w:t>278</w:t>
            </w:r>
          </w:p>
        </w:tc>
        <w:tc>
          <w:tcPr>
            <w:tcW w:w="1106" w:type="dxa"/>
            <w:shd w:val="clear" w:color="auto" w:fill="E9E9E9"/>
          </w:tcPr>
          <w:p>
            <w:pPr>
              <w:pStyle w:val="TableParagraph"/>
              <w:ind w:right="72"/>
              <w:rPr>
                <w:sz w:val="16"/>
              </w:rPr>
            </w:pPr>
            <w:r>
              <w:rPr>
                <w:w w:val="85"/>
                <w:sz w:val="16"/>
              </w:rPr>
              <w:t>0.6%</w:t>
            </w:r>
          </w:p>
        </w:tc>
        <w:tc>
          <w:tcPr>
            <w:tcW w:w="1106" w:type="dxa"/>
            <w:shd w:val="clear" w:color="auto" w:fill="E9E9E9"/>
          </w:tcPr>
          <w:p>
            <w:pPr>
              <w:pStyle w:val="TableParagraph"/>
              <w:ind w:right="73"/>
              <w:rPr>
                <w:sz w:val="16"/>
              </w:rPr>
            </w:pPr>
            <w:r>
              <w:rPr>
                <w:w w:val="85"/>
                <w:sz w:val="16"/>
              </w:rPr>
              <w:t>164</w:t>
            </w:r>
          </w:p>
        </w:tc>
        <w:tc>
          <w:tcPr>
            <w:tcW w:w="1106" w:type="dxa"/>
            <w:shd w:val="clear" w:color="auto" w:fill="E9E9E9"/>
          </w:tcPr>
          <w:p>
            <w:pPr>
              <w:pStyle w:val="TableParagraph"/>
              <w:ind w:right="73"/>
              <w:rPr>
                <w:sz w:val="16"/>
              </w:rPr>
            </w:pPr>
            <w:r>
              <w:rPr>
                <w:w w:val="85"/>
                <w:sz w:val="16"/>
              </w:rPr>
              <w:t>0.4%</w:t>
            </w:r>
          </w:p>
        </w:tc>
      </w:tr>
      <w:tr>
        <w:trPr>
          <w:trHeight w:val="312" w:hRule="exact"/>
        </w:trPr>
        <w:tc>
          <w:tcPr>
            <w:tcW w:w="3458" w:type="dxa"/>
            <w:shd w:val="clear" w:color="auto" w:fill="E9E9E9"/>
          </w:tcPr>
          <w:p>
            <w:pPr>
              <w:pStyle w:val="TableParagraph"/>
              <w:spacing w:before="63"/>
              <w:ind w:left="75"/>
              <w:jc w:val="left"/>
              <w:rPr>
                <w:rFonts w:ascii="Calibri"/>
                <w:sz w:val="16"/>
              </w:rPr>
            </w:pPr>
            <w:r>
              <w:rPr>
                <w:rFonts w:ascii="Calibri"/>
                <w:w w:val="110"/>
                <w:sz w:val="16"/>
              </w:rPr>
              <w:t>Total</w:t>
            </w:r>
          </w:p>
        </w:tc>
        <w:tc>
          <w:tcPr>
            <w:tcW w:w="1106" w:type="dxa"/>
            <w:shd w:val="clear" w:color="auto" w:fill="E9E9E9"/>
          </w:tcPr>
          <w:p>
            <w:pPr>
              <w:pStyle w:val="TableParagraph"/>
              <w:spacing w:before="63"/>
              <w:ind w:right="73"/>
              <w:rPr>
                <w:rFonts w:ascii="Calibri"/>
                <w:sz w:val="16"/>
              </w:rPr>
            </w:pPr>
            <w:r>
              <w:rPr>
                <w:rFonts w:ascii="Calibri"/>
                <w:w w:val="105"/>
                <w:sz w:val="16"/>
              </w:rPr>
              <w:t>43,916</w:t>
            </w:r>
          </w:p>
        </w:tc>
        <w:tc>
          <w:tcPr>
            <w:tcW w:w="1106" w:type="dxa"/>
            <w:shd w:val="clear" w:color="auto" w:fill="E9E9E9"/>
          </w:tcPr>
          <w:p>
            <w:pPr>
              <w:pStyle w:val="TableParagraph"/>
              <w:spacing w:before="63"/>
              <w:ind w:right="72"/>
              <w:rPr>
                <w:rFonts w:ascii="Calibri"/>
                <w:sz w:val="16"/>
              </w:rPr>
            </w:pPr>
            <w:r>
              <w:rPr>
                <w:rFonts w:ascii="Calibri"/>
                <w:w w:val="110"/>
                <w:sz w:val="16"/>
              </w:rPr>
              <w:t>100.0%</w:t>
            </w:r>
          </w:p>
        </w:tc>
        <w:tc>
          <w:tcPr>
            <w:tcW w:w="1106" w:type="dxa"/>
            <w:shd w:val="clear" w:color="auto" w:fill="E9E9E9"/>
          </w:tcPr>
          <w:p>
            <w:pPr>
              <w:pStyle w:val="TableParagraph"/>
              <w:spacing w:before="63"/>
              <w:ind w:right="72"/>
              <w:rPr>
                <w:rFonts w:ascii="Calibri"/>
                <w:sz w:val="16"/>
              </w:rPr>
            </w:pPr>
            <w:r>
              <w:rPr>
                <w:rFonts w:ascii="Calibri"/>
                <w:w w:val="105"/>
                <w:sz w:val="16"/>
              </w:rPr>
              <w:t>44,919</w:t>
            </w:r>
          </w:p>
        </w:tc>
        <w:tc>
          <w:tcPr>
            <w:tcW w:w="1106" w:type="dxa"/>
            <w:shd w:val="clear" w:color="auto" w:fill="E9E9E9"/>
          </w:tcPr>
          <w:p>
            <w:pPr>
              <w:pStyle w:val="TableParagraph"/>
              <w:spacing w:before="63"/>
              <w:ind w:right="72"/>
              <w:rPr>
                <w:rFonts w:ascii="Calibri"/>
                <w:sz w:val="16"/>
              </w:rPr>
            </w:pPr>
            <w:r>
              <w:rPr>
                <w:rFonts w:ascii="Calibri"/>
                <w:w w:val="110"/>
                <w:sz w:val="16"/>
              </w:rPr>
              <w:t>100.0%</w:t>
            </w:r>
          </w:p>
        </w:tc>
        <w:tc>
          <w:tcPr>
            <w:tcW w:w="1106" w:type="dxa"/>
            <w:shd w:val="clear" w:color="auto" w:fill="E9E9E9"/>
          </w:tcPr>
          <w:p>
            <w:pPr>
              <w:pStyle w:val="TableParagraph"/>
              <w:spacing w:before="63"/>
              <w:ind w:right="72"/>
              <w:rPr>
                <w:rFonts w:ascii="Calibri"/>
                <w:sz w:val="16"/>
              </w:rPr>
            </w:pPr>
            <w:r>
              <w:rPr>
                <w:rFonts w:ascii="Calibri"/>
                <w:w w:val="105"/>
                <w:sz w:val="16"/>
              </w:rPr>
              <w:t>44,451</w:t>
            </w:r>
          </w:p>
        </w:tc>
        <w:tc>
          <w:tcPr>
            <w:tcW w:w="1106" w:type="dxa"/>
            <w:shd w:val="clear" w:color="auto" w:fill="E9E9E9"/>
          </w:tcPr>
          <w:p>
            <w:pPr>
              <w:pStyle w:val="TableParagraph"/>
              <w:spacing w:before="63"/>
              <w:ind w:right="72"/>
              <w:rPr>
                <w:rFonts w:ascii="Calibri"/>
                <w:sz w:val="16"/>
              </w:rPr>
            </w:pPr>
            <w:r>
              <w:rPr>
                <w:rFonts w:ascii="Calibri"/>
                <w:w w:val="110"/>
                <w:sz w:val="16"/>
              </w:rPr>
              <w:t>100.0%</w:t>
            </w:r>
          </w:p>
        </w:tc>
      </w:tr>
    </w:tbl>
    <w:p>
      <w:pPr>
        <w:pStyle w:val="BodyText"/>
        <w:spacing w:before="64"/>
        <w:ind w:left="347" w:right="503"/>
      </w:pPr>
      <w:r>
        <w:rPr/>
        <w:t>(Source: Enrolment submissions to the Department of Education and Training)</w:t>
      </w:r>
    </w:p>
    <w:p>
      <w:pPr>
        <w:pStyle w:val="BodyText"/>
        <w:spacing w:before="9"/>
        <w:rPr>
          <w:sz w:val="17"/>
        </w:rPr>
      </w:pPr>
    </w:p>
    <w:p>
      <w:pPr>
        <w:pStyle w:val="Heading7"/>
        <w:ind w:left="327" w:right="5978"/>
      </w:pPr>
      <w:r>
        <w:rPr>
          <w:color w:val="615C58"/>
        </w:rPr>
        <w:t>Table 6: Student Headcount by Campus, 2014 – 2016 (p)</w:t>
      </w:r>
    </w:p>
    <w:p>
      <w:pPr>
        <w:pStyle w:val="BodyText"/>
        <w:spacing w:before="11"/>
        <w:rPr>
          <w:rFonts w:ascii="Gotham Narrow Bold"/>
          <w:b/>
          <w:sz w:val="10"/>
        </w:rPr>
      </w:pPr>
    </w:p>
    <w:tbl>
      <w:tblPr>
        <w:tblW w:w="0" w:type="auto"/>
        <w:jc w:val="left"/>
        <w:tblInd w:w="332"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458"/>
        <w:gridCol w:w="1106"/>
        <w:gridCol w:w="1106"/>
        <w:gridCol w:w="1106"/>
        <w:gridCol w:w="1106"/>
        <w:gridCol w:w="1106"/>
        <w:gridCol w:w="1106"/>
      </w:tblGrid>
      <w:tr>
        <w:trPr>
          <w:trHeight w:val="312" w:hRule="exact"/>
        </w:trPr>
        <w:tc>
          <w:tcPr>
            <w:tcW w:w="3458" w:type="dxa"/>
            <w:tcBorders>
              <w:top w:val="nil"/>
              <w:left w:val="nil"/>
              <w:bottom w:val="nil"/>
              <w:right w:val="nil"/>
            </w:tcBorders>
            <w:shd w:val="clear" w:color="auto" w:fill="949290"/>
          </w:tcPr>
          <w:p>
            <w:pPr>
              <w:pStyle w:val="TableParagraph"/>
              <w:spacing w:before="66"/>
              <w:ind w:left="80"/>
              <w:jc w:val="left"/>
              <w:rPr>
                <w:rFonts w:ascii="Gotham Narrow Bold"/>
                <w:b/>
                <w:sz w:val="16"/>
              </w:rPr>
            </w:pPr>
            <w:r>
              <w:rPr>
                <w:rFonts w:ascii="Gotham Narrow Bold"/>
                <w:b/>
                <w:color w:val="FFFFFF"/>
                <w:sz w:val="16"/>
              </w:rPr>
              <w:t>CAMPUS</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674"/>
              <w:jc w:val="left"/>
              <w:rPr>
                <w:rFonts w:ascii="Gotham Narrow Bold"/>
                <w:b/>
                <w:sz w:val="16"/>
              </w:rPr>
            </w:pPr>
            <w:r>
              <w:rPr>
                <w:rFonts w:ascii="Gotham Narrow Bold"/>
                <w:b/>
                <w:color w:val="FFFFFF"/>
                <w:sz w:val="16"/>
              </w:rPr>
              <w:t>2014</w:t>
              <w:tab/>
              <w:t>%</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682"/>
              <w:jc w:val="left"/>
              <w:rPr>
                <w:rFonts w:ascii="Gotham Narrow Bold"/>
                <w:b/>
                <w:sz w:val="16"/>
              </w:rPr>
            </w:pPr>
            <w:r>
              <w:rPr>
                <w:rFonts w:ascii="Gotham Narrow Bold"/>
                <w:b/>
                <w:color w:val="FFFFFF"/>
                <w:sz w:val="16"/>
              </w:rPr>
              <w:t>2015</w:t>
              <w:tab/>
              <w:t>%</w:t>
            </w:r>
          </w:p>
        </w:tc>
        <w:tc>
          <w:tcPr>
            <w:tcW w:w="2211" w:type="dxa"/>
            <w:gridSpan w:val="2"/>
            <w:tcBorders>
              <w:top w:val="nil"/>
              <w:left w:val="nil"/>
              <w:bottom w:val="nil"/>
              <w:right w:val="nil"/>
            </w:tcBorders>
            <w:shd w:val="clear" w:color="auto" w:fill="949290"/>
          </w:tcPr>
          <w:p>
            <w:pPr>
              <w:pStyle w:val="TableParagraph"/>
              <w:tabs>
                <w:tab w:pos="2007" w:val="left" w:leader="none"/>
              </w:tabs>
              <w:spacing w:before="66"/>
              <w:ind w:left="420"/>
              <w:jc w:val="left"/>
              <w:rPr>
                <w:rFonts w:ascii="Gotham Narrow Bold"/>
                <w:b/>
                <w:sz w:val="16"/>
              </w:rPr>
            </w:pPr>
            <w:r>
              <w:rPr>
                <w:rFonts w:ascii="Gotham Narrow Bold"/>
                <w:b/>
                <w:color w:val="FFFFFF"/>
                <w:sz w:val="16"/>
              </w:rPr>
              <w:t>2016</w:t>
            </w:r>
            <w:r>
              <w:rPr>
                <w:rFonts w:ascii="Gotham Narrow Bold"/>
                <w:b/>
                <w:color w:val="FFFFFF"/>
                <w:spacing w:val="-13"/>
                <w:sz w:val="16"/>
              </w:rPr>
              <w:t> </w:t>
            </w:r>
            <w:r>
              <w:rPr>
                <w:rFonts w:ascii="Gotham Narrow Bold"/>
                <w:b/>
                <w:color w:val="FFFFFF"/>
                <w:sz w:val="16"/>
              </w:rPr>
              <w:t>(p)</w:t>
              <w:tab/>
              <w:t>%</w:t>
            </w:r>
          </w:p>
        </w:tc>
      </w:tr>
      <w:tr>
        <w:trPr>
          <w:trHeight w:val="312" w:hRule="exact"/>
        </w:trPr>
        <w:tc>
          <w:tcPr>
            <w:tcW w:w="3458" w:type="dxa"/>
            <w:tcBorders>
              <w:top w:val="nil"/>
            </w:tcBorders>
            <w:shd w:val="clear" w:color="auto" w:fill="E9E9E9"/>
          </w:tcPr>
          <w:p>
            <w:pPr>
              <w:pStyle w:val="TableParagraph"/>
              <w:spacing w:before="60"/>
              <w:ind w:left="75"/>
              <w:jc w:val="left"/>
              <w:rPr>
                <w:sz w:val="16"/>
              </w:rPr>
            </w:pPr>
            <w:r>
              <w:rPr>
                <w:sz w:val="16"/>
              </w:rPr>
              <w:t>Bankstown</w:t>
            </w:r>
          </w:p>
        </w:tc>
        <w:tc>
          <w:tcPr>
            <w:tcW w:w="1106" w:type="dxa"/>
            <w:tcBorders>
              <w:top w:val="nil"/>
            </w:tcBorders>
            <w:shd w:val="clear" w:color="auto" w:fill="E9E9E9"/>
          </w:tcPr>
          <w:p>
            <w:pPr>
              <w:pStyle w:val="TableParagraph"/>
              <w:spacing w:before="60"/>
              <w:ind w:right="72"/>
              <w:rPr>
                <w:sz w:val="16"/>
              </w:rPr>
            </w:pPr>
            <w:r>
              <w:rPr>
                <w:w w:val="90"/>
                <w:sz w:val="16"/>
              </w:rPr>
              <w:t>7,703</w:t>
            </w:r>
          </w:p>
        </w:tc>
        <w:tc>
          <w:tcPr>
            <w:tcW w:w="1106" w:type="dxa"/>
            <w:tcBorders>
              <w:top w:val="nil"/>
            </w:tcBorders>
            <w:shd w:val="clear" w:color="auto" w:fill="E9E9E9"/>
          </w:tcPr>
          <w:p>
            <w:pPr>
              <w:pStyle w:val="TableParagraph"/>
              <w:spacing w:before="60"/>
              <w:ind w:right="71"/>
              <w:rPr>
                <w:sz w:val="16"/>
              </w:rPr>
            </w:pPr>
            <w:r>
              <w:rPr>
                <w:w w:val="75"/>
                <w:sz w:val="16"/>
              </w:rPr>
              <w:t>17.5%</w:t>
            </w:r>
          </w:p>
        </w:tc>
        <w:tc>
          <w:tcPr>
            <w:tcW w:w="1106" w:type="dxa"/>
            <w:tcBorders>
              <w:top w:val="nil"/>
            </w:tcBorders>
            <w:shd w:val="clear" w:color="auto" w:fill="E9E9E9"/>
          </w:tcPr>
          <w:p>
            <w:pPr>
              <w:pStyle w:val="TableParagraph"/>
              <w:spacing w:before="60"/>
              <w:ind w:right="72"/>
              <w:rPr>
                <w:sz w:val="16"/>
              </w:rPr>
            </w:pPr>
            <w:r>
              <w:rPr>
                <w:w w:val="85"/>
                <w:sz w:val="16"/>
              </w:rPr>
              <w:t>8,183</w:t>
            </w:r>
          </w:p>
        </w:tc>
        <w:tc>
          <w:tcPr>
            <w:tcW w:w="1106" w:type="dxa"/>
            <w:tcBorders>
              <w:top w:val="nil"/>
            </w:tcBorders>
            <w:shd w:val="clear" w:color="auto" w:fill="E9E9E9"/>
          </w:tcPr>
          <w:p>
            <w:pPr>
              <w:pStyle w:val="TableParagraph"/>
              <w:spacing w:before="60"/>
              <w:ind w:right="68"/>
              <w:rPr>
                <w:sz w:val="16"/>
              </w:rPr>
            </w:pPr>
            <w:r>
              <w:rPr>
                <w:w w:val="75"/>
                <w:sz w:val="16"/>
              </w:rPr>
              <w:t>18.2%</w:t>
            </w:r>
          </w:p>
        </w:tc>
        <w:tc>
          <w:tcPr>
            <w:tcW w:w="1106" w:type="dxa"/>
            <w:tcBorders>
              <w:top w:val="nil"/>
            </w:tcBorders>
            <w:shd w:val="clear" w:color="auto" w:fill="E9E9E9"/>
          </w:tcPr>
          <w:p>
            <w:pPr>
              <w:pStyle w:val="TableParagraph"/>
              <w:spacing w:before="60"/>
              <w:ind w:right="72"/>
              <w:rPr>
                <w:sz w:val="16"/>
              </w:rPr>
            </w:pPr>
            <w:r>
              <w:rPr>
                <w:w w:val="85"/>
                <w:sz w:val="16"/>
              </w:rPr>
              <w:t>8,165</w:t>
            </w:r>
          </w:p>
        </w:tc>
        <w:tc>
          <w:tcPr>
            <w:tcW w:w="1106" w:type="dxa"/>
            <w:tcBorders>
              <w:top w:val="nil"/>
            </w:tcBorders>
            <w:shd w:val="clear" w:color="auto" w:fill="E9E9E9"/>
          </w:tcPr>
          <w:p>
            <w:pPr>
              <w:pStyle w:val="TableParagraph"/>
              <w:spacing w:before="60"/>
              <w:ind w:right="73"/>
              <w:rPr>
                <w:sz w:val="16"/>
              </w:rPr>
            </w:pPr>
            <w:r>
              <w:rPr>
                <w:w w:val="80"/>
                <w:sz w:val="16"/>
              </w:rPr>
              <w:t>18.4%</w:t>
            </w:r>
          </w:p>
        </w:tc>
      </w:tr>
      <w:tr>
        <w:trPr>
          <w:trHeight w:val="312" w:hRule="exact"/>
        </w:trPr>
        <w:tc>
          <w:tcPr>
            <w:tcW w:w="3458" w:type="dxa"/>
            <w:shd w:val="clear" w:color="auto" w:fill="E9E9E9"/>
          </w:tcPr>
          <w:p>
            <w:pPr>
              <w:pStyle w:val="TableParagraph"/>
              <w:ind w:left="74"/>
              <w:jc w:val="left"/>
              <w:rPr>
                <w:sz w:val="16"/>
              </w:rPr>
            </w:pPr>
            <w:r>
              <w:rPr>
                <w:sz w:val="16"/>
              </w:rPr>
              <w:t>Blacktown (Nirimba)</w:t>
            </w:r>
          </w:p>
        </w:tc>
        <w:tc>
          <w:tcPr>
            <w:tcW w:w="1106" w:type="dxa"/>
            <w:shd w:val="clear" w:color="auto" w:fill="E9E9E9"/>
          </w:tcPr>
          <w:p>
            <w:pPr>
              <w:pStyle w:val="TableParagraph"/>
              <w:ind w:right="73"/>
              <w:rPr>
                <w:sz w:val="16"/>
              </w:rPr>
            </w:pPr>
            <w:r>
              <w:rPr>
                <w:w w:val="85"/>
                <w:sz w:val="16"/>
              </w:rPr>
              <w:t>1,864</w:t>
            </w:r>
          </w:p>
        </w:tc>
        <w:tc>
          <w:tcPr>
            <w:tcW w:w="1106" w:type="dxa"/>
            <w:shd w:val="clear" w:color="auto" w:fill="E9E9E9"/>
          </w:tcPr>
          <w:p>
            <w:pPr>
              <w:pStyle w:val="TableParagraph"/>
              <w:ind w:right="73"/>
              <w:rPr>
                <w:sz w:val="16"/>
              </w:rPr>
            </w:pPr>
            <w:r>
              <w:rPr>
                <w:w w:val="85"/>
                <w:sz w:val="16"/>
              </w:rPr>
              <w:t>4.2%</w:t>
            </w:r>
          </w:p>
        </w:tc>
        <w:tc>
          <w:tcPr>
            <w:tcW w:w="1106" w:type="dxa"/>
            <w:shd w:val="clear" w:color="auto" w:fill="E9E9E9"/>
          </w:tcPr>
          <w:p>
            <w:pPr>
              <w:pStyle w:val="TableParagraph"/>
              <w:ind w:right="71"/>
              <w:rPr>
                <w:sz w:val="16"/>
              </w:rPr>
            </w:pPr>
            <w:r>
              <w:rPr>
                <w:w w:val="90"/>
                <w:sz w:val="16"/>
              </w:rPr>
              <w:t>2,257</w:t>
            </w:r>
          </w:p>
        </w:tc>
        <w:tc>
          <w:tcPr>
            <w:tcW w:w="1106" w:type="dxa"/>
            <w:shd w:val="clear" w:color="auto" w:fill="E9E9E9"/>
          </w:tcPr>
          <w:p>
            <w:pPr>
              <w:pStyle w:val="TableParagraph"/>
              <w:ind w:right="73"/>
              <w:rPr>
                <w:sz w:val="16"/>
              </w:rPr>
            </w:pPr>
            <w:r>
              <w:rPr>
                <w:w w:val="90"/>
                <w:sz w:val="16"/>
              </w:rPr>
              <w:t>5.0%</w:t>
            </w:r>
          </w:p>
        </w:tc>
        <w:tc>
          <w:tcPr>
            <w:tcW w:w="1106" w:type="dxa"/>
            <w:shd w:val="clear" w:color="auto" w:fill="E9E9E9"/>
          </w:tcPr>
          <w:p>
            <w:pPr>
              <w:pStyle w:val="TableParagraph"/>
              <w:ind w:right="72"/>
              <w:rPr>
                <w:sz w:val="16"/>
              </w:rPr>
            </w:pPr>
            <w:r>
              <w:rPr>
                <w:w w:val="95"/>
                <w:sz w:val="16"/>
              </w:rPr>
              <w:t>2,062</w:t>
            </w:r>
          </w:p>
        </w:tc>
        <w:tc>
          <w:tcPr>
            <w:tcW w:w="1106" w:type="dxa"/>
            <w:shd w:val="clear" w:color="auto" w:fill="E9E9E9"/>
          </w:tcPr>
          <w:p>
            <w:pPr>
              <w:pStyle w:val="TableParagraph"/>
              <w:ind w:right="72"/>
              <w:rPr>
                <w:sz w:val="16"/>
              </w:rPr>
            </w:pPr>
            <w:r>
              <w:rPr>
                <w:w w:val="85"/>
                <w:sz w:val="16"/>
              </w:rPr>
              <w:t>4.6%</w:t>
            </w:r>
          </w:p>
        </w:tc>
      </w:tr>
      <w:tr>
        <w:trPr>
          <w:trHeight w:val="312" w:hRule="exact"/>
        </w:trPr>
        <w:tc>
          <w:tcPr>
            <w:tcW w:w="3458" w:type="dxa"/>
            <w:shd w:val="clear" w:color="auto" w:fill="E9E9E9"/>
          </w:tcPr>
          <w:p>
            <w:pPr>
              <w:pStyle w:val="TableParagraph"/>
              <w:ind w:left="74"/>
              <w:jc w:val="left"/>
              <w:rPr>
                <w:sz w:val="16"/>
              </w:rPr>
            </w:pPr>
            <w:r>
              <w:rPr>
                <w:sz w:val="16"/>
              </w:rPr>
              <w:t>Campbelltown</w:t>
            </w:r>
          </w:p>
        </w:tc>
        <w:tc>
          <w:tcPr>
            <w:tcW w:w="1106" w:type="dxa"/>
            <w:shd w:val="clear" w:color="auto" w:fill="E9E9E9"/>
          </w:tcPr>
          <w:p>
            <w:pPr>
              <w:pStyle w:val="TableParagraph"/>
              <w:ind w:right="73"/>
              <w:rPr>
                <w:sz w:val="16"/>
              </w:rPr>
            </w:pPr>
            <w:r>
              <w:rPr>
                <w:w w:val="85"/>
                <w:sz w:val="16"/>
              </w:rPr>
              <w:t>7,149</w:t>
            </w:r>
          </w:p>
        </w:tc>
        <w:tc>
          <w:tcPr>
            <w:tcW w:w="1106" w:type="dxa"/>
            <w:shd w:val="clear" w:color="auto" w:fill="E9E9E9"/>
          </w:tcPr>
          <w:p>
            <w:pPr>
              <w:pStyle w:val="TableParagraph"/>
              <w:ind w:right="71"/>
              <w:rPr>
                <w:sz w:val="16"/>
              </w:rPr>
            </w:pPr>
            <w:r>
              <w:rPr>
                <w:w w:val="75"/>
                <w:sz w:val="16"/>
              </w:rPr>
              <w:t>16.3%</w:t>
            </w:r>
          </w:p>
        </w:tc>
        <w:tc>
          <w:tcPr>
            <w:tcW w:w="1106" w:type="dxa"/>
            <w:shd w:val="clear" w:color="auto" w:fill="E9E9E9"/>
          </w:tcPr>
          <w:p>
            <w:pPr>
              <w:pStyle w:val="TableParagraph"/>
              <w:ind w:right="73"/>
              <w:rPr>
                <w:sz w:val="16"/>
              </w:rPr>
            </w:pPr>
            <w:r>
              <w:rPr>
                <w:w w:val="95"/>
                <w:sz w:val="16"/>
              </w:rPr>
              <w:t>7,208</w:t>
            </w:r>
          </w:p>
        </w:tc>
        <w:tc>
          <w:tcPr>
            <w:tcW w:w="1106" w:type="dxa"/>
            <w:shd w:val="clear" w:color="auto" w:fill="E9E9E9"/>
          </w:tcPr>
          <w:p>
            <w:pPr>
              <w:pStyle w:val="TableParagraph"/>
              <w:ind w:right="73"/>
              <w:rPr>
                <w:sz w:val="16"/>
              </w:rPr>
            </w:pPr>
            <w:r>
              <w:rPr>
                <w:w w:val="80"/>
                <w:sz w:val="16"/>
              </w:rPr>
              <w:t>16.0%</w:t>
            </w:r>
          </w:p>
        </w:tc>
        <w:tc>
          <w:tcPr>
            <w:tcW w:w="1106" w:type="dxa"/>
            <w:shd w:val="clear" w:color="auto" w:fill="E9E9E9"/>
          </w:tcPr>
          <w:p>
            <w:pPr>
              <w:pStyle w:val="TableParagraph"/>
              <w:ind w:right="73"/>
              <w:rPr>
                <w:sz w:val="16"/>
              </w:rPr>
            </w:pPr>
            <w:r>
              <w:rPr>
                <w:w w:val="95"/>
                <w:sz w:val="16"/>
              </w:rPr>
              <w:t>7,020</w:t>
            </w:r>
          </w:p>
        </w:tc>
        <w:tc>
          <w:tcPr>
            <w:tcW w:w="1106" w:type="dxa"/>
            <w:shd w:val="clear" w:color="auto" w:fill="E9E9E9"/>
          </w:tcPr>
          <w:p>
            <w:pPr>
              <w:pStyle w:val="TableParagraph"/>
              <w:ind w:right="73"/>
              <w:rPr>
                <w:sz w:val="16"/>
              </w:rPr>
            </w:pPr>
            <w:r>
              <w:rPr>
                <w:w w:val="75"/>
                <w:sz w:val="16"/>
              </w:rPr>
              <w:t>15.8%</w:t>
            </w:r>
          </w:p>
        </w:tc>
      </w:tr>
      <w:tr>
        <w:trPr>
          <w:trHeight w:val="312" w:hRule="exact"/>
        </w:trPr>
        <w:tc>
          <w:tcPr>
            <w:tcW w:w="3458" w:type="dxa"/>
            <w:shd w:val="clear" w:color="auto" w:fill="E9E9E9"/>
          </w:tcPr>
          <w:p>
            <w:pPr>
              <w:pStyle w:val="TableParagraph"/>
              <w:ind w:left="74"/>
              <w:jc w:val="left"/>
              <w:rPr>
                <w:sz w:val="16"/>
              </w:rPr>
            </w:pPr>
            <w:r>
              <w:rPr>
                <w:sz w:val="16"/>
              </w:rPr>
              <w:t>Hawkesbury</w:t>
            </w:r>
          </w:p>
        </w:tc>
        <w:tc>
          <w:tcPr>
            <w:tcW w:w="1106" w:type="dxa"/>
            <w:shd w:val="clear" w:color="auto" w:fill="E9E9E9"/>
          </w:tcPr>
          <w:p>
            <w:pPr>
              <w:pStyle w:val="TableParagraph"/>
              <w:ind w:right="73"/>
              <w:rPr>
                <w:sz w:val="16"/>
              </w:rPr>
            </w:pPr>
            <w:r>
              <w:rPr>
                <w:w w:val="80"/>
                <w:sz w:val="16"/>
              </w:rPr>
              <w:t>2,718</w:t>
            </w:r>
          </w:p>
        </w:tc>
        <w:tc>
          <w:tcPr>
            <w:tcW w:w="1106" w:type="dxa"/>
            <w:shd w:val="clear" w:color="auto" w:fill="E9E9E9"/>
          </w:tcPr>
          <w:p>
            <w:pPr>
              <w:pStyle w:val="TableParagraph"/>
              <w:ind w:right="69"/>
              <w:rPr>
                <w:sz w:val="16"/>
              </w:rPr>
            </w:pPr>
            <w:r>
              <w:rPr>
                <w:w w:val="80"/>
                <w:sz w:val="16"/>
              </w:rPr>
              <w:t>6.2%</w:t>
            </w:r>
          </w:p>
        </w:tc>
        <w:tc>
          <w:tcPr>
            <w:tcW w:w="1106" w:type="dxa"/>
            <w:shd w:val="clear" w:color="auto" w:fill="E9E9E9"/>
          </w:tcPr>
          <w:p>
            <w:pPr>
              <w:pStyle w:val="TableParagraph"/>
              <w:ind w:right="73"/>
              <w:rPr>
                <w:sz w:val="16"/>
              </w:rPr>
            </w:pPr>
            <w:r>
              <w:rPr>
                <w:w w:val="90"/>
                <w:sz w:val="16"/>
              </w:rPr>
              <w:t>2,729</w:t>
            </w:r>
          </w:p>
        </w:tc>
        <w:tc>
          <w:tcPr>
            <w:tcW w:w="1106" w:type="dxa"/>
            <w:shd w:val="clear" w:color="auto" w:fill="E9E9E9"/>
          </w:tcPr>
          <w:p>
            <w:pPr>
              <w:pStyle w:val="TableParagraph"/>
              <w:ind w:right="73"/>
              <w:rPr>
                <w:sz w:val="16"/>
              </w:rPr>
            </w:pPr>
            <w:r>
              <w:rPr>
                <w:w w:val="75"/>
                <w:sz w:val="16"/>
              </w:rPr>
              <w:t>6.1%</w:t>
            </w:r>
          </w:p>
        </w:tc>
        <w:tc>
          <w:tcPr>
            <w:tcW w:w="1106" w:type="dxa"/>
            <w:shd w:val="clear" w:color="auto" w:fill="E9E9E9"/>
          </w:tcPr>
          <w:p>
            <w:pPr>
              <w:pStyle w:val="TableParagraph"/>
              <w:ind w:right="73"/>
              <w:rPr>
                <w:sz w:val="16"/>
              </w:rPr>
            </w:pPr>
            <w:r>
              <w:rPr>
                <w:w w:val="90"/>
                <w:sz w:val="16"/>
              </w:rPr>
              <w:t>2,754</w:t>
            </w:r>
          </w:p>
        </w:tc>
        <w:tc>
          <w:tcPr>
            <w:tcW w:w="1106" w:type="dxa"/>
            <w:shd w:val="clear" w:color="auto" w:fill="E9E9E9"/>
          </w:tcPr>
          <w:p>
            <w:pPr>
              <w:pStyle w:val="TableParagraph"/>
              <w:ind w:right="69"/>
              <w:rPr>
                <w:sz w:val="16"/>
              </w:rPr>
            </w:pPr>
            <w:r>
              <w:rPr>
                <w:w w:val="80"/>
                <w:sz w:val="16"/>
              </w:rPr>
              <w:t>6.2%</w:t>
            </w:r>
          </w:p>
        </w:tc>
      </w:tr>
      <w:tr>
        <w:trPr>
          <w:trHeight w:val="312" w:hRule="exact"/>
        </w:trPr>
        <w:tc>
          <w:tcPr>
            <w:tcW w:w="3458" w:type="dxa"/>
            <w:shd w:val="clear" w:color="auto" w:fill="E9E9E9"/>
          </w:tcPr>
          <w:p>
            <w:pPr>
              <w:pStyle w:val="TableParagraph"/>
              <w:ind w:left="74"/>
              <w:jc w:val="left"/>
              <w:rPr>
                <w:sz w:val="16"/>
              </w:rPr>
            </w:pPr>
            <w:r>
              <w:rPr>
                <w:sz w:val="16"/>
              </w:rPr>
              <w:t>Lithgow</w:t>
            </w:r>
          </w:p>
        </w:tc>
        <w:tc>
          <w:tcPr>
            <w:tcW w:w="1106" w:type="dxa"/>
            <w:shd w:val="clear" w:color="auto" w:fill="E9E9E9"/>
          </w:tcPr>
          <w:p>
            <w:pPr>
              <w:pStyle w:val="TableParagraph"/>
              <w:ind w:right="73"/>
              <w:rPr>
                <w:sz w:val="16"/>
              </w:rPr>
            </w:pPr>
            <w:r>
              <w:rPr>
                <w:sz w:val="16"/>
              </w:rPr>
              <w:t>69</w:t>
            </w:r>
          </w:p>
        </w:tc>
        <w:tc>
          <w:tcPr>
            <w:tcW w:w="1106" w:type="dxa"/>
            <w:shd w:val="clear" w:color="auto" w:fill="E9E9E9"/>
          </w:tcPr>
          <w:p>
            <w:pPr>
              <w:pStyle w:val="TableParagraph"/>
              <w:ind w:right="73"/>
              <w:rPr>
                <w:sz w:val="16"/>
              </w:rPr>
            </w:pPr>
            <w:r>
              <w:rPr>
                <w:w w:val="85"/>
                <w:sz w:val="16"/>
              </w:rPr>
              <w:t>0.2%</w:t>
            </w:r>
          </w:p>
        </w:tc>
        <w:tc>
          <w:tcPr>
            <w:tcW w:w="1106" w:type="dxa"/>
            <w:shd w:val="clear" w:color="auto" w:fill="E9E9E9"/>
          </w:tcPr>
          <w:p>
            <w:pPr>
              <w:pStyle w:val="TableParagraph"/>
              <w:ind w:right="73"/>
              <w:rPr>
                <w:sz w:val="16"/>
              </w:rPr>
            </w:pPr>
            <w:r>
              <w:rPr>
                <w:w w:val="95"/>
                <w:sz w:val="16"/>
              </w:rPr>
              <w:t>59</w:t>
            </w:r>
          </w:p>
        </w:tc>
        <w:tc>
          <w:tcPr>
            <w:tcW w:w="1106" w:type="dxa"/>
            <w:shd w:val="clear" w:color="auto" w:fill="E9E9E9"/>
          </w:tcPr>
          <w:p>
            <w:pPr>
              <w:pStyle w:val="TableParagraph"/>
              <w:ind w:right="71"/>
              <w:rPr>
                <w:sz w:val="16"/>
              </w:rPr>
            </w:pPr>
            <w:r>
              <w:rPr>
                <w:w w:val="75"/>
                <w:sz w:val="16"/>
              </w:rPr>
              <w:t>0.1%</w:t>
            </w:r>
          </w:p>
        </w:tc>
        <w:tc>
          <w:tcPr>
            <w:tcW w:w="1106" w:type="dxa"/>
            <w:shd w:val="clear" w:color="auto" w:fill="E9E9E9"/>
          </w:tcPr>
          <w:p>
            <w:pPr>
              <w:pStyle w:val="TableParagraph"/>
              <w:ind w:right="73"/>
              <w:rPr>
                <w:sz w:val="16"/>
              </w:rPr>
            </w:pPr>
            <w:r>
              <w:rPr>
                <w:w w:val="95"/>
                <w:sz w:val="16"/>
              </w:rPr>
              <w:t>39</w:t>
            </w:r>
          </w:p>
        </w:tc>
        <w:tc>
          <w:tcPr>
            <w:tcW w:w="1106" w:type="dxa"/>
            <w:shd w:val="clear" w:color="auto" w:fill="E9E9E9"/>
          </w:tcPr>
          <w:p>
            <w:pPr>
              <w:pStyle w:val="TableParagraph"/>
              <w:ind w:right="71"/>
              <w:rPr>
                <w:sz w:val="16"/>
              </w:rPr>
            </w:pPr>
            <w:r>
              <w:rPr>
                <w:w w:val="75"/>
                <w:sz w:val="16"/>
              </w:rPr>
              <w:t>0.1%</w:t>
            </w:r>
          </w:p>
        </w:tc>
      </w:tr>
      <w:tr>
        <w:trPr>
          <w:trHeight w:val="312" w:hRule="exact"/>
        </w:trPr>
        <w:tc>
          <w:tcPr>
            <w:tcW w:w="3458" w:type="dxa"/>
            <w:shd w:val="clear" w:color="auto" w:fill="E9E9E9"/>
          </w:tcPr>
          <w:p>
            <w:pPr>
              <w:pStyle w:val="TableParagraph"/>
              <w:ind w:left="74"/>
              <w:jc w:val="left"/>
              <w:rPr>
                <w:sz w:val="16"/>
              </w:rPr>
            </w:pPr>
            <w:r>
              <w:rPr>
                <w:sz w:val="16"/>
              </w:rPr>
              <w:t>Parramatta</w:t>
            </w:r>
          </w:p>
        </w:tc>
        <w:tc>
          <w:tcPr>
            <w:tcW w:w="1106" w:type="dxa"/>
            <w:shd w:val="clear" w:color="auto" w:fill="E9E9E9"/>
          </w:tcPr>
          <w:p>
            <w:pPr>
              <w:pStyle w:val="TableParagraph"/>
              <w:ind w:right="73"/>
              <w:rPr>
                <w:sz w:val="16"/>
              </w:rPr>
            </w:pPr>
            <w:r>
              <w:rPr>
                <w:w w:val="75"/>
                <w:sz w:val="16"/>
              </w:rPr>
              <w:t>15,175</w:t>
            </w:r>
          </w:p>
        </w:tc>
        <w:tc>
          <w:tcPr>
            <w:tcW w:w="1106" w:type="dxa"/>
            <w:shd w:val="clear" w:color="auto" w:fill="E9E9E9"/>
          </w:tcPr>
          <w:p>
            <w:pPr>
              <w:pStyle w:val="TableParagraph"/>
              <w:ind w:right="72"/>
              <w:rPr>
                <w:sz w:val="16"/>
              </w:rPr>
            </w:pPr>
            <w:r>
              <w:rPr>
                <w:w w:val="85"/>
                <w:sz w:val="16"/>
              </w:rPr>
              <w:t>34.6%</w:t>
            </w:r>
          </w:p>
        </w:tc>
        <w:tc>
          <w:tcPr>
            <w:tcW w:w="1106" w:type="dxa"/>
            <w:shd w:val="clear" w:color="auto" w:fill="E9E9E9"/>
          </w:tcPr>
          <w:p>
            <w:pPr>
              <w:pStyle w:val="TableParagraph"/>
              <w:ind w:right="73"/>
              <w:rPr>
                <w:sz w:val="16"/>
              </w:rPr>
            </w:pPr>
            <w:r>
              <w:rPr>
                <w:w w:val="90"/>
                <w:sz w:val="16"/>
              </w:rPr>
              <w:t>14,984</w:t>
            </w:r>
          </w:p>
        </w:tc>
        <w:tc>
          <w:tcPr>
            <w:tcW w:w="1106" w:type="dxa"/>
            <w:shd w:val="clear" w:color="auto" w:fill="E9E9E9"/>
          </w:tcPr>
          <w:p>
            <w:pPr>
              <w:pStyle w:val="TableParagraph"/>
              <w:ind w:right="74"/>
              <w:rPr>
                <w:sz w:val="16"/>
              </w:rPr>
            </w:pPr>
            <w:r>
              <w:rPr>
                <w:w w:val="85"/>
                <w:sz w:val="16"/>
              </w:rPr>
              <w:t>33.4%</w:t>
            </w:r>
          </w:p>
        </w:tc>
        <w:tc>
          <w:tcPr>
            <w:tcW w:w="1106" w:type="dxa"/>
            <w:shd w:val="clear" w:color="auto" w:fill="E9E9E9"/>
          </w:tcPr>
          <w:p>
            <w:pPr>
              <w:pStyle w:val="TableParagraph"/>
              <w:ind w:right="73"/>
              <w:rPr>
                <w:sz w:val="16"/>
              </w:rPr>
            </w:pPr>
            <w:r>
              <w:rPr>
                <w:w w:val="85"/>
                <w:sz w:val="16"/>
              </w:rPr>
              <w:t>14,792</w:t>
            </w:r>
          </w:p>
        </w:tc>
        <w:tc>
          <w:tcPr>
            <w:tcW w:w="1106" w:type="dxa"/>
            <w:shd w:val="clear" w:color="auto" w:fill="E9E9E9"/>
          </w:tcPr>
          <w:p>
            <w:pPr>
              <w:pStyle w:val="TableParagraph"/>
              <w:ind w:right="71"/>
              <w:rPr>
                <w:sz w:val="16"/>
              </w:rPr>
            </w:pPr>
            <w:r>
              <w:rPr>
                <w:w w:val="85"/>
                <w:sz w:val="16"/>
              </w:rPr>
              <w:t>33.3%</w:t>
            </w:r>
          </w:p>
        </w:tc>
      </w:tr>
      <w:tr>
        <w:trPr>
          <w:trHeight w:val="312" w:hRule="exact"/>
        </w:trPr>
        <w:tc>
          <w:tcPr>
            <w:tcW w:w="3458" w:type="dxa"/>
            <w:shd w:val="clear" w:color="auto" w:fill="E9E9E9"/>
          </w:tcPr>
          <w:p>
            <w:pPr>
              <w:pStyle w:val="TableParagraph"/>
              <w:ind w:left="74"/>
              <w:jc w:val="left"/>
              <w:rPr>
                <w:sz w:val="16"/>
              </w:rPr>
            </w:pPr>
            <w:r>
              <w:rPr>
                <w:sz w:val="16"/>
              </w:rPr>
              <w:t>Penrith</w:t>
            </w:r>
          </w:p>
        </w:tc>
        <w:tc>
          <w:tcPr>
            <w:tcW w:w="1106" w:type="dxa"/>
            <w:shd w:val="clear" w:color="auto" w:fill="E9E9E9"/>
          </w:tcPr>
          <w:p>
            <w:pPr>
              <w:pStyle w:val="TableParagraph"/>
              <w:ind w:right="70"/>
              <w:rPr>
                <w:sz w:val="16"/>
              </w:rPr>
            </w:pPr>
            <w:r>
              <w:rPr>
                <w:w w:val="70"/>
                <w:sz w:val="16"/>
              </w:rPr>
              <w:t>8,511</w:t>
            </w:r>
          </w:p>
        </w:tc>
        <w:tc>
          <w:tcPr>
            <w:tcW w:w="1106" w:type="dxa"/>
            <w:shd w:val="clear" w:color="auto" w:fill="E9E9E9"/>
          </w:tcPr>
          <w:p>
            <w:pPr>
              <w:pStyle w:val="TableParagraph"/>
              <w:ind w:right="74"/>
              <w:rPr>
                <w:sz w:val="16"/>
              </w:rPr>
            </w:pPr>
            <w:r>
              <w:rPr>
                <w:w w:val="80"/>
                <w:sz w:val="16"/>
              </w:rPr>
              <w:t>19.4%</w:t>
            </w:r>
          </w:p>
        </w:tc>
        <w:tc>
          <w:tcPr>
            <w:tcW w:w="1106" w:type="dxa"/>
            <w:shd w:val="clear" w:color="auto" w:fill="E9E9E9"/>
          </w:tcPr>
          <w:p>
            <w:pPr>
              <w:pStyle w:val="TableParagraph"/>
              <w:ind w:right="69"/>
              <w:rPr>
                <w:sz w:val="16"/>
              </w:rPr>
            </w:pPr>
            <w:r>
              <w:rPr>
                <w:w w:val="95"/>
                <w:sz w:val="16"/>
              </w:rPr>
              <w:t>8,636</w:t>
            </w:r>
          </w:p>
        </w:tc>
        <w:tc>
          <w:tcPr>
            <w:tcW w:w="1106" w:type="dxa"/>
            <w:shd w:val="clear" w:color="auto" w:fill="E9E9E9"/>
          </w:tcPr>
          <w:p>
            <w:pPr>
              <w:pStyle w:val="TableParagraph"/>
              <w:ind w:right="73"/>
              <w:rPr>
                <w:sz w:val="16"/>
              </w:rPr>
            </w:pPr>
            <w:r>
              <w:rPr>
                <w:w w:val="80"/>
                <w:sz w:val="16"/>
              </w:rPr>
              <w:t>19.2%</w:t>
            </w:r>
          </w:p>
        </w:tc>
        <w:tc>
          <w:tcPr>
            <w:tcW w:w="1106" w:type="dxa"/>
            <w:shd w:val="clear" w:color="auto" w:fill="E9E9E9"/>
          </w:tcPr>
          <w:p>
            <w:pPr>
              <w:pStyle w:val="TableParagraph"/>
              <w:ind w:right="73"/>
              <w:rPr>
                <w:sz w:val="16"/>
              </w:rPr>
            </w:pPr>
            <w:r>
              <w:rPr>
                <w:w w:val="95"/>
                <w:sz w:val="16"/>
              </w:rPr>
              <w:t>8,640</w:t>
            </w:r>
          </w:p>
        </w:tc>
        <w:tc>
          <w:tcPr>
            <w:tcW w:w="1106" w:type="dxa"/>
            <w:shd w:val="clear" w:color="auto" w:fill="E9E9E9"/>
          </w:tcPr>
          <w:p>
            <w:pPr>
              <w:pStyle w:val="TableParagraph"/>
              <w:ind w:right="74"/>
              <w:rPr>
                <w:sz w:val="16"/>
              </w:rPr>
            </w:pPr>
            <w:r>
              <w:rPr>
                <w:w w:val="80"/>
                <w:sz w:val="16"/>
              </w:rPr>
              <w:t>19.4%</w:t>
            </w:r>
          </w:p>
        </w:tc>
      </w:tr>
      <w:tr>
        <w:trPr>
          <w:trHeight w:val="312" w:hRule="exact"/>
        </w:trPr>
        <w:tc>
          <w:tcPr>
            <w:tcW w:w="3458" w:type="dxa"/>
            <w:shd w:val="clear" w:color="auto" w:fill="E9E9E9"/>
          </w:tcPr>
          <w:p>
            <w:pPr>
              <w:pStyle w:val="TableParagraph"/>
              <w:ind w:left="74"/>
              <w:jc w:val="left"/>
              <w:rPr>
                <w:sz w:val="16"/>
              </w:rPr>
            </w:pPr>
            <w:r>
              <w:rPr>
                <w:sz w:val="16"/>
              </w:rPr>
              <w:t>Online</w:t>
            </w:r>
          </w:p>
        </w:tc>
        <w:tc>
          <w:tcPr>
            <w:tcW w:w="1106" w:type="dxa"/>
            <w:shd w:val="clear" w:color="auto" w:fill="E9E9E9"/>
          </w:tcPr>
          <w:p>
            <w:pPr>
              <w:pStyle w:val="TableParagraph"/>
              <w:ind w:right="73"/>
              <w:rPr>
                <w:sz w:val="16"/>
              </w:rPr>
            </w:pPr>
            <w:r>
              <w:rPr>
                <w:w w:val="111"/>
                <w:sz w:val="16"/>
              </w:rPr>
              <w:t>0</w:t>
            </w:r>
          </w:p>
        </w:tc>
        <w:tc>
          <w:tcPr>
            <w:tcW w:w="1106" w:type="dxa"/>
            <w:shd w:val="clear" w:color="auto" w:fill="E9E9E9"/>
          </w:tcPr>
          <w:p>
            <w:pPr>
              <w:pStyle w:val="TableParagraph"/>
              <w:ind w:right="73"/>
              <w:rPr>
                <w:sz w:val="16"/>
              </w:rPr>
            </w:pPr>
            <w:r>
              <w:rPr>
                <w:w w:val="90"/>
                <w:sz w:val="16"/>
              </w:rPr>
              <w:t>0.0%</w:t>
            </w:r>
          </w:p>
        </w:tc>
        <w:tc>
          <w:tcPr>
            <w:tcW w:w="1106" w:type="dxa"/>
            <w:shd w:val="clear" w:color="auto" w:fill="E9E9E9"/>
          </w:tcPr>
          <w:p>
            <w:pPr>
              <w:pStyle w:val="TableParagraph"/>
              <w:ind w:right="72"/>
              <w:rPr>
                <w:sz w:val="16"/>
              </w:rPr>
            </w:pPr>
            <w:r>
              <w:rPr>
                <w:w w:val="80"/>
                <w:sz w:val="16"/>
              </w:rPr>
              <w:t>187</w:t>
            </w:r>
          </w:p>
        </w:tc>
        <w:tc>
          <w:tcPr>
            <w:tcW w:w="1106" w:type="dxa"/>
            <w:shd w:val="clear" w:color="auto" w:fill="E9E9E9"/>
          </w:tcPr>
          <w:p>
            <w:pPr>
              <w:pStyle w:val="TableParagraph"/>
              <w:ind w:right="74"/>
              <w:rPr>
                <w:sz w:val="16"/>
              </w:rPr>
            </w:pPr>
            <w:r>
              <w:rPr>
                <w:w w:val="85"/>
                <w:sz w:val="16"/>
              </w:rPr>
              <w:t>0.4%</w:t>
            </w:r>
          </w:p>
        </w:tc>
        <w:tc>
          <w:tcPr>
            <w:tcW w:w="1106" w:type="dxa"/>
            <w:shd w:val="clear" w:color="auto" w:fill="E9E9E9"/>
          </w:tcPr>
          <w:p>
            <w:pPr>
              <w:pStyle w:val="TableParagraph"/>
              <w:ind w:right="73"/>
              <w:rPr>
                <w:sz w:val="16"/>
              </w:rPr>
            </w:pPr>
            <w:r>
              <w:rPr>
                <w:w w:val="90"/>
                <w:sz w:val="16"/>
              </w:rPr>
              <w:t>377</w:t>
            </w:r>
          </w:p>
        </w:tc>
        <w:tc>
          <w:tcPr>
            <w:tcW w:w="1106" w:type="dxa"/>
            <w:shd w:val="clear" w:color="auto" w:fill="E9E9E9"/>
          </w:tcPr>
          <w:p>
            <w:pPr>
              <w:pStyle w:val="TableParagraph"/>
              <w:ind w:right="73"/>
              <w:rPr>
                <w:sz w:val="16"/>
              </w:rPr>
            </w:pPr>
            <w:r>
              <w:rPr>
                <w:w w:val="85"/>
                <w:sz w:val="16"/>
              </w:rPr>
              <w:t>0.8%</w:t>
            </w:r>
          </w:p>
        </w:tc>
      </w:tr>
      <w:tr>
        <w:trPr>
          <w:trHeight w:val="312" w:hRule="exact"/>
        </w:trPr>
        <w:tc>
          <w:tcPr>
            <w:tcW w:w="3458" w:type="dxa"/>
            <w:shd w:val="clear" w:color="auto" w:fill="E9E9E9"/>
          </w:tcPr>
          <w:p>
            <w:pPr>
              <w:pStyle w:val="TableParagraph"/>
              <w:ind w:left="74"/>
              <w:jc w:val="left"/>
              <w:rPr>
                <w:sz w:val="16"/>
              </w:rPr>
            </w:pPr>
            <w:r>
              <w:rPr>
                <w:sz w:val="16"/>
              </w:rPr>
              <w:t>Other*</w:t>
            </w:r>
          </w:p>
        </w:tc>
        <w:tc>
          <w:tcPr>
            <w:tcW w:w="1106" w:type="dxa"/>
            <w:shd w:val="clear" w:color="auto" w:fill="E9E9E9"/>
          </w:tcPr>
          <w:p>
            <w:pPr>
              <w:pStyle w:val="TableParagraph"/>
              <w:ind w:right="72"/>
              <w:rPr>
                <w:sz w:val="16"/>
              </w:rPr>
            </w:pPr>
            <w:r>
              <w:rPr>
                <w:w w:val="90"/>
                <w:sz w:val="16"/>
              </w:rPr>
              <w:t>727</w:t>
            </w:r>
          </w:p>
        </w:tc>
        <w:tc>
          <w:tcPr>
            <w:tcW w:w="1106" w:type="dxa"/>
            <w:shd w:val="clear" w:color="auto" w:fill="E9E9E9"/>
          </w:tcPr>
          <w:p>
            <w:pPr>
              <w:pStyle w:val="TableParagraph"/>
              <w:ind w:right="73"/>
              <w:rPr>
                <w:sz w:val="16"/>
              </w:rPr>
            </w:pPr>
            <w:r>
              <w:rPr>
                <w:w w:val="70"/>
                <w:sz w:val="16"/>
              </w:rPr>
              <w:t>1.7%</w:t>
            </w:r>
          </w:p>
        </w:tc>
        <w:tc>
          <w:tcPr>
            <w:tcW w:w="1106" w:type="dxa"/>
            <w:shd w:val="clear" w:color="auto" w:fill="E9E9E9"/>
          </w:tcPr>
          <w:p>
            <w:pPr>
              <w:pStyle w:val="TableParagraph"/>
              <w:ind w:right="74"/>
              <w:rPr>
                <w:sz w:val="16"/>
              </w:rPr>
            </w:pPr>
            <w:r>
              <w:rPr>
                <w:w w:val="95"/>
                <w:sz w:val="16"/>
              </w:rPr>
              <w:t>676</w:t>
            </w:r>
          </w:p>
        </w:tc>
        <w:tc>
          <w:tcPr>
            <w:tcW w:w="1106" w:type="dxa"/>
            <w:shd w:val="clear" w:color="auto" w:fill="E9E9E9"/>
          </w:tcPr>
          <w:p>
            <w:pPr>
              <w:pStyle w:val="TableParagraph"/>
              <w:ind w:right="72"/>
              <w:rPr>
                <w:sz w:val="16"/>
              </w:rPr>
            </w:pPr>
            <w:r>
              <w:rPr>
                <w:w w:val="70"/>
                <w:sz w:val="16"/>
              </w:rPr>
              <w:t>1.5%</w:t>
            </w:r>
          </w:p>
        </w:tc>
        <w:tc>
          <w:tcPr>
            <w:tcW w:w="1106" w:type="dxa"/>
            <w:shd w:val="clear" w:color="auto" w:fill="E9E9E9"/>
          </w:tcPr>
          <w:p>
            <w:pPr>
              <w:pStyle w:val="TableParagraph"/>
              <w:ind w:right="71"/>
              <w:rPr>
                <w:sz w:val="16"/>
              </w:rPr>
            </w:pPr>
            <w:r>
              <w:rPr>
                <w:sz w:val="16"/>
              </w:rPr>
              <w:t>602</w:t>
            </w:r>
          </w:p>
        </w:tc>
        <w:tc>
          <w:tcPr>
            <w:tcW w:w="1106" w:type="dxa"/>
            <w:shd w:val="clear" w:color="auto" w:fill="E9E9E9"/>
          </w:tcPr>
          <w:p>
            <w:pPr>
              <w:pStyle w:val="TableParagraph"/>
              <w:ind w:right="74"/>
              <w:rPr>
                <w:sz w:val="16"/>
              </w:rPr>
            </w:pPr>
            <w:r>
              <w:rPr>
                <w:w w:val="75"/>
                <w:sz w:val="16"/>
              </w:rPr>
              <w:t>1.4%</w:t>
            </w:r>
          </w:p>
        </w:tc>
      </w:tr>
      <w:tr>
        <w:trPr>
          <w:trHeight w:val="312" w:hRule="exact"/>
        </w:trPr>
        <w:tc>
          <w:tcPr>
            <w:tcW w:w="3458" w:type="dxa"/>
            <w:shd w:val="clear" w:color="auto" w:fill="E9E9E9"/>
          </w:tcPr>
          <w:p>
            <w:pPr>
              <w:pStyle w:val="TableParagraph"/>
              <w:spacing w:before="63"/>
              <w:ind w:left="74"/>
              <w:jc w:val="left"/>
              <w:rPr>
                <w:rFonts w:ascii="Calibri"/>
                <w:sz w:val="16"/>
              </w:rPr>
            </w:pPr>
            <w:r>
              <w:rPr>
                <w:rFonts w:ascii="Calibri"/>
                <w:w w:val="110"/>
                <w:sz w:val="16"/>
              </w:rPr>
              <w:t>Total</w:t>
            </w:r>
          </w:p>
        </w:tc>
        <w:tc>
          <w:tcPr>
            <w:tcW w:w="1106" w:type="dxa"/>
            <w:shd w:val="clear" w:color="auto" w:fill="E9E9E9"/>
          </w:tcPr>
          <w:p>
            <w:pPr>
              <w:pStyle w:val="TableParagraph"/>
              <w:spacing w:before="63"/>
              <w:ind w:right="73"/>
              <w:rPr>
                <w:rFonts w:ascii="Calibri"/>
                <w:sz w:val="16"/>
              </w:rPr>
            </w:pPr>
            <w:r>
              <w:rPr>
                <w:rFonts w:ascii="Calibri"/>
                <w:w w:val="105"/>
                <w:sz w:val="16"/>
              </w:rPr>
              <w:t>43,916</w:t>
            </w:r>
          </w:p>
        </w:tc>
        <w:tc>
          <w:tcPr>
            <w:tcW w:w="1106" w:type="dxa"/>
            <w:shd w:val="clear" w:color="auto" w:fill="E9E9E9"/>
          </w:tcPr>
          <w:p>
            <w:pPr>
              <w:pStyle w:val="TableParagraph"/>
              <w:spacing w:before="63"/>
              <w:ind w:right="73"/>
              <w:rPr>
                <w:rFonts w:ascii="Calibri"/>
                <w:sz w:val="16"/>
              </w:rPr>
            </w:pPr>
            <w:r>
              <w:rPr>
                <w:rFonts w:ascii="Calibri"/>
                <w:w w:val="110"/>
                <w:sz w:val="16"/>
              </w:rPr>
              <w:t>100.0%</w:t>
            </w:r>
          </w:p>
        </w:tc>
        <w:tc>
          <w:tcPr>
            <w:tcW w:w="1106" w:type="dxa"/>
            <w:shd w:val="clear" w:color="auto" w:fill="E9E9E9"/>
          </w:tcPr>
          <w:p>
            <w:pPr>
              <w:pStyle w:val="TableParagraph"/>
              <w:spacing w:before="63"/>
              <w:ind w:right="73"/>
              <w:rPr>
                <w:rFonts w:ascii="Calibri"/>
                <w:sz w:val="16"/>
              </w:rPr>
            </w:pPr>
            <w:r>
              <w:rPr>
                <w:rFonts w:ascii="Calibri"/>
                <w:w w:val="105"/>
                <w:sz w:val="16"/>
              </w:rPr>
              <w:t>44,919</w:t>
            </w:r>
          </w:p>
        </w:tc>
        <w:tc>
          <w:tcPr>
            <w:tcW w:w="1106" w:type="dxa"/>
            <w:shd w:val="clear" w:color="auto" w:fill="E9E9E9"/>
          </w:tcPr>
          <w:p>
            <w:pPr>
              <w:pStyle w:val="TableParagraph"/>
              <w:spacing w:before="63"/>
              <w:ind w:right="73"/>
              <w:rPr>
                <w:rFonts w:ascii="Calibri"/>
                <w:sz w:val="16"/>
              </w:rPr>
            </w:pPr>
            <w:r>
              <w:rPr>
                <w:rFonts w:ascii="Calibri"/>
                <w:w w:val="110"/>
                <w:sz w:val="16"/>
              </w:rPr>
              <w:t>100.0%</w:t>
            </w:r>
          </w:p>
        </w:tc>
        <w:tc>
          <w:tcPr>
            <w:tcW w:w="1106" w:type="dxa"/>
            <w:shd w:val="clear" w:color="auto" w:fill="E9E9E9"/>
          </w:tcPr>
          <w:p>
            <w:pPr>
              <w:pStyle w:val="TableParagraph"/>
              <w:spacing w:before="63"/>
              <w:ind w:right="73"/>
              <w:rPr>
                <w:rFonts w:ascii="Calibri"/>
                <w:sz w:val="16"/>
              </w:rPr>
            </w:pPr>
            <w:r>
              <w:rPr>
                <w:rFonts w:ascii="Calibri"/>
                <w:w w:val="105"/>
                <w:sz w:val="16"/>
              </w:rPr>
              <w:t>44,451</w:t>
            </w:r>
          </w:p>
        </w:tc>
        <w:tc>
          <w:tcPr>
            <w:tcW w:w="1106" w:type="dxa"/>
            <w:shd w:val="clear" w:color="auto" w:fill="E9E9E9"/>
          </w:tcPr>
          <w:p>
            <w:pPr>
              <w:pStyle w:val="TableParagraph"/>
              <w:spacing w:before="63"/>
              <w:ind w:right="74"/>
              <w:rPr>
                <w:rFonts w:ascii="Calibri"/>
                <w:sz w:val="16"/>
              </w:rPr>
            </w:pPr>
            <w:r>
              <w:rPr>
                <w:rFonts w:ascii="Calibri"/>
                <w:w w:val="110"/>
                <w:sz w:val="16"/>
              </w:rPr>
              <w:t>100.0%</w:t>
            </w:r>
          </w:p>
        </w:tc>
      </w:tr>
    </w:tbl>
    <w:p>
      <w:pPr>
        <w:pStyle w:val="BodyText"/>
        <w:spacing w:before="44"/>
        <w:ind w:left="347" w:right="6585"/>
      </w:pPr>
      <w:r>
        <w:rPr/>
        <w:t>*Other includes external, offshore and other</w:t>
      </w:r>
    </w:p>
    <w:p>
      <w:pPr>
        <w:pStyle w:val="BodyText"/>
        <w:spacing w:before="7"/>
        <w:ind w:left="347" w:right="503"/>
      </w:pPr>
      <w:r>
        <w:rPr/>
        <w:t>(Source: Enrolment submissions to the Department of Education and Training)</w:t>
      </w:r>
    </w:p>
    <w:p>
      <w:pPr>
        <w:spacing w:after="0"/>
        <w:sectPr>
          <w:pgSz w:w="11910" w:h="16840"/>
          <w:pgMar w:header="496" w:footer="472" w:top="680" w:bottom="660" w:left="580" w:right="580"/>
        </w:sectPr>
      </w:pPr>
    </w:p>
    <w:p>
      <w:pPr>
        <w:pStyle w:val="BodyText"/>
        <w:rPr>
          <w:sz w:val="20"/>
        </w:rPr>
      </w:pPr>
      <w:r>
        <w:rPr/>
        <w:pict>
          <v:rect style="position:absolute;margin-left:34.015999pt;margin-top:45.355015pt;width:527.244pt;height:751.181pt;mso-position-horizontal-relative:page;mso-position-vertical-relative:page;z-index:-334528" filled="true" fillcolor="#e9e9e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7"/>
        <w:spacing w:before="1"/>
        <w:ind w:left="327" w:right="503"/>
      </w:pPr>
      <w:r>
        <w:rPr>
          <w:color w:val="615C58"/>
        </w:rPr>
        <w:t>Table 7: Student Low SES* Participation Rate 2012 – 2016 (p)</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8"/>
        <w:gridCol w:w="1148"/>
        <w:gridCol w:w="1148"/>
      </w:tblGrid>
      <w:tr>
        <w:trPr>
          <w:trHeight w:val="312" w:hRule="exact"/>
        </w:trPr>
        <w:tc>
          <w:tcPr>
            <w:tcW w:w="5504" w:type="dxa"/>
            <w:gridSpan w:val="3"/>
            <w:tcBorders>
              <w:top w:val="nil"/>
              <w:left w:val="nil"/>
              <w:bottom w:val="nil"/>
              <w:right w:val="nil"/>
            </w:tcBorders>
            <w:shd w:val="clear" w:color="auto" w:fill="949290"/>
          </w:tcPr>
          <w:p>
            <w:pPr>
              <w:pStyle w:val="TableParagraph"/>
              <w:tabs>
                <w:tab w:pos="3923" w:val="left" w:leader="none"/>
                <w:tab w:pos="4693" w:val="left" w:leader="none"/>
              </w:tabs>
              <w:spacing w:before="66"/>
              <w:ind w:left="80"/>
              <w:jc w:val="left"/>
              <w:rPr>
                <w:rFonts w:ascii="Gotham Narrow Bold"/>
                <w:b/>
                <w:sz w:val="16"/>
              </w:rPr>
            </w:pPr>
            <w:r>
              <w:rPr>
                <w:rFonts w:ascii="Gotham Narrow Bold"/>
                <w:b/>
                <w:color w:val="FFFFFF"/>
                <w:spacing w:val="2"/>
                <w:sz w:val="16"/>
              </w:rPr>
              <w:t>YEAR</w:t>
              <w:tab/>
            </w:r>
            <w:r>
              <w:rPr>
                <w:rFonts w:ascii="Gotham Narrow Bold"/>
                <w:b/>
                <w:color w:val="FFFFFF"/>
                <w:sz w:val="16"/>
              </w:rPr>
              <w:t>UWS</w:t>
              <w:tab/>
            </w:r>
            <w:r>
              <w:rPr>
                <w:rFonts w:ascii="Gotham Narrow Bold"/>
                <w:b/>
                <w:color w:val="FFFFFF"/>
                <w:spacing w:val="2"/>
                <w:sz w:val="16"/>
              </w:rPr>
              <w:t>SECTOR**</w:t>
            </w:r>
          </w:p>
        </w:tc>
      </w:tr>
      <w:tr>
        <w:trPr>
          <w:trHeight w:val="312" w:hRule="exact"/>
        </w:trPr>
        <w:tc>
          <w:tcPr>
            <w:tcW w:w="3208" w:type="dxa"/>
            <w:tcBorders>
              <w:top w:val="nil"/>
            </w:tcBorders>
            <w:shd w:val="clear" w:color="auto" w:fill="E9E9E9"/>
          </w:tcPr>
          <w:p>
            <w:pPr>
              <w:pStyle w:val="TableParagraph"/>
              <w:spacing w:before="60"/>
              <w:ind w:left="74"/>
              <w:jc w:val="left"/>
              <w:rPr>
                <w:sz w:val="16"/>
              </w:rPr>
            </w:pPr>
            <w:r>
              <w:rPr>
                <w:spacing w:val="2"/>
                <w:w w:val="93"/>
                <w:sz w:val="16"/>
              </w:rPr>
              <w:t>2</w:t>
            </w:r>
            <w:r>
              <w:rPr>
                <w:spacing w:val="1"/>
                <w:w w:val="111"/>
                <w:sz w:val="16"/>
              </w:rPr>
              <w:t>0</w:t>
            </w:r>
            <w:r>
              <w:rPr>
                <w:spacing w:val="2"/>
                <w:w w:val="54"/>
                <w:sz w:val="16"/>
              </w:rPr>
              <w:t>1</w:t>
            </w:r>
            <w:r>
              <w:rPr>
                <w:w w:val="93"/>
                <w:sz w:val="16"/>
              </w:rPr>
              <w:t>2</w:t>
            </w:r>
          </w:p>
        </w:tc>
        <w:tc>
          <w:tcPr>
            <w:tcW w:w="1148" w:type="dxa"/>
            <w:tcBorders>
              <w:top w:val="nil"/>
            </w:tcBorders>
            <w:shd w:val="clear" w:color="auto" w:fill="E9E9E9"/>
          </w:tcPr>
          <w:p>
            <w:pPr>
              <w:pStyle w:val="TableParagraph"/>
              <w:spacing w:before="60"/>
              <w:ind w:right="72"/>
              <w:rPr>
                <w:sz w:val="16"/>
              </w:rPr>
            </w:pPr>
            <w:r>
              <w:rPr>
                <w:w w:val="85"/>
                <w:sz w:val="16"/>
              </w:rPr>
              <w:t>23.6%</w:t>
            </w:r>
          </w:p>
        </w:tc>
        <w:tc>
          <w:tcPr>
            <w:tcW w:w="1148" w:type="dxa"/>
            <w:tcBorders>
              <w:top w:val="nil"/>
            </w:tcBorders>
            <w:shd w:val="clear" w:color="auto" w:fill="E9E9E9"/>
          </w:tcPr>
          <w:p>
            <w:pPr>
              <w:pStyle w:val="TableParagraph"/>
              <w:spacing w:before="60"/>
              <w:ind w:right="73"/>
              <w:rPr>
                <w:sz w:val="16"/>
              </w:rPr>
            </w:pPr>
            <w:r>
              <w:rPr>
                <w:w w:val="70"/>
                <w:sz w:val="16"/>
              </w:rPr>
              <w:t>16.1%</w:t>
            </w:r>
          </w:p>
        </w:tc>
      </w:tr>
      <w:tr>
        <w:trPr>
          <w:trHeight w:val="312" w:hRule="exact"/>
        </w:trPr>
        <w:tc>
          <w:tcPr>
            <w:tcW w:w="3208" w:type="dxa"/>
            <w:shd w:val="clear" w:color="auto" w:fill="E9E9E9"/>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4"/>
                <w:sz w:val="16"/>
              </w:rPr>
              <w:t>3</w:t>
            </w:r>
          </w:p>
        </w:tc>
        <w:tc>
          <w:tcPr>
            <w:tcW w:w="1148" w:type="dxa"/>
            <w:shd w:val="clear" w:color="auto" w:fill="E9E9E9"/>
          </w:tcPr>
          <w:p>
            <w:pPr>
              <w:pStyle w:val="TableParagraph"/>
              <w:ind w:right="73"/>
              <w:rPr>
                <w:sz w:val="16"/>
              </w:rPr>
            </w:pPr>
            <w:r>
              <w:rPr>
                <w:w w:val="85"/>
                <w:sz w:val="16"/>
              </w:rPr>
              <w:t>24.4%</w:t>
            </w:r>
          </w:p>
        </w:tc>
        <w:tc>
          <w:tcPr>
            <w:tcW w:w="1148" w:type="dxa"/>
            <w:shd w:val="clear" w:color="auto" w:fill="E9E9E9"/>
          </w:tcPr>
          <w:p>
            <w:pPr>
              <w:pStyle w:val="TableParagraph"/>
              <w:ind w:right="73"/>
              <w:rPr>
                <w:sz w:val="16"/>
              </w:rPr>
            </w:pPr>
            <w:r>
              <w:rPr>
                <w:w w:val="80"/>
                <w:sz w:val="16"/>
              </w:rPr>
              <w:t>16.4%</w:t>
            </w:r>
          </w:p>
        </w:tc>
      </w:tr>
      <w:tr>
        <w:trPr>
          <w:trHeight w:val="312" w:hRule="exact"/>
        </w:trPr>
        <w:tc>
          <w:tcPr>
            <w:tcW w:w="3208" w:type="dxa"/>
            <w:shd w:val="clear" w:color="auto" w:fill="E9E9E9"/>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103"/>
                <w:sz w:val="16"/>
              </w:rPr>
              <w:t>4</w:t>
            </w:r>
          </w:p>
        </w:tc>
        <w:tc>
          <w:tcPr>
            <w:tcW w:w="1148" w:type="dxa"/>
            <w:shd w:val="clear" w:color="auto" w:fill="E9E9E9"/>
          </w:tcPr>
          <w:p>
            <w:pPr>
              <w:pStyle w:val="TableParagraph"/>
              <w:ind w:right="73"/>
              <w:rPr>
                <w:sz w:val="16"/>
              </w:rPr>
            </w:pPr>
            <w:r>
              <w:rPr>
                <w:w w:val="85"/>
                <w:sz w:val="16"/>
              </w:rPr>
              <w:t>24.5%</w:t>
            </w:r>
          </w:p>
        </w:tc>
        <w:tc>
          <w:tcPr>
            <w:tcW w:w="1148" w:type="dxa"/>
            <w:shd w:val="clear" w:color="auto" w:fill="E9E9E9"/>
          </w:tcPr>
          <w:p>
            <w:pPr>
              <w:pStyle w:val="TableParagraph"/>
              <w:ind w:right="72"/>
              <w:rPr>
                <w:sz w:val="16"/>
              </w:rPr>
            </w:pPr>
            <w:r>
              <w:rPr>
                <w:w w:val="75"/>
                <w:sz w:val="16"/>
              </w:rPr>
              <w:t>16.5%</w:t>
            </w:r>
          </w:p>
        </w:tc>
      </w:tr>
      <w:tr>
        <w:trPr>
          <w:trHeight w:val="312" w:hRule="exact"/>
        </w:trPr>
        <w:tc>
          <w:tcPr>
            <w:tcW w:w="3208" w:type="dxa"/>
            <w:shd w:val="clear" w:color="auto" w:fill="E9E9E9"/>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5"/>
                <w:sz w:val="16"/>
              </w:rPr>
              <w:t>5</w:t>
            </w:r>
          </w:p>
        </w:tc>
        <w:tc>
          <w:tcPr>
            <w:tcW w:w="1148" w:type="dxa"/>
            <w:shd w:val="clear" w:color="auto" w:fill="E9E9E9"/>
          </w:tcPr>
          <w:p>
            <w:pPr>
              <w:pStyle w:val="TableParagraph"/>
              <w:ind w:right="73"/>
              <w:rPr>
                <w:sz w:val="16"/>
              </w:rPr>
            </w:pPr>
            <w:r>
              <w:rPr>
                <w:w w:val="90"/>
                <w:sz w:val="16"/>
              </w:rPr>
              <w:t>25.0%</w:t>
            </w:r>
          </w:p>
        </w:tc>
        <w:tc>
          <w:tcPr>
            <w:tcW w:w="1148" w:type="dxa"/>
            <w:shd w:val="clear" w:color="auto" w:fill="E9E9E9"/>
          </w:tcPr>
          <w:p>
            <w:pPr>
              <w:pStyle w:val="TableParagraph"/>
              <w:ind w:right="73"/>
              <w:rPr>
                <w:sz w:val="16"/>
              </w:rPr>
            </w:pPr>
            <w:r>
              <w:rPr>
                <w:w w:val="80"/>
                <w:sz w:val="16"/>
              </w:rPr>
              <w:t>16.7%</w:t>
            </w:r>
          </w:p>
        </w:tc>
      </w:tr>
      <w:tr>
        <w:trPr>
          <w:trHeight w:val="312" w:hRule="exact"/>
        </w:trPr>
        <w:tc>
          <w:tcPr>
            <w:tcW w:w="3208" w:type="dxa"/>
            <w:shd w:val="clear" w:color="auto" w:fill="E9E9E9"/>
          </w:tcPr>
          <w:p>
            <w:pPr>
              <w:pStyle w:val="TableParagraph"/>
              <w:ind w:left="74"/>
              <w:jc w:val="left"/>
              <w:rPr>
                <w:sz w:val="16"/>
              </w:rPr>
            </w:pPr>
            <w:r>
              <w:rPr>
                <w:spacing w:val="2"/>
                <w:w w:val="93"/>
                <w:sz w:val="16"/>
              </w:rPr>
              <w:t>2</w:t>
            </w:r>
            <w:r>
              <w:rPr>
                <w:spacing w:val="1"/>
                <w:w w:val="111"/>
                <w:sz w:val="16"/>
              </w:rPr>
              <w:t>0</w:t>
            </w:r>
            <w:r>
              <w:rPr>
                <w:spacing w:val="4"/>
                <w:w w:val="54"/>
                <w:sz w:val="16"/>
              </w:rPr>
              <w:t>1</w:t>
            </w:r>
            <w:r>
              <w:rPr>
                <w:w w:val="101"/>
                <w:sz w:val="16"/>
              </w:rPr>
              <w:t>6</w:t>
            </w:r>
            <w:r>
              <w:rPr>
                <w:spacing w:val="-12"/>
                <w:sz w:val="16"/>
              </w:rPr>
              <w:t> </w:t>
            </w:r>
            <w:r>
              <w:rPr>
                <w:spacing w:val="1"/>
                <w:w w:val="96"/>
                <w:sz w:val="16"/>
              </w:rPr>
              <w:t>(</w:t>
            </w:r>
            <w:r>
              <w:rPr>
                <w:spacing w:val="-9"/>
                <w:w w:val="102"/>
                <w:sz w:val="16"/>
              </w:rPr>
              <w:t>p</w:t>
            </w:r>
            <w:r>
              <w:rPr>
                <w:w w:val="96"/>
                <w:sz w:val="16"/>
              </w:rPr>
              <w:t>)</w:t>
            </w:r>
          </w:p>
        </w:tc>
        <w:tc>
          <w:tcPr>
            <w:tcW w:w="1148" w:type="dxa"/>
            <w:shd w:val="clear" w:color="auto" w:fill="E9E9E9"/>
          </w:tcPr>
          <w:p>
            <w:pPr>
              <w:pStyle w:val="TableParagraph"/>
              <w:ind w:right="71"/>
              <w:rPr>
                <w:sz w:val="16"/>
              </w:rPr>
            </w:pPr>
            <w:r>
              <w:rPr>
                <w:w w:val="80"/>
                <w:sz w:val="16"/>
              </w:rPr>
              <w:t>25.3%</w:t>
            </w:r>
          </w:p>
        </w:tc>
        <w:tc>
          <w:tcPr>
            <w:tcW w:w="1148" w:type="dxa"/>
            <w:shd w:val="clear" w:color="auto" w:fill="E9E9E9"/>
          </w:tcPr>
          <w:p>
            <w:pPr>
              <w:pStyle w:val="TableParagraph"/>
              <w:ind w:right="73"/>
              <w:rPr>
                <w:sz w:val="16"/>
              </w:rPr>
            </w:pPr>
            <w:r>
              <w:rPr>
                <w:w w:val="90"/>
                <w:sz w:val="16"/>
              </w:rPr>
              <w:t>n.a</w:t>
            </w:r>
          </w:p>
        </w:tc>
      </w:tr>
    </w:tbl>
    <w:p>
      <w:pPr>
        <w:pStyle w:val="BodyText"/>
        <w:spacing w:before="73"/>
        <w:ind w:left="326"/>
      </w:pPr>
      <w:r>
        <w:rPr/>
        <w:t>(Source: Department of Education and Training statistical publications, and enrolment submissions to the Department of Education and Training)</w:t>
      </w:r>
    </w:p>
    <w:p>
      <w:pPr>
        <w:pStyle w:val="BodyText"/>
        <w:spacing w:line="249" w:lineRule="auto" w:before="7"/>
        <w:ind w:left="468" w:right="503" w:hanging="142"/>
      </w:pPr>
      <w:r>
        <w:rPr>
          <w:w w:val="70"/>
        </w:rPr>
        <w:t>* </w:t>
      </w:r>
      <w:r>
        <w:rPr>
          <w:w w:val="101"/>
        </w:rPr>
        <w:t>Low </w:t>
      </w:r>
      <w:r>
        <w:rPr>
          <w:w w:val="98"/>
        </w:rPr>
        <w:t>SES </w:t>
      </w:r>
      <w:r>
        <w:rPr>
          <w:w w:val="95"/>
        </w:rPr>
        <w:t>is </w:t>
      </w:r>
      <w:r>
        <w:rPr>
          <w:w w:val="98"/>
        </w:rPr>
        <w:t>based </w:t>
      </w:r>
      <w:r>
        <w:rPr>
          <w:w w:val="98"/>
        </w:rPr>
        <w:t>on </w:t>
      </w:r>
      <w:r>
        <w:rPr>
          <w:w w:val="97"/>
        </w:rPr>
        <w:t>the </w:t>
      </w:r>
      <w:r>
        <w:rPr>
          <w:w w:val="97"/>
        </w:rPr>
        <w:t>students’ </w:t>
      </w:r>
      <w:r>
        <w:rPr>
          <w:w w:val="100"/>
        </w:rPr>
        <w:t>postcode </w:t>
      </w:r>
      <w:r>
        <w:rPr>
          <w:w w:val="99"/>
        </w:rPr>
        <w:t>of </w:t>
      </w:r>
      <w:r>
        <w:rPr>
          <w:w w:val="97"/>
        </w:rPr>
        <w:t>permanent </w:t>
      </w:r>
      <w:r>
        <w:rPr>
          <w:w w:val="97"/>
        </w:rPr>
        <w:t>home </w:t>
      </w:r>
      <w:r>
        <w:rPr>
          <w:w w:val="94"/>
        </w:rPr>
        <w:t>residence, </w:t>
      </w:r>
      <w:r>
        <w:rPr>
          <w:w w:val="98"/>
        </w:rPr>
        <w:t>with </w:t>
      </w:r>
      <w:r>
        <w:rPr>
          <w:w w:val="97"/>
        </w:rPr>
        <w:t>the </w:t>
      </w:r>
      <w:r>
        <w:rPr>
          <w:w w:val="98"/>
        </w:rPr>
        <w:t>SES </w:t>
      </w:r>
      <w:r>
        <w:rPr>
          <w:w w:val="96"/>
        </w:rPr>
        <w:t>value </w:t>
      </w:r>
      <w:r>
        <w:rPr>
          <w:w w:val="98"/>
        </w:rPr>
        <w:t>derived </w:t>
      </w:r>
      <w:r>
        <w:rPr>
          <w:w w:val="98"/>
        </w:rPr>
        <w:t>from </w:t>
      </w:r>
      <w:r>
        <w:rPr>
          <w:w w:val="97"/>
        </w:rPr>
        <w:t>the </w:t>
      </w:r>
      <w:r>
        <w:rPr>
          <w:w w:val="104"/>
        </w:rPr>
        <w:t>ABS </w:t>
      </w:r>
      <w:r>
        <w:rPr>
          <w:w w:val="78"/>
        </w:rPr>
        <w:t>2011 </w:t>
      </w:r>
      <w:r>
        <w:rPr>
          <w:w w:val="96"/>
        </w:rPr>
        <w:t>Census </w:t>
      </w:r>
      <w:r>
        <w:rPr>
          <w:w w:val="96"/>
        </w:rPr>
        <w:t>SEIFA </w:t>
      </w:r>
      <w:r>
        <w:rPr>
          <w:w w:val="91"/>
        </w:rPr>
        <w:t>Index </w:t>
      </w:r>
      <w:r>
        <w:rPr/>
        <w:t>for Education and Occupation for postcodes.</w:t>
      </w:r>
    </w:p>
    <w:p>
      <w:pPr>
        <w:pStyle w:val="BodyText"/>
        <w:spacing w:line="192" w:lineRule="exact"/>
        <w:ind w:left="326" w:right="7611"/>
      </w:pPr>
      <w:r>
        <w:rPr/>
        <w:t>** Table A Providers only</w:t>
      </w:r>
    </w:p>
    <w:p>
      <w:pPr>
        <w:pStyle w:val="BodyText"/>
      </w:pPr>
    </w:p>
    <w:p>
      <w:pPr>
        <w:pStyle w:val="BodyText"/>
        <w:spacing w:before="3"/>
        <w:rPr>
          <w:sz w:val="13"/>
        </w:rPr>
      </w:pPr>
    </w:p>
    <w:p>
      <w:pPr>
        <w:pStyle w:val="Heading7"/>
        <w:ind w:left="326" w:right="503"/>
      </w:pPr>
      <w:r>
        <w:rPr>
          <w:color w:val="615C58"/>
        </w:rPr>
        <w:t>Table 8: Student Load (EFTSL) by Funding Source, 2014 – 2016 (p)</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8"/>
        <w:gridCol w:w="1148"/>
        <w:gridCol w:w="1148"/>
        <w:gridCol w:w="1148"/>
        <w:gridCol w:w="1148"/>
        <w:gridCol w:w="1148"/>
        <w:gridCol w:w="1148"/>
      </w:tblGrid>
      <w:tr>
        <w:trPr>
          <w:trHeight w:val="312" w:hRule="exact"/>
        </w:trPr>
        <w:tc>
          <w:tcPr>
            <w:tcW w:w="3208" w:type="dxa"/>
            <w:tcBorders>
              <w:top w:val="nil"/>
              <w:left w:val="nil"/>
              <w:bottom w:val="nil"/>
              <w:right w:val="nil"/>
            </w:tcBorders>
            <w:shd w:val="clear" w:color="auto" w:fill="949290"/>
          </w:tcPr>
          <w:p>
            <w:pPr>
              <w:pStyle w:val="TableParagraph"/>
              <w:spacing w:before="66"/>
              <w:ind w:left="80"/>
              <w:jc w:val="left"/>
              <w:rPr>
                <w:rFonts w:ascii="Gotham Narrow Bold"/>
                <w:b/>
                <w:sz w:val="16"/>
              </w:rPr>
            </w:pPr>
            <w:r>
              <w:rPr>
                <w:rFonts w:ascii="Gotham Narrow Bold"/>
                <w:b/>
                <w:color w:val="FFFFFF"/>
                <w:w w:val="95"/>
                <w:sz w:val="16"/>
              </w:rPr>
              <w:t>FUNDING SOURCE</w:t>
            </w:r>
          </w:p>
        </w:tc>
        <w:tc>
          <w:tcPr>
            <w:tcW w:w="2296" w:type="dxa"/>
            <w:gridSpan w:val="2"/>
            <w:tcBorders>
              <w:top w:val="nil"/>
              <w:left w:val="nil"/>
              <w:bottom w:val="nil"/>
              <w:right w:val="nil"/>
            </w:tcBorders>
            <w:shd w:val="clear" w:color="auto" w:fill="949290"/>
          </w:tcPr>
          <w:p>
            <w:pPr>
              <w:pStyle w:val="TableParagraph"/>
              <w:tabs>
                <w:tab w:pos="2092" w:val="left" w:leader="none"/>
              </w:tabs>
              <w:spacing w:before="66"/>
              <w:ind w:left="717"/>
              <w:jc w:val="left"/>
              <w:rPr>
                <w:rFonts w:ascii="Gotham Narrow Bold"/>
                <w:b/>
                <w:sz w:val="16"/>
              </w:rPr>
            </w:pPr>
            <w:r>
              <w:rPr>
                <w:rFonts w:ascii="Gotham Narrow Bold"/>
                <w:b/>
                <w:color w:val="FFFFFF"/>
                <w:sz w:val="16"/>
              </w:rPr>
              <w:t>2014</w:t>
              <w:tab/>
              <w:t>%</w:t>
            </w:r>
          </w:p>
        </w:tc>
        <w:tc>
          <w:tcPr>
            <w:tcW w:w="2296" w:type="dxa"/>
            <w:gridSpan w:val="2"/>
            <w:tcBorders>
              <w:top w:val="nil"/>
              <w:left w:val="nil"/>
              <w:bottom w:val="nil"/>
              <w:right w:val="nil"/>
            </w:tcBorders>
            <w:shd w:val="clear" w:color="auto" w:fill="949290"/>
          </w:tcPr>
          <w:p>
            <w:pPr>
              <w:pStyle w:val="TableParagraph"/>
              <w:tabs>
                <w:tab w:pos="2092" w:val="left" w:leader="none"/>
              </w:tabs>
              <w:spacing w:before="66"/>
              <w:ind w:left="725"/>
              <w:jc w:val="left"/>
              <w:rPr>
                <w:rFonts w:ascii="Gotham Narrow Bold"/>
                <w:b/>
                <w:sz w:val="16"/>
              </w:rPr>
            </w:pPr>
            <w:r>
              <w:rPr>
                <w:rFonts w:ascii="Gotham Narrow Bold"/>
                <w:b/>
                <w:color w:val="FFFFFF"/>
                <w:sz w:val="16"/>
              </w:rPr>
              <w:t>2015</w:t>
              <w:tab/>
              <w:t>%</w:t>
            </w:r>
          </w:p>
        </w:tc>
        <w:tc>
          <w:tcPr>
            <w:tcW w:w="2296" w:type="dxa"/>
            <w:gridSpan w:val="2"/>
            <w:tcBorders>
              <w:top w:val="nil"/>
              <w:left w:val="nil"/>
              <w:bottom w:val="nil"/>
              <w:right w:val="nil"/>
            </w:tcBorders>
            <w:shd w:val="clear" w:color="auto" w:fill="949290"/>
          </w:tcPr>
          <w:p>
            <w:pPr>
              <w:pStyle w:val="TableParagraph"/>
              <w:tabs>
                <w:tab w:pos="2092" w:val="left" w:leader="none"/>
              </w:tabs>
              <w:spacing w:before="66"/>
              <w:ind w:left="463"/>
              <w:jc w:val="left"/>
              <w:rPr>
                <w:rFonts w:ascii="Gotham Narrow Bold"/>
                <w:b/>
                <w:sz w:val="16"/>
              </w:rPr>
            </w:pPr>
            <w:r>
              <w:rPr>
                <w:rFonts w:ascii="Gotham Narrow Bold"/>
                <w:b/>
                <w:color w:val="FFFFFF"/>
                <w:sz w:val="16"/>
              </w:rPr>
              <w:t>2016</w:t>
            </w:r>
            <w:r>
              <w:rPr>
                <w:rFonts w:ascii="Gotham Narrow Bold"/>
                <w:b/>
                <w:color w:val="FFFFFF"/>
                <w:spacing w:val="-13"/>
                <w:sz w:val="16"/>
              </w:rPr>
              <w:t> </w:t>
            </w:r>
            <w:r>
              <w:rPr>
                <w:rFonts w:ascii="Gotham Narrow Bold"/>
                <w:b/>
                <w:color w:val="FFFFFF"/>
                <w:sz w:val="16"/>
              </w:rPr>
              <w:t>(p)</w:t>
              <w:tab/>
              <w:t>%</w:t>
            </w:r>
          </w:p>
        </w:tc>
      </w:tr>
      <w:tr>
        <w:trPr>
          <w:trHeight w:val="312" w:hRule="exact"/>
        </w:trPr>
        <w:tc>
          <w:tcPr>
            <w:tcW w:w="3208" w:type="dxa"/>
            <w:tcBorders>
              <w:top w:val="nil"/>
            </w:tcBorders>
            <w:shd w:val="clear" w:color="auto" w:fill="E9E9E9"/>
          </w:tcPr>
          <w:p>
            <w:pPr>
              <w:pStyle w:val="TableParagraph"/>
              <w:spacing w:before="60"/>
              <w:ind w:left="75"/>
              <w:jc w:val="left"/>
              <w:rPr>
                <w:sz w:val="16"/>
              </w:rPr>
            </w:pPr>
            <w:r>
              <w:rPr>
                <w:sz w:val="16"/>
              </w:rPr>
              <w:t>Commonwealth Grants Scheme</w:t>
            </w:r>
          </w:p>
        </w:tc>
        <w:tc>
          <w:tcPr>
            <w:tcW w:w="1148" w:type="dxa"/>
            <w:tcBorders>
              <w:top w:val="nil"/>
            </w:tcBorders>
            <w:shd w:val="clear" w:color="auto" w:fill="E9E9E9"/>
          </w:tcPr>
          <w:p>
            <w:pPr>
              <w:pStyle w:val="TableParagraph"/>
              <w:spacing w:before="60"/>
              <w:ind w:right="72"/>
              <w:rPr>
                <w:sz w:val="16"/>
              </w:rPr>
            </w:pPr>
            <w:r>
              <w:rPr>
                <w:w w:val="90"/>
                <w:sz w:val="16"/>
              </w:rPr>
              <w:t>28,387</w:t>
            </w:r>
          </w:p>
        </w:tc>
        <w:tc>
          <w:tcPr>
            <w:tcW w:w="1148" w:type="dxa"/>
            <w:tcBorders>
              <w:top w:val="nil"/>
            </w:tcBorders>
            <w:shd w:val="clear" w:color="auto" w:fill="E9E9E9"/>
          </w:tcPr>
          <w:p>
            <w:pPr>
              <w:pStyle w:val="TableParagraph"/>
              <w:spacing w:before="60"/>
              <w:ind w:right="71"/>
              <w:rPr>
                <w:sz w:val="16"/>
              </w:rPr>
            </w:pPr>
            <w:r>
              <w:rPr>
                <w:w w:val="85"/>
                <w:sz w:val="16"/>
              </w:rPr>
              <w:t>86.3%</w:t>
            </w:r>
          </w:p>
        </w:tc>
        <w:tc>
          <w:tcPr>
            <w:tcW w:w="1148" w:type="dxa"/>
            <w:tcBorders>
              <w:top w:val="nil"/>
            </w:tcBorders>
            <w:shd w:val="clear" w:color="auto" w:fill="E9E9E9"/>
          </w:tcPr>
          <w:p>
            <w:pPr>
              <w:pStyle w:val="TableParagraph"/>
              <w:spacing w:before="60"/>
              <w:ind w:right="75"/>
              <w:rPr>
                <w:sz w:val="16"/>
              </w:rPr>
            </w:pPr>
            <w:r>
              <w:rPr>
                <w:w w:val="85"/>
                <w:sz w:val="16"/>
              </w:rPr>
              <w:t>29,147</w:t>
            </w:r>
          </w:p>
        </w:tc>
        <w:tc>
          <w:tcPr>
            <w:tcW w:w="1148" w:type="dxa"/>
            <w:tcBorders>
              <w:top w:val="nil"/>
            </w:tcBorders>
            <w:shd w:val="clear" w:color="auto" w:fill="E9E9E9"/>
          </w:tcPr>
          <w:p>
            <w:pPr>
              <w:pStyle w:val="TableParagraph"/>
              <w:spacing w:before="60"/>
              <w:ind w:right="71"/>
              <w:rPr>
                <w:sz w:val="16"/>
              </w:rPr>
            </w:pPr>
            <w:r>
              <w:rPr>
                <w:w w:val="85"/>
                <w:sz w:val="16"/>
              </w:rPr>
              <w:t>86.6%</w:t>
            </w:r>
          </w:p>
        </w:tc>
        <w:tc>
          <w:tcPr>
            <w:tcW w:w="1148" w:type="dxa"/>
            <w:tcBorders>
              <w:top w:val="nil"/>
            </w:tcBorders>
            <w:shd w:val="clear" w:color="auto" w:fill="E9E9E9"/>
          </w:tcPr>
          <w:p>
            <w:pPr>
              <w:pStyle w:val="TableParagraph"/>
              <w:spacing w:before="60"/>
              <w:ind w:right="72"/>
              <w:rPr>
                <w:sz w:val="16"/>
              </w:rPr>
            </w:pPr>
            <w:r>
              <w:rPr>
                <w:w w:val="90"/>
                <w:sz w:val="16"/>
              </w:rPr>
              <w:t>28,416</w:t>
            </w:r>
          </w:p>
        </w:tc>
        <w:tc>
          <w:tcPr>
            <w:tcW w:w="1148" w:type="dxa"/>
            <w:tcBorders>
              <w:top w:val="nil"/>
            </w:tcBorders>
            <w:shd w:val="clear" w:color="auto" w:fill="E9E9E9"/>
          </w:tcPr>
          <w:p>
            <w:pPr>
              <w:pStyle w:val="TableParagraph"/>
              <w:spacing w:before="60"/>
              <w:ind w:right="69"/>
              <w:rPr>
                <w:sz w:val="16"/>
              </w:rPr>
            </w:pPr>
            <w:r>
              <w:rPr>
                <w:w w:val="85"/>
                <w:sz w:val="16"/>
              </w:rPr>
              <w:t>85.0%</w:t>
            </w:r>
          </w:p>
        </w:tc>
      </w:tr>
      <w:tr>
        <w:trPr>
          <w:trHeight w:val="312" w:hRule="exact"/>
        </w:trPr>
        <w:tc>
          <w:tcPr>
            <w:tcW w:w="3208" w:type="dxa"/>
            <w:shd w:val="clear" w:color="auto" w:fill="E9E9E9"/>
          </w:tcPr>
          <w:p>
            <w:pPr>
              <w:pStyle w:val="TableParagraph"/>
              <w:ind w:left="74"/>
              <w:jc w:val="left"/>
              <w:rPr>
                <w:sz w:val="16"/>
              </w:rPr>
            </w:pPr>
            <w:r>
              <w:rPr>
                <w:sz w:val="16"/>
              </w:rPr>
              <w:t>Research Training Scheme</w:t>
            </w:r>
          </w:p>
        </w:tc>
        <w:tc>
          <w:tcPr>
            <w:tcW w:w="1148" w:type="dxa"/>
            <w:shd w:val="clear" w:color="auto" w:fill="E9E9E9"/>
          </w:tcPr>
          <w:p>
            <w:pPr>
              <w:pStyle w:val="TableParagraph"/>
              <w:ind w:right="72"/>
              <w:rPr>
                <w:sz w:val="16"/>
              </w:rPr>
            </w:pPr>
            <w:r>
              <w:rPr>
                <w:w w:val="95"/>
                <w:sz w:val="16"/>
              </w:rPr>
              <w:t>493</w:t>
            </w:r>
          </w:p>
        </w:tc>
        <w:tc>
          <w:tcPr>
            <w:tcW w:w="1148" w:type="dxa"/>
            <w:shd w:val="clear" w:color="auto" w:fill="E9E9E9"/>
          </w:tcPr>
          <w:p>
            <w:pPr>
              <w:pStyle w:val="TableParagraph"/>
              <w:ind w:right="72"/>
              <w:rPr>
                <w:sz w:val="16"/>
              </w:rPr>
            </w:pPr>
            <w:r>
              <w:rPr>
                <w:w w:val="70"/>
                <w:sz w:val="16"/>
              </w:rPr>
              <w:t>1.5%</w:t>
            </w:r>
          </w:p>
        </w:tc>
        <w:tc>
          <w:tcPr>
            <w:tcW w:w="1148" w:type="dxa"/>
            <w:shd w:val="clear" w:color="auto" w:fill="E9E9E9"/>
          </w:tcPr>
          <w:p>
            <w:pPr>
              <w:pStyle w:val="TableParagraph"/>
              <w:ind w:right="73"/>
              <w:rPr>
                <w:sz w:val="16"/>
              </w:rPr>
            </w:pPr>
            <w:r>
              <w:rPr>
                <w:w w:val="105"/>
                <w:sz w:val="16"/>
              </w:rPr>
              <w:t>490</w:t>
            </w:r>
          </w:p>
        </w:tc>
        <w:tc>
          <w:tcPr>
            <w:tcW w:w="1148" w:type="dxa"/>
            <w:shd w:val="clear" w:color="auto" w:fill="E9E9E9"/>
          </w:tcPr>
          <w:p>
            <w:pPr>
              <w:pStyle w:val="TableParagraph"/>
              <w:ind w:right="73"/>
              <w:rPr>
                <w:sz w:val="16"/>
              </w:rPr>
            </w:pPr>
            <w:r>
              <w:rPr>
                <w:w w:val="70"/>
                <w:sz w:val="16"/>
              </w:rPr>
              <w:t>1.5%</w:t>
            </w:r>
          </w:p>
        </w:tc>
        <w:tc>
          <w:tcPr>
            <w:tcW w:w="1148" w:type="dxa"/>
            <w:shd w:val="clear" w:color="auto" w:fill="E9E9E9"/>
          </w:tcPr>
          <w:p>
            <w:pPr>
              <w:pStyle w:val="TableParagraph"/>
              <w:ind w:right="74"/>
              <w:rPr>
                <w:sz w:val="16"/>
              </w:rPr>
            </w:pPr>
            <w:r>
              <w:rPr>
                <w:w w:val="95"/>
                <w:sz w:val="16"/>
              </w:rPr>
              <w:t>570</w:t>
            </w:r>
          </w:p>
        </w:tc>
        <w:tc>
          <w:tcPr>
            <w:tcW w:w="1148" w:type="dxa"/>
            <w:shd w:val="clear" w:color="auto" w:fill="E9E9E9"/>
          </w:tcPr>
          <w:p>
            <w:pPr>
              <w:pStyle w:val="TableParagraph"/>
              <w:ind w:right="73"/>
              <w:rPr>
                <w:sz w:val="16"/>
              </w:rPr>
            </w:pPr>
            <w:r>
              <w:rPr>
                <w:w w:val="70"/>
                <w:sz w:val="16"/>
              </w:rPr>
              <w:t>1.7%</w:t>
            </w:r>
          </w:p>
        </w:tc>
      </w:tr>
      <w:tr>
        <w:trPr>
          <w:trHeight w:val="312" w:hRule="exact"/>
        </w:trPr>
        <w:tc>
          <w:tcPr>
            <w:tcW w:w="3208" w:type="dxa"/>
            <w:shd w:val="clear" w:color="auto" w:fill="E9E9E9"/>
          </w:tcPr>
          <w:p>
            <w:pPr>
              <w:pStyle w:val="TableParagraph"/>
              <w:ind w:left="74"/>
              <w:jc w:val="left"/>
              <w:rPr>
                <w:sz w:val="16"/>
              </w:rPr>
            </w:pPr>
            <w:r>
              <w:rPr>
                <w:sz w:val="16"/>
              </w:rPr>
              <w:t>Sub-Total Commonwealth Funded Load</w:t>
            </w:r>
          </w:p>
        </w:tc>
        <w:tc>
          <w:tcPr>
            <w:tcW w:w="1148" w:type="dxa"/>
            <w:shd w:val="clear" w:color="auto" w:fill="E9E9E9"/>
          </w:tcPr>
          <w:p>
            <w:pPr>
              <w:pStyle w:val="TableParagraph"/>
              <w:ind w:right="74"/>
              <w:rPr>
                <w:sz w:val="16"/>
              </w:rPr>
            </w:pPr>
            <w:r>
              <w:rPr>
                <w:w w:val="95"/>
                <w:sz w:val="16"/>
              </w:rPr>
              <w:t>28,880</w:t>
            </w:r>
          </w:p>
        </w:tc>
        <w:tc>
          <w:tcPr>
            <w:tcW w:w="1148" w:type="dxa"/>
            <w:shd w:val="clear" w:color="auto" w:fill="E9E9E9"/>
          </w:tcPr>
          <w:p>
            <w:pPr>
              <w:pStyle w:val="TableParagraph"/>
              <w:ind w:right="72"/>
              <w:rPr>
                <w:sz w:val="16"/>
              </w:rPr>
            </w:pPr>
            <w:r>
              <w:rPr>
                <w:w w:val="85"/>
                <w:sz w:val="16"/>
              </w:rPr>
              <w:t>87.7%</w:t>
            </w:r>
          </w:p>
        </w:tc>
        <w:tc>
          <w:tcPr>
            <w:tcW w:w="1148" w:type="dxa"/>
            <w:shd w:val="clear" w:color="auto" w:fill="E9E9E9"/>
          </w:tcPr>
          <w:p>
            <w:pPr>
              <w:pStyle w:val="TableParagraph"/>
              <w:ind w:right="72"/>
              <w:rPr>
                <w:sz w:val="16"/>
              </w:rPr>
            </w:pPr>
            <w:r>
              <w:rPr>
                <w:w w:val="95"/>
                <w:sz w:val="16"/>
              </w:rPr>
              <w:t>29,638</w:t>
            </w:r>
          </w:p>
        </w:tc>
        <w:tc>
          <w:tcPr>
            <w:tcW w:w="1148" w:type="dxa"/>
            <w:shd w:val="clear" w:color="auto" w:fill="E9E9E9"/>
          </w:tcPr>
          <w:p>
            <w:pPr>
              <w:pStyle w:val="TableParagraph"/>
              <w:ind w:right="72"/>
              <w:rPr>
                <w:sz w:val="16"/>
              </w:rPr>
            </w:pPr>
            <w:r>
              <w:rPr>
                <w:w w:val="90"/>
                <w:sz w:val="16"/>
              </w:rPr>
              <w:t>88.0%</w:t>
            </w:r>
          </w:p>
        </w:tc>
        <w:tc>
          <w:tcPr>
            <w:tcW w:w="1148" w:type="dxa"/>
            <w:shd w:val="clear" w:color="auto" w:fill="E9E9E9"/>
          </w:tcPr>
          <w:p>
            <w:pPr>
              <w:pStyle w:val="TableParagraph"/>
              <w:ind w:right="73"/>
              <w:rPr>
                <w:sz w:val="16"/>
              </w:rPr>
            </w:pPr>
            <w:r>
              <w:rPr>
                <w:w w:val="95"/>
                <w:sz w:val="16"/>
              </w:rPr>
              <w:t>28,986</w:t>
            </w:r>
          </w:p>
        </w:tc>
        <w:tc>
          <w:tcPr>
            <w:tcW w:w="1148" w:type="dxa"/>
            <w:shd w:val="clear" w:color="auto" w:fill="E9E9E9"/>
          </w:tcPr>
          <w:p>
            <w:pPr>
              <w:pStyle w:val="TableParagraph"/>
              <w:ind w:right="74"/>
              <w:rPr>
                <w:sz w:val="16"/>
              </w:rPr>
            </w:pPr>
            <w:r>
              <w:rPr>
                <w:w w:val="85"/>
                <w:sz w:val="16"/>
              </w:rPr>
              <w:t>86.7%</w:t>
            </w:r>
          </w:p>
        </w:tc>
      </w:tr>
      <w:tr>
        <w:trPr>
          <w:trHeight w:val="312" w:hRule="exact"/>
        </w:trPr>
        <w:tc>
          <w:tcPr>
            <w:tcW w:w="3208" w:type="dxa"/>
            <w:shd w:val="clear" w:color="auto" w:fill="E9E9E9"/>
          </w:tcPr>
          <w:p>
            <w:pPr>
              <w:pStyle w:val="TableParagraph"/>
              <w:ind w:left="75"/>
              <w:jc w:val="left"/>
              <w:rPr>
                <w:sz w:val="16"/>
              </w:rPr>
            </w:pPr>
            <w:r>
              <w:rPr>
                <w:sz w:val="16"/>
              </w:rPr>
              <w:t>Domestic Fee-Paying</w:t>
            </w:r>
          </w:p>
        </w:tc>
        <w:tc>
          <w:tcPr>
            <w:tcW w:w="1148" w:type="dxa"/>
            <w:shd w:val="clear" w:color="auto" w:fill="E9E9E9"/>
          </w:tcPr>
          <w:p>
            <w:pPr>
              <w:pStyle w:val="TableParagraph"/>
              <w:ind w:right="73"/>
              <w:rPr>
                <w:sz w:val="16"/>
              </w:rPr>
            </w:pPr>
            <w:r>
              <w:rPr>
                <w:sz w:val="16"/>
              </w:rPr>
              <w:t>620</w:t>
            </w:r>
          </w:p>
        </w:tc>
        <w:tc>
          <w:tcPr>
            <w:tcW w:w="1148" w:type="dxa"/>
            <w:shd w:val="clear" w:color="auto" w:fill="E9E9E9"/>
          </w:tcPr>
          <w:p>
            <w:pPr>
              <w:pStyle w:val="TableParagraph"/>
              <w:ind w:right="74"/>
              <w:rPr>
                <w:sz w:val="16"/>
              </w:rPr>
            </w:pPr>
            <w:r>
              <w:rPr>
                <w:w w:val="75"/>
                <w:sz w:val="16"/>
              </w:rPr>
              <w:t>1.9%</w:t>
            </w:r>
          </w:p>
        </w:tc>
        <w:tc>
          <w:tcPr>
            <w:tcW w:w="1148" w:type="dxa"/>
            <w:shd w:val="clear" w:color="auto" w:fill="E9E9E9"/>
          </w:tcPr>
          <w:p>
            <w:pPr>
              <w:pStyle w:val="TableParagraph"/>
              <w:ind w:right="69"/>
              <w:rPr>
                <w:sz w:val="16"/>
              </w:rPr>
            </w:pPr>
            <w:r>
              <w:rPr>
                <w:w w:val="95"/>
                <w:sz w:val="16"/>
              </w:rPr>
              <w:t>589</w:t>
            </w:r>
          </w:p>
        </w:tc>
        <w:tc>
          <w:tcPr>
            <w:tcW w:w="1148" w:type="dxa"/>
            <w:shd w:val="clear" w:color="auto" w:fill="E9E9E9"/>
          </w:tcPr>
          <w:p>
            <w:pPr>
              <w:pStyle w:val="TableParagraph"/>
              <w:ind w:right="69"/>
              <w:rPr>
                <w:sz w:val="16"/>
              </w:rPr>
            </w:pPr>
            <w:r>
              <w:rPr>
                <w:w w:val="75"/>
                <w:sz w:val="16"/>
              </w:rPr>
              <w:t>1.8%</w:t>
            </w:r>
          </w:p>
        </w:tc>
        <w:tc>
          <w:tcPr>
            <w:tcW w:w="1148" w:type="dxa"/>
            <w:shd w:val="clear" w:color="auto" w:fill="E9E9E9"/>
          </w:tcPr>
          <w:p>
            <w:pPr>
              <w:pStyle w:val="TableParagraph"/>
              <w:ind w:right="72"/>
              <w:rPr>
                <w:sz w:val="16"/>
              </w:rPr>
            </w:pPr>
            <w:r>
              <w:rPr>
                <w:w w:val="95"/>
                <w:sz w:val="16"/>
              </w:rPr>
              <w:t>688</w:t>
            </w:r>
          </w:p>
        </w:tc>
        <w:tc>
          <w:tcPr>
            <w:tcW w:w="1148" w:type="dxa"/>
            <w:shd w:val="clear" w:color="auto" w:fill="E9E9E9"/>
          </w:tcPr>
          <w:p>
            <w:pPr>
              <w:pStyle w:val="TableParagraph"/>
              <w:ind w:right="73"/>
              <w:rPr>
                <w:sz w:val="16"/>
              </w:rPr>
            </w:pPr>
            <w:r>
              <w:rPr>
                <w:w w:val="70"/>
                <w:sz w:val="16"/>
              </w:rPr>
              <w:t>2.1%</w:t>
            </w:r>
          </w:p>
        </w:tc>
      </w:tr>
      <w:tr>
        <w:trPr>
          <w:trHeight w:val="312" w:hRule="exact"/>
        </w:trPr>
        <w:tc>
          <w:tcPr>
            <w:tcW w:w="3208" w:type="dxa"/>
            <w:shd w:val="clear" w:color="auto" w:fill="E9E9E9"/>
          </w:tcPr>
          <w:p>
            <w:pPr>
              <w:pStyle w:val="TableParagraph"/>
              <w:ind w:left="74"/>
              <w:jc w:val="left"/>
              <w:rPr>
                <w:sz w:val="16"/>
              </w:rPr>
            </w:pPr>
            <w:r>
              <w:rPr>
                <w:w w:val="95"/>
                <w:sz w:val="16"/>
              </w:rPr>
              <w:t>International On-shore</w:t>
            </w:r>
          </w:p>
        </w:tc>
        <w:tc>
          <w:tcPr>
            <w:tcW w:w="1148" w:type="dxa"/>
            <w:shd w:val="clear" w:color="auto" w:fill="E9E9E9"/>
          </w:tcPr>
          <w:p>
            <w:pPr>
              <w:pStyle w:val="TableParagraph"/>
              <w:ind w:right="74"/>
              <w:rPr>
                <w:sz w:val="16"/>
              </w:rPr>
            </w:pPr>
            <w:r>
              <w:rPr>
                <w:w w:val="80"/>
                <w:sz w:val="16"/>
              </w:rPr>
              <w:t>3,176</w:t>
            </w:r>
          </w:p>
        </w:tc>
        <w:tc>
          <w:tcPr>
            <w:tcW w:w="1148" w:type="dxa"/>
            <w:shd w:val="clear" w:color="auto" w:fill="E9E9E9"/>
          </w:tcPr>
          <w:p>
            <w:pPr>
              <w:pStyle w:val="TableParagraph"/>
              <w:ind w:right="72"/>
              <w:rPr>
                <w:sz w:val="16"/>
              </w:rPr>
            </w:pPr>
            <w:r>
              <w:rPr>
                <w:w w:val="85"/>
                <w:sz w:val="16"/>
              </w:rPr>
              <w:t>9.6%</w:t>
            </w:r>
          </w:p>
        </w:tc>
        <w:tc>
          <w:tcPr>
            <w:tcW w:w="1148" w:type="dxa"/>
            <w:shd w:val="clear" w:color="auto" w:fill="E9E9E9"/>
          </w:tcPr>
          <w:p>
            <w:pPr>
              <w:pStyle w:val="TableParagraph"/>
              <w:ind w:right="74"/>
              <w:rPr>
                <w:sz w:val="16"/>
              </w:rPr>
            </w:pPr>
            <w:r>
              <w:rPr>
                <w:w w:val="85"/>
                <w:sz w:val="16"/>
              </w:rPr>
              <w:t>3,196</w:t>
            </w:r>
          </w:p>
        </w:tc>
        <w:tc>
          <w:tcPr>
            <w:tcW w:w="1148" w:type="dxa"/>
            <w:shd w:val="clear" w:color="auto" w:fill="E9E9E9"/>
          </w:tcPr>
          <w:p>
            <w:pPr>
              <w:pStyle w:val="TableParagraph"/>
              <w:ind w:right="72"/>
              <w:rPr>
                <w:sz w:val="16"/>
              </w:rPr>
            </w:pPr>
            <w:r>
              <w:rPr>
                <w:w w:val="85"/>
                <w:sz w:val="16"/>
              </w:rPr>
              <w:t>9.5%</w:t>
            </w:r>
          </w:p>
        </w:tc>
        <w:tc>
          <w:tcPr>
            <w:tcW w:w="1148" w:type="dxa"/>
            <w:shd w:val="clear" w:color="auto" w:fill="E9E9E9"/>
          </w:tcPr>
          <w:p>
            <w:pPr>
              <w:pStyle w:val="TableParagraph"/>
              <w:ind w:right="72"/>
              <w:rPr>
                <w:sz w:val="16"/>
              </w:rPr>
            </w:pPr>
            <w:r>
              <w:rPr>
                <w:w w:val="95"/>
                <w:sz w:val="16"/>
              </w:rPr>
              <w:t>3,449</w:t>
            </w:r>
          </w:p>
        </w:tc>
        <w:tc>
          <w:tcPr>
            <w:tcW w:w="1148" w:type="dxa"/>
            <w:shd w:val="clear" w:color="auto" w:fill="E9E9E9"/>
          </w:tcPr>
          <w:p>
            <w:pPr>
              <w:pStyle w:val="TableParagraph"/>
              <w:ind w:right="71"/>
              <w:rPr>
                <w:sz w:val="16"/>
              </w:rPr>
            </w:pPr>
            <w:r>
              <w:rPr>
                <w:spacing w:val="4"/>
                <w:w w:val="54"/>
                <w:sz w:val="16"/>
              </w:rPr>
              <w:t>1</w:t>
            </w:r>
            <w:r>
              <w:rPr>
                <w:spacing w:val="2"/>
                <w:w w:val="111"/>
                <w:sz w:val="16"/>
              </w:rPr>
              <w:t>0</w:t>
            </w:r>
            <w:r>
              <w:rPr>
                <w:spacing w:val="6"/>
                <w:w w:val="68"/>
                <w:sz w:val="16"/>
              </w:rPr>
              <w:t>.</w:t>
            </w:r>
            <w:r>
              <w:rPr>
                <w:spacing w:val="1"/>
                <w:w w:val="81"/>
                <w:sz w:val="16"/>
              </w:rPr>
              <w:t>3%</w:t>
            </w:r>
          </w:p>
        </w:tc>
      </w:tr>
      <w:tr>
        <w:trPr>
          <w:trHeight w:val="312" w:hRule="exact"/>
        </w:trPr>
        <w:tc>
          <w:tcPr>
            <w:tcW w:w="3208" w:type="dxa"/>
            <w:shd w:val="clear" w:color="auto" w:fill="E9E9E9"/>
          </w:tcPr>
          <w:p>
            <w:pPr>
              <w:pStyle w:val="TableParagraph"/>
              <w:ind w:left="74"/>
              <w:jc w:val="left"/>
              <w:rPr>
                <w:sz w:val="16"/>
              </w:rPr>
            </w:pPr>
            <w:r>
              <w:rPr>
                <w:w w:val="95"/>
                <w:sz w:val="16"/>
              </w:rPr>
              <w:t>International Off-shore</w:t>
            </w:r>
          </w:p>
        </w:tc>
        <w:tc>
          <w:tcPr>
            <w:tcW w:w="1148" w:type="dxa"/>
            <w:shd w:val="clear" w:color="auto" w:fill="E9E9E9"/>
          </w:tcPr>
          <w:p>
            <w:pPr>
              <w:pStyle w:val="TableParagraph"/>
              <w:ind w:right="73"/>
              <w:rPr>
                <w:sz w:val="16"/>
              </w:rPr>
            </w:pPr>
            <w:r>
              <w:rPr>
                <w:w w:val="80"/>
                <w:sz w:val="16"/>
              </w:rPr>
              <w:t>125</w:t>
            </w:r>
          </w:p>
        </w:tc>
        <w:tc>
          <w:tcPr>
            <w:tcW w:w="1148" w:type="dxa"/>
            <w:shd w:val="clear" w:color="auto" w:fill="E9E9E9"/>
          </w:tcPr>
          <w:p>
            <w:pPr>
              <w:pStyle w:val="TableParagraph"/>
              <w:ind w:right="73"/>
              <w:rPr>
                <w:sz w:val="16"/>
              </w:rPr>
            </w:pPr>
            <w:r>
              <w:rPr>
                <w:w w:val="85"/>
                <w:sz w:val="16"/>
              </w:rPr>
              <w:t>0.4%</w:t>
            </w:r>
          </w:p>
        </w:tc>
        <w:tc>
          <w:tcPr>
            <w:tcW w:w="1148" w:type="dxa"/>
            <w:shd w:val="clear" w:color="auto" w:fill="E9E9E9"/>
          </w:tcPr>
          <w:p>
            <w:pPr>
              <w:pStyle w:val="TableParagraph"/>
              <w:ind w:right="72"/>
              <w:rPr>
                <w:sz w:val="16"/>
              </w:rPr>
            </w:pPr>
            <w:r>
              <w:rPr>
                <w:w w:val="85"/>
                <w:sz w:val="16"/>
              </w:rPr>
              <w:t>130</w:t>
            </w:r>
          </w:p>
        </w:tc>
        <w:tc>
          <w:tcPr>
            <w:tcW w:w="1148" w:type="dxa"/>
            <w:shd w:val="clear" w:color="auto" w:fill="E9E9E9"/>
          </w:tcPr>
          <w:p>
            <w:pPr>
              <w:pStyle w:val="TableParagraph"/>
              <w:ind w:right="73"/>
              <w:rPr>
                <w:sz w:val="16"/>
              </w:rPr>
            </w:pPr>
            <w:r>
              <w:rPr>
                <w:w w:val="85"/>
                <w:sz w:val="16"/>
              </w:rPr>
              <w:t>0.4%</w:t>
            </w:r>
          </w:p>
        </w:tc>
        <w:tc>
          <w:tcPr>
            <w:tcW w:w="1148" w:type="dxa"/>
            <w:shd w:val="clear" w:color="auto" w:fill="E9E9E9"/>
          </w:tcPr>
          <w:p>
            <w:pPr>
              <w:pStyle w:val="TableParagraph"/>
              <w:ind w:right="72"/>
              <w:rPr>
                <w:sz w:val="16"/>
              </w:rPr>
            </w:pPr>
            <w:r>
              <w:rPr>
                <w:spacing w:val="2"/>
                <w:w w:val="93"/>
                <w:sz w:val="16"/>
              </w:rPr>
              <w:t>2</w:t>
            </w:r>
            <w:r>
              <w:rPr>
                <w:spacing w:val="1"/>
                <w:w w:val="111"/>
                <w:sz w:val="16"/>
              </w:rPr>
              <w:t>0</w:t>
            </w:r>
            <w:r>
              <w:rPr>
                <w:w w:val="54"/>
                <w:sz w:val="16"/>
              </w:rPr>
              <w:t>1</w:t>
            </w:r>
          </w:p>
        </w:tc>
        <w:tc>
          <w:tcPr>
            <w:tcW w:w="1148" w:type="dxa"/>
            <w:shd w:val="clear" w:color="auto" w:fill="E9E9E9"/>
          </w:tcPr>
          <w:p>
            <w:pPr>
              <w:pStyle w:val="TableParagraph"/>
              <w:ind w:right="72"/>
              <w:rPr>
                <w:sz w:val="16"/>
              </w:rPr>
            </w:pPr>
            <w:r>
              <w:rPr>
                <w:w w:val="85"/>
                <w:sz w:val="16"/>
              </w:rPr>
              <w:t>0.6%</w:t>
            </w:r>
          </w:p>
        </w:tc>
      </w:tr>
      <w:tr>
        <w:trPr>
          <w:trHeight w:val="312" w:hRule="exact"/>
        </w:trPr>
        <w:tc>
          <w:tcPr>
            <w:tcW w:w="3208" w:type="dxa"/>
            <w:shd w:val="clear" w:color="auto" w:fill="E9E9E9"/>
          </w:tcPr>
          <w:p>
            <w:pPr>
              <w:pStyle w:val="TableParagraph"/>
              <w:ind w:left="74"/>
              <w:jc w:val="left"/>
              <w:rPr>
                <w:sz w:val="16"/>
              </w:rPr>
            </w:pPr>
            <w:r>
              <w:rPr>
                <w:sz w:val="16"/>
              </w:rPr>
              <w:t>Non-Award</w:t>
            </w:r>
          </w:p>
        </w:tc>
        <w:tc>
          <w:tcPr>
            <w:tcW w:w="1148" w:type="dxa"/>
            <w:shd w:val="clear" w:color="auto" w:fill="E9E9E9"/>
          </w:tcPr>
          <w:p>
            <w:pPr>
              <w:pStyle w:val="TableParagraph"/>
              <w:spacing w:before="43"/>
              <w:ind w:right="72"/>
              <w:rPr>
                <w:sz w:val="16"/>
              </w:rPr>
            </w:pPr>
            <w:r>
              <w:rPr>
                <w:w w:val="65"/>
                <w:sz w:val="16"/>
              </w:rPr>
              <w:t>112</w:t>
            </w:r>
          </w:p>
        </w:tc>
        <w:tc>
          <w:tcPr>
            <w:tcW w:w="1148" w:type="dxa"/>
            <w:shd w:val="clear" w:color="auto" w:fill="E9E9E9"/>
          </w:tcPr>
          <w:p>
            <w:pPr>
              <w:pStyle w:val="TableParagraph"/>
              <w:ind w:right="71"/>
              <w:rPr>
                <w:sz w:val="16"/>
              </w:rPr>
            </w:pPr>
            <w:r>
              <w:rPr>
                <w:w w:val="85"/>
                <w:sz w:val="16"/>
              </w:rPr>
              <w:t>0.3%</w:t>
            </w:r>
          </w:p>
        </w:tc>
        <w:tc>
          <w:tcPr>
            <w:tcW w:w="1148" w:type="dxa"/>
            <w:shd w:val="clear" w:color="auto" w:fill="E9E9E9"/>
          </w:tcPr>
          <w:p>
            <w:pPr>
              <w:pStyle w:val="TableParagraph"/>
              <w:spacing w:before="43"/>
              <w:ind w:right="73"/>
              <w:rPr>
                <w:sz w:val="16"/>
              </w:rPr>
            </w:pPr>
            <w:r>
              <w:rPr>
                <w:w w:val="65"/>
                <w:sz w:val="16"/>
              </w:rPr>
              <w:t>115</w:t>
            </w:r>
          </w:p>
        </w:tc>
        <w:tc>
          <w:tcPr>
            <w:tcW w:w="1148" w:type="dxa"/>
            <w:shd w:val="clear" w:color="auto" w:fill="E9E9E9"/>
          </w:tcPr>
          <w:p>
            <w:pPr>
              <w:pStyle w:val="TableParagraph"/>
              <w:ind w:right="71"/>
              <w:rPr>
                <w:sz w:val="16"/>
              </w:rPr>
            </w:pPr>
            <w:r>
              <w:rPr>
                <w:w w:val="85"/>
                <w:sz w:val="16"/>
              </w:rPr>
              <w:t>0.3%</w:t>
            </w:r>
          </w:p>
        </w:tc>
        <w:tc>
          <w:tcPr>
            <w:tcW w:w="1148" w:type="dxa"/>
            <w:shd w:val="clear" w:color="auto" w:fill="E9E9E9"/>
          </w:tcPr>
          <w:p>
            <w:pPr>
              <w:pStyle w:val="TableParagraph"/>
              <w:spacing w:before="43"/>
              <w:ind w:right="73"/>
              <w:rPr>
                <w:sz w:val="16"/>
              </w:rPr>
            </w:pPr>
            <w:r>
              <w:rPr>
                <w:w w:val="90"/>
                <w:sz w:val="16"/>
              </w:rPr>
              <w:t>104</w:t>
            </w:r>
          </w:p>
        </w:tc>
        <w:tc>
          <w:tcPr>
            <w:tcW w:w="1148" w:type="dxa"/>
            <w:shd w:val="clear" w:color="auto" w:fill="E9E9E9"/>
          </w:tcPr>
          <w:p>
            <w:pPr>
              <w:pStyle w:val="TableParagraph"/>
              <w:ind w:right="71"/>
              <w:rPr>
                <w:sz w:val="16"/>
              </w:rPr>
            </w:pPr>
            <w:r>
              <w:rPr>
                <w:w w:val="85"/>
                <w:sz w:val="16"/>
              </w:rPr>
              <w:t>0.3%</w:t>
            </w:r>
          </w:p>
        </w:tc>
      </w:tr>
      <w:tr>
        <w:trPr>
          <w:trHeight w:val="312" w:hRule="exact"/>
        </w:trPr>
        <w:tc>
          <w:tcPr>
            <w:tcW w:w="3208" w:type="dxa"/>
            <w:shd w:val="clear" w:color="auto" w:fill="E9E9E9"/>
          </w:tcPr>
          <w:p>
            <w:pPr>
              <w:pStyle w:val="TableParagraph"/>
              <w:ind w:left="75"/>
              <w:jc w:val="left"/>
              <w:rPr>
                <w:sz w:val="16"/>
              </w:rPr>
            </w:pPr>
            <w:r>
              <w:rPr>
                <w:sz w:val="16"/>
              </w:rPr>
              <w:t>Sub-Total Fee-Paying Load</w:t>
            </w:r>
          </w:p>
        </w:tc>
        <w:tc>
          <w:tcPr>
            <w:tcW w:w="1148" w:type="dxa"/>
            <w:shd w:val="clear" w:color="auto" w:fill="E9E9E9"/>
          </w:tcPr>
          <w:p>
            <w:pPr>
              <w:pStyle w:val="TableParagraph"/>
              <w:ind w:right="72"/>
              <w:rPr>
                <w:sz w:val="16"/>
              </w:rPr>
            </w:pPr>
            <w:r>
              <w:rPr>
                <w:w w:val="95"/>
                <w:sz w:val="16"/>
              </w:rPr>
              <w:t>4,032</w:t>
            </w:r>
          </w:p>
        </w:tc>
        <w:tc>
          <w:tcPr>
            <w:tcW w:w="1148" w:type="dxa"/>
            <w:shd w:val="clear" w:color="auto" w:fill="E9E9E9"/>
          </w:tcPr>
          <w:p>
            <w:pPr>
              <w:pStyle w:val="TableParagraph"/>
              <w:ind w:right="71"/>
              <w:rPr>
                <w:sz w:val="16"/>
              </w:rPr>
            </w:pPr>
            <w:r>
              <w:rPr>
                <w:w w:val="75"/>
                <w:sz w:val="16"/>
              </w:rPr>
              <w:t>12.3%</w:t>
            </w:r>
          </w:p>
        </w:tc>
        <w:tc>
          <w:tcPr>
            <w:tcW w:w="1148" w:type="dxa"/>
            <w:shd w:val="clear" w:color="auto" w:fill="E9E9E9"/>
          </w:tcPr>
          <w:p>
            <w:pPr>
              <w:pStyle w:val="TableParagraph"/>
              <w:ind w:right="72"/>
              <w:rPr>
                <w:sz w:val="16"/>
              </w:rPr>
            </w:pPr>
            <w:r>
              <w:rPr>
                <w:sz w:val="16"/>
              </w:rPr>
              <w:t>4,030</w:t>
            </w:r>
          </w:p>
        </w:tc>
        <w:tc>
          <w:tcPr>
            <w:tcW w:w="1148" w:type="dxa"/>
            <w:shd w:val="clear" w:color="auto" w:fill="E9E9E9"/>
          </w:tcPr>
          <w:p>
            <w:pPr>
              <w:pStyle w:val="TableParagraph"/>
              <w:ind w:right="72"/>
              <w:rPr>
                <w:sz w:val="16"/>
              </w:rPr>
            </w:pPr>
            <w:r>
              <w:rPr>
                <w:w w:val="80"/>
                <w:sz w:val="16"/>
              </w:rPr>
              <w:t>12.0%</w:t>
            </w:r>
          </w:p>
        </w:tc>
        <w:tc>
          <w:tcPr>
            <w:tcW w:w="1148" w:type="dxa"/>
            <w:shd w:val="clear" w:color="auto" w:fill="E9E9E9"/>
          </w:tcPr>
          <w:p>
            <w:pPr>
              <w:pStyle w:val="TableParagraph"/>
              <w:ind w:right="72"/>
              <w:rPr>
                <w:sz w:val="16"/>
              </w:rPr>
            </w:pPr>
            <w:r>
              <w:rPr>
                <w:w w:val="95"/>
                <w:sz w:val="16"/>
              </w:rPr>
              <w:t>4,443</w:t>
            </w:r>
          </w:p>
        </w:tc>
        <w:tc>
          <w:tcPr>
            <w:tcW w:w="1148" w:type="dxa"/>
            <w:shd w:val="clear" w:color="auto" w:fill="E9E9E9"/>
          </w:tcPr>
          <w:p>
            <w:pPr>
              <w:pStyle w:val="TableParagraph"/>
              <w:ind w:right="71"/>
              <w:rPr>
                <w:sz w:val="16"/>
              </w:rPr>
            </w:pPr>
            <w:r>
              <w:rPr>
                <w:w w:val="75"/>
                <w:sz w:val="16"/>
              </w:rPr>
              <w:t>13.3%</w:t>
            </w:r>
          </w:p>
        </w:tc>
      </w:tr>
      <w:tr>
        <w:trPr>
          <w:trHeight w:val="312" w:hRule="exact"/>
        </w:trPr>
        <w:tc>
          <w:tcPr>
            <w:tcW w:w="3208" w:type="dxa"/>
            <w:shd w:val="clear" w:color="auto" w:fill="E9E9E9"/>
          </w:tcPr>
          <w:p>
            <w:pPr>
              <w:pStyle w:val="TableParagraph"/>
              <w:spacing w:before="63"/>
              <w:ind w:left="75"/>
              <w:jc w:val="left"/>
              <w:rPr>
                <w:rFonts w:ascii="Calibri"/>
                <w:sz w:val="16"/>
              </w:rPr>
            </w:pPr>
            <w:r>
              <w:rPr>
                <w:rFonts w:ascii="Calibri"/>
                <w:w w:val="110"/>
                <w:sz w:val="16"/>
              </w:rPr>
              <w:t>UWS Total</w:t>
            </w:r>
          </w:p>
        </w:tc>
        <w:tc>
          <w:tcPr>
            <w:tcW w:w="1148" w:type="dxa"/>
            <w:shd w:val="clear" w:color="auto" w:fill="E9E9E9"/>
          </w:tcPr>
          <w:p>
            <w:pPr>
              <w:pStyle w:val="TableParagraph"/>
              <w:spacing w:before="63"/>
              <w:ind w:right="71"/>
              <w:rPr>
                <w:rFonts w:ascii="Calibri"/>
                <w:sz w:val="16"/>
              </w:rPr>
            </w:pPr>
            <w:r>
              <w:rPr>
                <w:rFonts w:ascii="Calibri"/>
                <w:sz w:val="16"/>
              </w:rPr>
              <w:t>32,912</w:t>
            </w:r>
          </w:p>
        </w:tc>
        <w:tc>
          <w:tcPr>
            <w:tcW w:w="1148" w:type="dxa"/>
            <w:shd w:val="clear" w:color="auto" w:fill="E9E9E9"/>
          </w:tcPr>
          <w:p>
            <w:pPr>
              <w:pStyle w:val="TableParagraph"/>
              <w:spacing w:before="63"/>
              <w:ind w:right="72"/>
              <w:rPr>
                <w:rFonts w:ascii="Calibri"/>
                <w:sz w:val="16"/>
              </w:rPr>
            </w:pPr>
            <w:r>
              <w:rPr>
                <w:rFonts w:ascii="Calibri"/>
                <w:w w:val="110"/>
                <w:sz w:val="16"/>
              </w:rPr>
              <w:t>100.0%</w:t>
            </w:r>
          </w:p>
        </w:tc>
        <w:tc>
          <w:tcPr>
            <w:tcW w:w="1148" w:type="dxa"/>
            <w:shd w:val="clear" w:color="auto" w:fill="E9E9E9"/>
          </w:tcPr>
          <w:p>
            <w:pPr>
              <w:pStyle w:val="TableParagraph"/>
              <w:spacing w:before="63"/>
              <w:ind w:right="72"/>
              <w:rPr>
                <w:rFonts w:ascii="Calibri"/>
                <w:sz w:val="16"/>
              </w:rPr>
            </w:pPr>
            <w:r>
              <w:rPr>
                <w:rFonts w:ascii="Calibri"/>
                <w:w w:val="105"/>
                <w:sz w:val="16"/>
              </w:rPr>
              <w:t>33,668</w:t>
            </w:r>
          </w:p>
        </w:tc>
        <w:tc>
          <w:tcPr>
            <w:tcW w:w="1148" w:type="dxa"/>
            <w:shd w:val="clear" w:color="auto" w:fill="E9E9E9"/>
          </w:tcPr>
          <w:p>
            <w:pPr>
              <w:pStyle w:val="TableParagraph"/>
              <w:spacing w:before="63"/>
              <w:ind w:right="72"/>
              <w:rPr>
                <w:rFonts w:ascii="Calibri"/>
                <w:sz w:val="16"/>
              </w:rPr>
            </w:pPr>
            <w:r>
              <w:rPr>
                <w:rFonts w:ascii="Calibri"/>
                <w:w w:val="110"/>
                <w:sz w:val="16"/>
              </w:rPr>
              <w:t>100.0%</w:t>
            </w:r>
          </w:p>
        </w:tc>
        <w:tc>
          <w:tcPr>
            <w:tcW w:w="1148" w:type="dxa"/>
            <w:shd w:val="clear" w:color="auto" w:fill="E9E9E9"/>
          </w:tcPr>
          <w:p>
            <w:pPr>
              <w:pStyle w:val="TableParagraph"/>
              <w:spacing w:before="63"/>
              <w:ind w:right="74"/>
              <w:rPr>
                <w:rFonts w:ascii="Calibri"/>
                <w:sz w:val="16"/>
              </w:rPr>
            </w:pPr>
            <w:r>
              <w:rPr>
                <w:rFonts w:ascii="Calibri"/>
                <w:w w:val="110"/>
                <w:sz w:val="16"/>
              </w:rPr>
              <w:t>33,429</w:t>
            </w:r>
          </w:p>
        </w:tc>
        <w:tc>
          <w:tcPr>
            <w:tcW w:w="1148" w:type="dxa"/>
            <w:shd w:val="clear" w:color="auto" w:fill="E9E9E9"/>
          </w:tcPr>
          <w:p>
            <w:pPr>
              <w:pStyle w:val="TableParagraph"/>
              <w:spacing w:before="63"/>
              <w:ind w:right="72"/>
              <w:rPr>
                <w:rFonts w:ascii="Calibri"/>
                <w:sz w:val="16"/>
              </w:rPr>
            </w:pPr>
            <w:r>
              <w:rPr>
                <w:rFonts w:ascii="Calibri"/>
                <w:w w:val="110"/>
                <w:sz w:val="16"/>
              </w:rPr>
              <w:t>100.0%</w:t>
            </w:r>
          </w:p>
        </w:tc>
      </w:tr>
    </w:tbl>
    <w:p>
      <w:pPr>
        <w:pStyle w:val="BodyText"/>
        <w:spacing w:before="43"/>
        <w:ind w:left="332" w:right="6585"/>
      </w:pPr>
      <w:r>
        <w:rPr/>
        <w:t>EFTSL = equivalent full-time student load</w:t>
      </w:r>
    </w:p>
    <w:p>
      <w:pPr>
        <w:pStyle w:val="BodyText"/>
        <w:spacing w:before="7"/>
        <w:ind w:left="332" w:right="503"/>
      </w:pPr>
      <w:r>
        <w:rPr/>
        <w:t>(Source: Enrolment submissions to the Department of Education and Training)</w:t>
      </w:r>
    </w:p>
    <w:p>
      <w:pPr>
        <w:pStyle w:val="BodyText"/>
      </w:pPr>
    </w:p>
    <w:p>
      <w:pPr>
        <w:pStyle w:val="Heading7"/>
        <w:spacing w:before="103"/>
        <w:ind w:left="327" w:right="503"/>
      </w:pPr>
      <w:r>
        <w:rPr>
          <w:color w:val="615C58"/>
          <w:w w:val="95"/>
        </w:rPr>
        <w:t>Table 9: Bachelor Graduates - Explicit Satisfaction, 2013 - 2015</w:t>
      </w:r>
    </w:p>
    <w:p>
      <w:pPr>
        <w:pStyle w:val="BodyText"/>
        <w:spacing w:before="11"/>
        <w:rPr>
          <w:rFonts w:ascii="Gotham Narrow Bold"/>
          <w:b/>
          <w:sz w:val="10"/>
        </w:rPr>
      </w:pPr>
    </w:p>
    <w:tbl>
      <w:tblPr>
        <w:tblW w:w="0" w:type="auto"/>
        <w:jc w:val="left"/>
        <w:tblInd w:w="327"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8"/>
        <w:gridCol w:w="1148"/>
        <w:gridCol w:w="1148"/>
        <w:gridCol w:w="1148"/>
        <w:gridCol w:w="1148"/>
        <w:gridCol w:w="1148"/>
        <w:gridCol w:w="1148"/>
      </w:tblGrid>
      <w:tr>
        <w:trPr>
          <w:trHeight w:val="312" w:hRule="exact"/>
        </w:trPr>
        <w:tc>
          <w:tcPr>
            <w:tcW w:w="3208" w:type="dxa"/>
            <w:vMerge w:val="restart"/>
            <w:tcBorders>
              <w:top w:val="nil"/>
              <w:left w:val="nil"/>
              <w:right w:val="single" w:sz="4" w:space="0" w:color="FFFFFF"/>
            </w:tcBorders>
            <w:shd w:val="clear" w:color="auto" w:fill="949290"/>
          </w:tcPr>
          <w:p>
            <w:pPr>
              <w:pStyle w:val="TableParagraph"/>
              <w:spacing w:before="6"/>
              <w:jc w:val="left"/>
              <w:rPr>
                <w:rFonts w:ascii="Gotham Narrow Bold"/>
                <w:b/>
                <w:sz w:val="18"/>
              </w:rPr>
            </w:pPr>
          </w:p>
          <w:p>
            <w:pPr>
              <w:pStyle w:val="TableParagraph"/>
              <w:spacing w:before="0"/>
              <w:ind w:left="80"/>
              <w:jc w:val="left"/>
              <w:rPr>
                <w:rFonts w:ascii="Gotham Narrow Bold"/>
                <w:b/>
                <w:sz w:val="16"/>
              </w:rPr>
            </w:pPr>
            <w:r>
              <w:rPr>
                <w:rFonts w:ascii="Gotham Narrow Bold"/>
                <w:b/>
                <w:color w:val="FFFFFF"/>
                <w:w w:val="95"/>
                <w:sz w:val="16"/>
              </w:rPr>
              <w:t>EXPLICIT SATISFACTION %</w:t>
            </w:r>
          </w:p>
        </w:tc>
        <w:tc>
          <w:tcPr>
            <w:tcW w:w="2296" w:type="dxa"/>
            <w:gridSpan w:val="2"/>
            <w:tcBorders>
              <w:top w:val="nil"/>
              <w:left w:val="single" w:sz="4" w:space="0" w:color="FFFFFF"/>
              <w:bottom w:val="single" w:sz="4" w:space="0" w:color="FFFFFF"/>
              <w:right w:val="single" w:sz="4" w:space="0" w:color="FFFFFF"/>
            </w:tcBorders>
            <w:shd w:val="clear" w:color="auto" w:fill="949290"/>
          </w:tcPr>
          <w:p>
            <w:pPr>
              <w:pStyle w:val="TableParagraph"/>
              <w:spacing w:before="66"/>
              <w:ind w:left="230"/>
              <w:jc w:val="left"/>
              <w:rPr>
                <w:rFonts w:ascii="Gotham Narrow Bold"/>
                <w:b/>
                <w:sz w:val="16"/>
              </w:rPr>
            </w:pPr>
            <w:r>
              <w:rPr>
                <w:rFonts w:ascii="Gotham Narrow Bold"/>
                <w:b/>
                <w:color w:val="FFFFFF"/>
                <w:w w:val="95"/>
                <w:sz w:val="16"/>
              </w:rPr>
              <w:t>OVERALL SATISFACTION</w:t>
            </w:r>
          </w:p>
        </w:tc>
        <w:tc>
          <w:tcPr>
            <w:tcW w:w="2296" w:type="dxa"/>
            <w:gridSpan w:val="2"/>
            <w:tcBorders>
              <w:top w:val="nil"/>
              <w:left w:val="single" w:sz="4" w:space="0" w:color="FFFFFF"/>
              <w:bottom w:val="single" w:sz="4" w:space="0" w:color="FFFFFF"/>
              <w:right w:val="single" w:sz="4" w:space="0" w:color="FFFFFF"/>
            </w:tcBorders>
            <w:shd w:val="clear" w:color="auto" w:fill="949290"/>
          </w:tcPr>
          <w:p>
            <w:pPr>
              <w:pStyle w:val="TableParagraph"/>
              <w:spacing w:before="66"/>
              <w:ind w:left="509"/>
              <w:jc w:val="left"/>
              <w:rPr>
                <w:rFonts w:ascii="Gotham Narrow Bold"/>
                <w:b/>
                <w:sz w:val="16"/>
              </w:rPr>
            </w:pPr>
            <w:r>
              <w:rPr>
                <w:rFonts w:ascii="Gotham Narrow Bold"/>
                <w:b/>
                <w:color w:val="FFFFFF"/>
                <w:w w:val="95"/>
                <w:sz w:val="16"/>
              </w:rPr>
              <w:t>GOOD TEACHING</w:t>
            </w:r>
          </w:p>
        </w:tc>
        <w:tc>
          <w:tcPr>
            <w:tcW w:w="2296" w:type="dxa"/>
            <w:gridSpan w:val="2"/>
            <w:tcBorders>
              <w:top w:val="nil"/>
              <w:left w:val="single" w:sz="4" w:space="0" w:color="FFFFFF"/>
              <w:bottom w:val="single" w:sz="4" w:space="0" w:color="FFFFFF"/>
              <w:right w:val="nil"/>
            </w:tcBorders>
            <w:shd w:val="clear" w:color="auto" w:fill="949290"/>
          </w:tcPr>
          <w:p>
            <w:pPr>
              <w:pStyle w:val="TableParagraph"/>
              <w:spacing w:before="66"/>
              <w:ind w:left="534"/>
              <w:jc w:val="left"/>
              <w:rPr>
                <w:rFonts w:ascii="Gotham Narrow Bold"/>
                <w:b/>
                <w:sz w:val="16"/>
              </w:rPr>
            </w:pPr>
            <w:r>
              <w:rPr>
                <w:rFonts w:ascii="Gotham Narrow Bold"/>
                <w:b/>
                <w:color w:val="FFFFFF"/>
                <w:w w:val="95"/>
                <w:sz w:val="16"/>
              </w:rPr>
              <w:t>GENERIC SKILLS</w:t>
            </w:r>
          </w:p>
        </w:tc>
      </w:tr>
      <w:tr>
        <w:trPr>
          <w:trHeight w:val="312" w:hRule="exact"/>
        </w:trPr>
        <w:tc>
          <w:tcPr>
            <w:tcW w:w="3208" w:type="dxa"/>
            <w:vMerge/>
            <w:tcBorders>
              <w:left w:val="nil"/>
              <w:bottom w:val="nil"/>
              <w:right w:val="single" w:sz="4" w:space="0" w:color="FFFFFF"/>
            </w:tcBorders>
            <w:shd w:val="clear" w:color="auto" w:fill="949290"/>
          </w:tcPr>
          <w:p>
            <w:pPr/>
          </w:p>
        </w:tc>
        <w:tc>
          <w:tcPr>
            <w:tcW w:w="1148" w:type="dxa"/>
            <w:tcBorders>
              <w:top w:val="single" w:sz="4" w:space="0" w:color="FFFFFF"/>
              <w:left w:val="single" w:sz="4" w:space="0" w:color="FFFFFF"/>
              <w:bottom w:val="nil"/>
              <w:right w:val="single" w:sz="4" w:space="0" w:color="FFFFFF"/>
            </w:tcBorders>
            <w:shd w:val="clear" w:color="auto" w:fill="949290"/>
          </w:tcPr>
          <w:p>
            <w:pPr>
              <w:pStyle w:val="TableParagraph"/>
              <w:spacing w:before="61"/>
              <w:ind w:right="72"/>
              <w:rPr>
                <w:rFonts w:ascii="Gotham Narrow Bold"/>
                <w:b/>
                <w:sz w:val="16"/>
              </w:rPr>
            </w:pPr>
            <w:r>
              <w:rPr>
                <w:rFonts w:ascii="Gotham Narrow Bold"/>
                <w:b/>
                <w:color w:val="FFFFFF"/>
                <w:w w:val="95"/>
                <w:sz w:val="16"/>
              </w:rPr>
              <w:t>UWS</w:t>
            </w:r>
          </w:p>
        </w:tc>
        <w:tc>
          <w:tcPr>
            <w:tcW w:w="1148" w:type="dxa"/>
            <w:tcBorders>
              <w:top w:val="single" w:sz="4" w:space="0" w:color="FFFFFF"/>
              <w:left w:val="single" w:sz="4" w:space="0" w:color="FFFFFF"/>
              <w:bottom w:val="nil"/>
              <w:right w:val="single" w:sz="4" w:space="0" w:color="FFFFFF"/>
            </w:tcBorders>
            <w:shd w:val="clear" w:color="auto" w:fill="949290"/>
          </w:tcPr>
          <w:p>
            <w:pPr>
              <w:pStyle w:val="TableParagraph"/>
              <w:spacing w:before="61"/>
              <w:ind w:right="72"/>
              <w:rPr>
                <w:rFonts w:ascii="Gotham Narrow Bold"/>
                <w:b/>
                <w:sz w:val="16"/>
              </w:rPr>
            </w:pPr>
            <w:r>
              <w:rPr>
                <w:rFonts w:ascii="Gotham Narrow Bold"/>
                <w:b/>
                <w:color w:val="FFFFFF"/>
                <w:w w:val="95"/>
                <w:sz w:val="16"/>
              </w:rPr>
              <w:t>SECTOR</w:t>
            </w:r>
          </w:p>
        </w:tc>
        <w:tc>
          <w:tcPr>
            <w:tcW w:w="1148" w:type="dxa"/>
            <w:tcBorders>
              <w:top w:val="single" w:sz="4" w:space="0" w:color="FFFFFF"/>
              <w:left w:val="single" w:sz="4" w:space="0" w:color="FFFFFF"/>
              <w:bottom w:val="nil"/>
              <w:right w:val="single" w:sz="4" w:space="0" w:color="FFFFFF"/>
            </w:tcBorders>
            <w:shd w:val="clear" w:color="auto" w:fill="949290"/>
          </w:tcPr>
          <w:p>
            <w:pPr>
              <w:pStyle w:val="TableParagraph"/>
              <w:spacing w:before="61"/>
              <w:ind w:right="74"/>
              <w:rPr>
                <w:rFonts w:ascii="Gotham Narrow Bold"/>
                <w:b/>
                <w:sz w:val="16"/>
              </w:rPr>
            </w:pPr>
            <w:r>
              <w:rPr>
                <w:rFonts w:ascii="Gotham Narrow Bold"/>
                <w:b/>
                <w:color w:val="FFFFFF"/>
                <w:w w:val="95"/>
                <w:sz w:val="16"/>
              </w:rPr>
              <w:t>UWS</w:t>
            </w:r>
          </w:p>
        </w:tc>
        <w:tc>
          <w:tcPr>
            <w:tcW w:w="1148" w:type="dxa"/>
            <w:tcBorders>
              <w:top w:val="single" w:sz="4" w:space="0" w:color="FFFFFF"/>
              <w:left w:val="single" w:sz="4" w:space="0" w:color="FFFFFF"/>
              <w:bottom w:val="nil"/>
              <w:right w:val="single" w:sz="4" w:space="0" w:color="FFFFFF"/>
            </w:tcBorders>
            <w:shd w:val="clear" w:color="auto" w:fill="949290"/>
          </w:tcPr>
          <w:p>
            <w:pPr>
              <w:pStyle w:val="TableParagraph"/>
              <w:spacing w:before="61"/>
              <w:ind w:right="73"/>
              <w:rPr>
                <w:rFonts w:ascii="Gotham Narrow Bold"/>
                <w:b/>
                <w:sz w:val="16"/>
              </w:rPr>
            </w:pPr>
            <w:r>
              <w:rPr>
                <w:rFonts w:ascii="Gotham Narrow Bold"/>
                <w:b/>
                <w:color w:val="FFFFFF"/>
                <w:w w:val="95"/>
                <w:sz w:val="16"/>
              </w:rPr>
              <w:t>SECTOR</w:t>
            </w:r>
          </w:p>
        </w:tc>
        <w:tc>
          <w:tcPr>
            <w:tcW w:w="1148" w:type="dxa"/>
            <w:tcBorders>
              <w:top w:val="single" w:sz="4" w:space="0" w:color="FFFFFF"/>
              <w:left w:val="single" w:sz="4" w:space="0" w:color="FFFFFF"/>
              <w:bottom w:val="nil"/>
              <w:right w:val="single" w:sz="4" w:space="0" w:color="FFFFFF"/>
            </w:tcBorders>
            <w:shd w:val="clear" w:color="auto" w:fill="949290"/>
          </w:tcPr>
          <w:p>
            <w:pPr>
              <w:pStyle w:val="TableParagraph"/>
              <w:spacing w:before="61"/>
              <w:ind w:right="73"/>
              <w:rPr>
                <w:rFonts w:ascii="Gotham Narrow Bold"/>
                <w:b/>
                <w:sz w:val="16"/>
              </w:rPr>
            </w:pPr>
            <w:r>
              <w:rPr>
                <w:rFonts w:ascii="Gotham Narrow Bold"/>
                <w:b/>
                <w:color w:val="FFFFFF"/>
                <w:w w:val="95"/>
                <w:sz w:val="16"/>
              </w:rPr>
              <w:t>UWS</w:t>
            </w:r>
          </w:p>
        </w:tc>
        <w:tc>
          <w:tcPr>
            <w:tcW w:w="1148" w:type="dxa"/>
            <w:tcBorders>
              <w:top w:val="single" w:sz="4" w:space="0" w:color="FFFFFF"/>
              <w:left w:val="single" w:sz="4" w:space="0" w:color="FFFFFF"/>
              <w:bottom w:val="nil"/>
              <w:right w:val="nil"/>
            </w:tcBorders>
            <w:shd w:val="clear" w:color="auto" w:fill="949290"/>
          </w:tcPr>
          <w:p>
            <w:pPr>
              <w:pStyle w:val="TableParagraph"/>
              <w:spacing w:before="61"/>
              <w:ind w:right="78"/>
              <w:rPr>
                <w:rFonts w:ascii="Gotham Narrow Bold"/>
                <w:b/>
                <w:sz w:val="16"/>
              </w:rPr>
            </w:pPr>
            <w:r>
              <w:rPr>
                <w:rFonts w:ascii="Gotham Narrow Bold"/>
                <w:b/>
                <w:color w:val="FFFFFF"/>
                <w:w w:val="95"/>
                <w:sz w:val="16"/>
              </w:rPr>
              <w:t>SECTOR</w:t>
            </w:r>
          </w:p>
        </w:tc>
      </w:tr>
      <w:tr>
        <w:trPr>
          <w:trHeight w:val="312" w:hRule="exact"/>
        </w:trPr>
        <w:tc>
          <w:tcPr>
            <w:tcW w:w="3208" w:type="dxa"/>
            <w:tcBorders>
              <w:top w:val="nil"/>
            </w:tcBorders>
            <w:shd w:val="clear" w:color="auto" w:fill="E9E9E9"/>
          </w:tcPr>
          <w:p>
            <w:pPr>
              <w:pStyle w:val="TableParagraph"/>
              <w:spacing w:before="60"/>
              <w:ind w:left="74"/>
              <w:jc w:val="left"/>
              <w:rPr>
                <w:sz w:val="16"/>
              </w:rPr>
            </w:pPr>
            <w:r>
              <w:rPr>
                <w:spacing w:val="2"/>
                <w:w w:val="93"/>
                <w:sz w:val="16"/>
              </w:rPr>
              <w:t>2</w:t>
            </w:r>
            <w:r>
              <w:rPr>
                <w:spacing w:val="1"/>
                <w:w w:val="111"/>
                <w:sz w:val="16"/>
              </w:rPr>
              <w:t>0</w:t>
            </w:r>
            <w:r>
              <w:rPr>
                <w:spacing w:val="2"/>
                <w:w w:val="54"/>
                <w:sz w:val="16"/>
              </w:rPr>
              <w:t>1</w:t>
            </w:r>
            <w:r>
              <w:rPr>
                <w:w w:val="94"/>
                <w:sz w:val="16"/>
              </w:rPr>
              <w:t>3</w:t>
            </w:r>
          </w:p>
        </w:tc>
        <w:tc>
          <w:tcPr>
            <w:tcW w:w="1148" w:type="dxa"/>
            <w:tcBorders>
              <w:top w:val="nil"/>
            </w:tcBorders>
            <w:shd w:val="clear" w:color="auto" w:fill="E9E9E9"/>
          </w:tcPr>
          <w:p>
            <w:pPr>
              <w:pStyle w:val="TableParagraph"/>
              <w:spacing w:before="60"/>
              <w:ind w:right="71"/>
              <w:rPr>
                <w:sz w:val="16"/>
              </w:rPr>
            </w:pPr>
            <w:r>
              <w:rPr>
                <w:w w:val="85"/>
                <w:sz w:val="16"/>
              </w:rPr>
              <w:t>84.3%</w:t>
            </w:r>
          </w:p>
        </w:tc>
        <w:tc>
          <w:tcPr>
            <w:tcW w:w="1148" w:type="dxa"/>
            <w:tcBorders>
              <w:top w:val="nil"/>
            </w:tcBorders>
            <w:shd w:val="clear" w:color="auto" w:fill="E9E9E9"/>
          </w:tcPr>
          <w:p>
            <w:pPr>
              <w:pStyle w:val="TableParagraph"/>
              <w:spacing w:before="60"/>
              <w:ind w:right="73"/>
              <w:rPr>
                <w:sz w:val="16"/>
              </w:rPr>
            </w:pPr>
            <w:r>
              <w:rPr>
                <w:w w:val="75"/>
                <w:sz w:val="16"/>
              </w:rPr>
              <w:t>83.1%</w:t>
            </w:r>
          </w:p>
        </w:tc>
        <w:tc>
          <w:tcPr>
            <w:tcW w:w="1148" w:type="dxa"/>
            <w:tcBorders>
              <w:top w:val="nil"/>
            </w:tcBorders>
            <w:shd w:val="clear" w:color="auto" w:fill="E9E9E9"/>
          </w:tcPr>
          <w:p>
            <w:pPr>
              <w:pStyle w:val="TableParagraph"/>
              <w:spacing w:before="60"/>
              <w:ind w:right="73"/>
              <w:rPr>
                <w:sz w:val="16"/>
              </w:rPr>
            </w:pPr>
            <w:r>
              <w:rPr>
                <w:w w:val="90"/>
                <w:sz w:val="16"/>
              </w:rPr>
              <w:t>70.4%</w:t>
            </w:r>
          </w:p>
        </w:tc>
        <w:tc>
          <w:tcPr>
            <w:tcW w:w="1148" w:type="dxa"/>
            <w:tcBorders>
              <w:top w:val="nil"/>
            </w:tcBorders>
            <w:shd w:val="clear" w:color="auto" w:fill="E9E9E9"/>
          </w:tcPr>
          <w:p>
            <w:pPr>
              <w:pStyle w:val="TableParagraph"/>
              <w:spacing w:before="60"/>
              <w:ind w:right="72"/>
              <w:rPr>
                <w:sz w:val="16"/>
              </w:rPr>
            </w:pPr>
            <w:r>
              <w:rPr>
                <w:w w:val="85"/>
                <w:sz w:val="16"/>
              </w:rPr>
              <w:t>66.5%</w:t>
            </w:r>
          </w:p>
        </w:tc>
        <w:tc>
          <w:tcPr>
            <w:tcW w:w="1148" w:type="dxa"/>
            <w:tcBorders>
              <w:top w:val="nil"/>
            </w:tcBorders>
            <w:shd w:val="clear" w:color="auto" w:fill="E9E9E9"/>
          </w:tcPr>
          <w:p>
            <w:pPr>
              <w:pStyle w:val="TableParagraph"/>
              <w:spacing w:before="60"/>
              <w:ind w:right="69"/>
              <w:rPr>
                <w:sz w:val="16"/>
              </w:rPr>
            </w:pPr>
            <w:r>
              <w:rPr>
                <w:w w:val="75"/>
                <w:sz w:val="16"/>
              </w:rPr>
              <w:t>81.8%</w:t>
            </w:r>
          </w:p>
        </w:tc>
        <w:tc>
          <w:tcPr>
            <w:tcW w:w="1148" w:type="dxa"/>
            <w:tcBorders>
              <w:top w:val="nil"/>
            </w:tcBorders>
            <w:shd w:val="clear" w:color="auto" w:fill="E9E9E9"/>
          </w:tcPr>
          <w:p>
            <w:pPr>
              <w:pStyle w:val="TableParagraph"/>
              <w:spacing w:before="60"/>
              <w:ind w:right="73"/>
              <w:rPr>
                <w:sz w:val="16"/>
              </w:rPr>
            </w:pPr>
            <w:r>
              <w:rPr>
                <w:w w:val="85"/>
                <w:sz w:val="16"/>
              </w:rPr>
              <w:t>79.2%</w:t>
            </w:r>
          </w:p>
        </w:tc>
      </w:tr>
      <w:tr>
        <w:trPr>
          <w:trHeight w:val="312" w:hRule="exact"/>
        </w:trPr>
        <w:tc>
          <w:tcPr>
            <w:tcW w:w="3208" w:type="dxa"/>
            <w:shd w:val="clear" w:color="auto" w:fill="E9E9E9"/>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103"/>
                <w:sz w:val="16"/>
              </w:rPr>
              <w:t>4</w:t>
            </w:r>
          </w:p>
        </w:tc>
        <w:tc>
          <w:tcPr>
            <w:tcW w:w="1148" w:type="dxa"/>
            <w:shd w:val="clear" w:color="auto" w:fill="E9E9E9"/>
          </w:tcPr>
          <w:p>
            <w:pPr>
              <w:pStyle w:val="TableParagraph"/>
              <w:ind w:right="69"/>
              <w:rPr>
                <w:sz w:val="16"/>
              </w:rPr>
            </w:pPr>
            <w:r>
              <w:rPr>
                <w:w w:val="85"/>
                <w:sz w:val="16"/>
              </w:rPr>
              <w:t>84.9%</w:t>
            </w:r>
          </w:p>
        </w:tc>
        <w:tc>
          <w:tcPr>
            <w:tcW w:w="1148" w:type="dxa"/>
            <w:shd w:val="clear" w:color="auto" w:fill="E9E9E9"/>
          </w:tcPr>
          <w:p>
            <w:pPr>
              <w:pStyle w:val="TableParagraph"/>
              <w:ind w:right="73"/>
              <w:rPr>
                <w:sz w:val="16"/>
              </w:rPr>
            </w:pPr>
            <w:r>
              <w:rPr>
                <w:w w:val="90"/>
                <w:sz w:val="16"/>
              </w:rPr>
              <w:t>82.9%</w:t>
            </w:r>
          </w:p>
        </w:tc>
        <w:tc>
          <w:tcPr>
            <w:tcW w:w="1148" w:type="dxa"/>
            <w:shd w:val="clear" w:color="auto" w:fill="E9E9E9"/>
          </w:tcPr>
          <w:p>
            <w:pPr>
              <w:pStyle w:val="TableParagraph"/>
              <w:ind w:right="68"/>
              <w:rPr>
                <w:sz w:val="16"/>
              </w:rPr>
            </w:pPr>
            <w:r>
              <w:rPr>
                <w:w w:val="75"/>
                <w:sz w:val="16"/>
              </w:rPr>
              <w:t>71.2%</w:t>
            </w:r>
          </w:p>
        </w:tc>
        <w:tc>
          <w:tcPr>
            <w:tcW w:w="1148" w:type="dxa"/>
            <w:shd w:val="clear" w:color="auto" w:fill="E9E9E9"/>
          </w:tcPr>
          <w:p>
            <w:pPr>
              <w:pStyle w:val="TableParagraph"/>
              <w:ind w:right="73"/>
              <w:rPr>
                <w:sz w:val="16"/>
              </w:rPr>
            </w:pPr>
            <w:r>
              <w:rPr>
                <w:w w:val="85"/>
                <w:sz w:val="16"/>
              </w:rPr>
              <w:t>66.7%</w:t>
            </w:r>
          </w:p>
        </w:tc>
        <w:tc>
          <w:tcPr>
            <w:tcW w:w="1148" w:type="dxa"/>
            <w:shd w:val="clear" w:color="auto" w:fill="E9E9E9"/>
          </w:tcPr>
          <w:p>
            <w:pPr>
              <w:pStyle w:val="TableParagraph"/>
              <w:ind w:right="72"/>
              <w:rPr>
                <w:sz w:val="16"/>
              </w:rPr>
            </w:pPr>
            <w:r>
              <w:rPr>
                <w:w w:val="85"/>
                <w:sz w:val="16"/>
              </w:rPr>
              <w:t>82.5%</w:t>
            </w:r>
          </w:p>
        </w:tc>
        <w:tc>
          <w:tcPr>
            <w:tcW w:w="1148" w:type="dxa"/>
            <w:shd w:val="clear" w:color="auto" w:fill="E9E9E9"/>
          </w:tcPr>
          <w:p>
            <w:pPr>
              <w:pStyle w:val="TableParagraph"/>
              <w:ind w:right="73"/>
              <w:rPr>
                <w:sz w:val="16"/>
              </w:rPr>
            </w:pPr>
            <w:r>
              <w:rPr>
                <w:w w:val="85"/>
                <w:sz w:val="16"/>
              </w:rPr>
              <w:t>79.3%</w:t>
            </w:r>
          </w:p>
        </w:tc>
      </w:tr>
      <w:tr>
        <w:trPr>
          <w:trHeight w:val="312" w:hRule="exact"/>
        </w:trPr>
        <w:tc>
          <w:tcPr>
            <w:tcW w:w="3208" w:type="dxa"/>
            <w:shd w:val="clear" w:color="auto" w:fill="E9E9E9"/>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5"/>
                <w:sz w:val="16"/>
              </w:rPr>
              <w:t>5</w:t>
            </w:r>
          </w:p>
        </w:tc>
        <w:tc>
          <w:tcPr>
            <w:tcW w:w="1148" w:type="dxa"/>
            <w:shd w:val="clear" w:color="auto" w:fill="E9E9E9"/>
          </w:tcPr>
          <w:p>
            <w:pPr>
              <w:pStyle w:val="TableParagraph"/>
              <w:ind w:right="68"/>
              <w:rPr>
                <w:sz w:val="16"/>
              </w:rPr>
            </w:pPr>
            <w:r>
              <w:rPr>
                <w:w w:val="85"/>
                <w:sz w:val="16"/>
              </w:rPr>
              <w:t>86.2%</w:t>
            </w:r>
          </w:p>
        </w:tc>
        <w:tc>
          <w:tcPr>
            <w:tcW w:w="1148" w:type="dxa"/>
            <w:shd w:val="clear" w:color="auto" w:fill="E9E9E9"/>
          </w:tcPr>
          <w:p>
            <w:pPr>
              <w:pStyle w:val="TableParagraph"/>
              <w:ind w:right="72"/>
              <w:rPr>
                <w:sz w:val="16"/>
              </w:rPr>
            </w:pPr>
            <w:r>
              <w:rPr>
                <w:w w:val="85"/>
                <w:sz w:val="16"/>
              </w:rPr>
              <w:t>83.6%</w:t>
            </w:r>
          </w:p>
        </w:tc>
        <w:tc>
          <w:tcPr>
            <w:tcW w:w="1148" w:type="dxa"/>
            <w:shd w:val="clear" w:color="auto" w:fill="E9E9E9"/>
          </w:tcPr>
          <w:p>
            <w:pPr>
              <w:pStyle w:val="TableParagraph"/>
              <w:ind w:right="73"/>
              <w:rPr>
                <w:sz w:val="16"/>
              </w:rPr>
            </w:pPr>
            <w:r>
              <w:rPr>
                <w:w w:val="80"/>
                <w:sz w:val="16"/>
              </w:rPr>
              <w:t>71.4%</w:t>
            </w:r>
          </w:p>
        </w:tc>
        <w:tc>
          <w:tcPr>
            <w:tcW w:w="1148" w:type="dxa"/>
            <w:shd w:val="clear" w:color="auto" w:fill="E9E9E9"/>
          </w:tcPr>
          <w:p>
            <w:pPr>
              <w:pStyle w:val="TableParagraph"/>
              <w:ind w:right="73"/>
              <w:rPr>
                <w:sz w:val="16"/>
              </w:rPr>
            </w:pPr>
            <w:r>
              <w:rPr>
                <w:w w:val="85"/>
                <w:sz w:val="16"/>
              </w:rPr>
              <w:t>67.3%</w:t>
            </w:r>
          </w:p>
        </w:tc>
        <w:tc>
          <w:tcPr>
            <w:tcW w:w="1148" w:type="dxa"/>
            <w:shd w:val="clear" w:color="auto" w:fill="E9E9E9"/>
          </w:tcPr>
          <w:p>
            <w:pPr>
              <w:pStyle w:val="TableParagraph"/>
              <w:ind w:right="73"/>
              <w:rPr>
                <w:sz w:val="16"/>
              </w:rPr>
            </w:pPr>
            <w:r>
              <w:rPr>
                <w:w w:val="90"/>
                <w:sz w:val="16"/>
              </w:rPr>
              <w:t>82.9%</w:t>
            </w:r>
          </w:p>
        </w:tc>
        <w:tc>
          <w:tcPr>
            <w:tcW w:w="1148" w:type="dxa"/>
            <w:shd w:val="clear" w:color="auto" w:fill="E9E9E9"/>
          </w:tcPr>
          <w:p>
            <w:pPr>
              <w:pStyle w:val="TableParagraph"/>
              <w:ind w:right="73"/>
              <w:rPr>
                <w:sz w:val="16"/>
              </w:rPr>
            </w:pPr>
            <w:r>
              <w:rPr>
                <w:w w:val="95"/>
                <w:sz w:val="16"/>
              </w:rPr>
              <w:t>80.0%</w:t>
            </w:r>
          </w:p>
        </w:tc>
      </w:tr>
    </w:tbl>
    <w:p>
      <w:pPr>
        <w:pStyle w:val="BodyText"/>
        <w:spacing w:before="43"/>
        <w:ind w:left="331" w:right="6585"/>
      </w:pPr>
      <w:r>
        <w:rPr/>
        <w:t>(Source: Graduate course experience data files)</w:t>
      </w:r>
    </w:p>
    <w:p>
      <w:pPr>
        <w:pStyle w:val="BodyText"/>
        <w:spacing w:line="249" w:lineRule="auto" w:before="63"/>
        <w:ind w:left="331" w:right="503"/>
      </w:pPr>
      <w:r>
        <w:rPr>
          <w:spacing w:val="1"/>
          <w:w w:val="105"/>
        </w:rPr>
        <w:t>F</w:t>
      </w:r>
      <w:r>
        <w:rPr>
          <w:spacing w:val="2"/>
          <w:w w:val="100"/>
        </w:rPr>
        <w:t>o</w:t>
      </w:r>
      <w:r>
        <w:rPr>
          <w:w w:val="95"/>
        </w:rPr>
        <w:t>r</w:t>
      </w:r>
      <w:r>
        <w:rPr>
          <w:spacing w:val="-12"/>
        </w:rPr>
        <w:t> </w:t>
      </w:r>
      <w:r>
        <w:rPr>
          <w:spacing w:val="2"/>
          <w:w w:val="93"/>
        </w:rPr>
        <w:t>2</w:t>
      </w:r>
      <w:r>
        <w:rPr>
          <w:spacing w:val="1"/>
          <w:w w:val="111"/>
        </w:rPr>
        <w:t>0</w:t>
      </w:r>
      <w:r>
        <w:rPr>
          <w:spacing w:val="4"/>
          <w:w w:val="54"/>
        </w:rPr>
        <w:t>1</w:t>
      </w:r>
      <w:r>
        <w:rPr>
          <w:spacing w:val="4"/>
          <w:w w:val="101"/>
        </w:rPr>
        <w:t>6</w:t>
      </w:r>
      <w:r>
        <w:rPr>
          <w:w w:val="68"/>
        </w:rPr>
        <w:t>,</w:t>
      </w:r>
      <w:r>
        <w:rPr>
          <w:spacing w:val="-12"/>
        </w:rPr>
        <w:t> </w:t>
      </w:r>
      <w:r>
        <w:rPr>
          <w:w w:val="102"/>
        </w:rPr>
        <w:t>t</w:t>
      </w:r>
      <w:r>
        <w:rPr>
          <w:spacing w:val="2"/>
          <w:w w:val="95"/>
        </w:rPr>
        <w:t>h</w:t>
      </w:r>
      <w:r>
        <w:rPr>
          <w:spacing w:val="2"/>
          <w:w w:val="95"/>
        </w:rPr>
        <w:t>e</w:t>
      </w:r>
      <w:r>
        <w:rPr>
          <w:spacing w:val="-1"/>
          <w:w w:val="95"/>
        </w:rPr>
        <w:t>r</w:t>
      </w:r>
      <w:r>
        <w:rPr>
          <w:w w:val="95"/>
        </w:rPr>
        <w:t>e</w:t>
      </w:r>
      <w:r>
        <w:rPr>
          <w:spacing w:val="-12"/>
        </w:rPr>
        <w:t> </w:t>
      </w:r>
      <w:r>
        <w:rPr>
          <w:spacing w:val="2"/>
          <w:w w:val="95"/>
        </w:rPr>
        <w:t>h</w:t>
      </w:r>
      <w:r>
        <w:rPr>
          <w:spacing w:val="2"/>
          <w:w w:val="94"/>
        </w:rPr>
        <w:t>a</w:t>
      </w:r>
      <w:r>
        <w:rPr>
          <w:w w:val="95"/>
        </w:rPr>
        <w:t>s</w:t>
      </w:r>
      <w:r>
        <w:rPr>
          <w:spacing w:val="-12"/>
        </w:rPr>
        <w:t> </w:t>
      </w:r>
      <w:r>
        <w:rPr>
          <w:spacing w:val="2"/>
          <w:w w:val="102"/>
        </w:rPr>
        <w:t>b</w:t>
      </w:r>
      <w:r>
        <w:rPr>
          <w:spacing w:val="3"/>
          <w:w w:val="95"/>
        </w:rPr>
        <w:t>e</w:t>
      </w:r>
      <w:r>
        <w:rPr>
          <w:spacing w:val="2"/>
          <w:w w:val="95"/>
        </w:rPr>
        <w:t>e</w:t>
      </w:r>
      <w:r>
        <w:rPr>
          <w:w w:val="95"/>
        </w:rPr>
        <w:t>n</w:t>
      </w:r>
      <w:r>
        <w:rPr>
          <w:spacing w:val="-12"/>
        </w:rPr>
        <w:t> </w:t>
      </w:r>
      <w:r>
        <w:rPr>
          <w:w w:val="94"/>
        </w:rPr>
        <w:t>a</w:t>
      </w:r>
      <w:r>
        <w:rPr>
          <w:spacing w:val="-12"/>
        </w:rPr>
        <w:t> </w:t>
      </w:r>
      <w:r>
        <w:rPr>
          <w:spacing w:val="2"/>
          <w:w w:val="102"/>
        </w:rPr>
        <w:t>b</w:t>
      </w:r>
      <w:r>
        <w:rPr>
          <w:spacing w:val="-1"/>
          <w:w w:val="95"/>
        </w:rPr>
        <w:t>r</w:t>
      </w:r>
      <w:r>
        <w:rPr>
          <w:spacing w:val="2"/>
          <w:w w:val="95"/>
        </w:rPr>
        <w:t>e</w:t>
      </w:r>
      <w:r>
        <w:rPr>
          <w:spacing w:val="2"/>
          <w:w w:val="94"/>
        </w:rPr>
        <w:t>a</w:t>
      </w:r>
      <w:r>
        <w:rPr>
          <w:w w:val="96"/>
        </w:rPr>
        <w:t>k</w:t>
      </w:r>
      <w:r>
        <w:rPr>
          <w:spacing w:val="-12"/>
        </w:rPr>
        <w:t> </w:t>
      </w:r>
      <w:r>
        <w:rPr>
          <w:spacing w:val="1"/>
          <w:w w:val="95"/>
        </w:rPr>
        <w:t>i</w:t>
      </w:r>
      <w:r>
        <w:rPr>
          <w:w w:val="95"/>
        </w:rPr>
        <w:t>n</w:t>
      </w:r>
      <w:r>
        <w:rPr>
          <w:spacing w:val="-12"/>
        </w:rPr>
        <w:t> </w:t>
      </w:r>
      <w:r>
        <w:rPr>
          <w:w w:val="102"/>
        </w:rPr>
        <w:t>t</w:t>
      </w:r>
      <w:r>
        <w:rPr>
          <w:spacing w:val="2"/>
          <w:w w:val="95"/>
        </w:rPr>
        <w:t>h</w:t>
      </w:r>
      <w:r>
        <w:rPr>
          <w:w w:val="95"/>
        </w:rPr>
        <w:t>e</w:t>
      </w:r>
      <w:r>
        <w:rPr>
          <w:spacing w:val="-12"/>
        </w:rPr>
        <w:t> </w:t>
      </w:r>
      <w:r>
        <w:rPr>
          <w:spacing w:val="2"/>
          <w:w w:val="95"/>
        </w:rPr>
        <w:t>s</w:t>
      </w:r>
      <w:r>
        <w:rPr>
          <w:spacing w:val="2"/>
          <w:w w:val="95"/>
        </w:rPr>
        <w:t>e</w:t>
      </w:r>
      <w:r>
        <w:rPr>
          <w:spacing w:val="1"/>
          <w:w w:val="95"/>
        </w:rPr>
        <w:t>r</w:t>
      </w:r>
      <w:r>
        <w:rPr>
          <w:spacing w:val="1"/>
          <w:w w:val="95"/>
        </w:rPr>
        <w:t>i</w:t>
      </w:r>
      <w:r>
        <w:rPr>
          <w:spacing w:val="3"/>
          <w:w w:val="95"/>
        </w:rPr>
        <w:t>e</w:t>
      </w:r>
      <w:r>
        <w:rPr>
          <w:w w:val="95"/>
        </w:rPr>
        <w:t>s</w:t>
      </w:r>
      <w:r>
        <w:rPr>
          <w:spacing w:val="-12"/>
        </w:rPr>
        <w:t> </w:t>
      </w:r>
      <w:r>
        <w:rPr>
          <w:spacing w:val="2"/>
          <w:w w:val="102"/>
        </w:rPr>
        <w:t>b</w:t>
      </w:r>
      <w:r>
        <w:rPr>
          <w:spacing w:val="3"/>
          <w:w w:val="95"/>
        </w:rPr>
        <w:t>e</w:t>
      </w:r>
      <w:r>
        <w:rPr>
          <w:spacing w:val="3"/>
          <w:w w:val="102"/>
        </w:rPr>
        <w:t>c</w:t>
      </w:r>
      <w:r>
        <w:rPr>
          <w:spacing w:val="2"/>
          <w:w w:val="94"/>
        </w:rPr>
        <w:t>a</w:t>
      </w:r>
      <w:r>
        <w:rPr>
          <w:spacing w:val="2"/>
          <w:w w:val="95"/>
        </w:rPr>
        <w:t>u</w:t>
      </w:r>
      <w:r>
        <w:rPr>
          <w:spacing w:val="2"/>
          <w:w w:val="95"/>
        </w:rPr>
        <w:t>s</w:t>
      </w:r>
      <w:r>
        <w:rPr>
          <w:w w:val="95"/>
        </w:rPr>
        <w:t>e</w:t>
      </w:r>
      <w:r>
        <w:rPr>
          <w:spacing w:val="-12"/>
        </w:rPr>
        <w:t> </w:t>
      </w:r>
      <w:r>
        <w:rPr>
          <w:w w:val="102"/>
        </w:rPr>
        <w:t>t</w:t>
      </w:r>
      <w:r>
        <w:rPr>
          <w:spacing w:val="1"/>
          <w:w w:val="95"/>
        </w:rPr>
        <w:t>h</w:t>
      </w:r>
      <w:r>
        <w:rPr>
          <w:spacing w:val="1"/>
          <w:w w:val="95"/>
        </w:rPr>
        <w:t>i</w:t>
      </w:r>
      <w:r>
        <w:rPr>
          <w:w w:val="95"/>
        </w:rPr>
        <w:t>s</w:t>
      </w:r>
      <w:r>
        <w:rPr>
          <w:spacing w:val="-12"/>
        </w:rPr>
        <w:t> </w:t>
      </w:r>
      <w:r>
        <w:rPr>
          <w:spacing w:val="2"/>
          <w:w w:val="102"/>
        </w:rPr>
        <w:t>d</w:t>
      </w:r>
      <w:r>
        <w:rPr>
          <w:w w:val="94"/>
        </w:rPr>
        <w:t>a</w:t>
      </w:r>
      <w:r>
        <w:rPr>
          <w:spacing w:val="2"/>
          <w:w w:val="102"/>
        </w:rPr>
        <w:t>t</w:t>
      </w:r>
      <w:r>
        <w:rPr>
          <w:w w:val="94"/>
        </w:rPr>
        <w:t>a</w:t>
      </w:r>
      <w:r>
        <w:rPr>
          <w:spacing w:val="-12"/>
        </w:rPr>
        <w:t> </w:t>
      </w:r>
      <w:r>
        <w:rPr>
          <w:spacing w:val="1"/>
          <w:w w:val="95"/>
        </w:rPr>
        <w:t>i</w:t>
      </w:r>
      <w:r>
        <w:rPr>
          <w:w w:val="95"/>
        </w:rPr>
        <w:t>s</w:t>
      </w:r>
      <w:r>
        <w:rPr>
          <w:spacing w:val="-12"/>
        </w:rPr>
        <w:t> </w:t>
      </w:r>
      <w:r>
        <w:rPr>
          <w:spacing w:val="2"/>
          <w:w w:val="95"/>
        </w:rPr>
        <w:t>n</w:t>
      </w:r>
      <w:r>
        <w:rPr>
          <w:spacing w:val="-1"/>
          <w:w w:val="100"/>
        </w:rPr>
        <w:t>o</w:t>
      </w:r>
      <w:r>
        <w:rPr>
          <w:w w:val="101"/>
        </w:rPr>
        <w:t>w</w:t>
      </w:r>
      <w:r>
        <w:rPr>
          <w:spacing w:val="-12"/>
        </w:rPr>
        <w:t> </w:t>
      </w:r>
      <w:r>
        <w:rPr>
          <w:w w:val="102"/>
        </w:rPr>
        <w:t>c</w:t>
      </w:r>
      <w:r>
        <w:rPr>
          <w:spacing w:val="2"/>
          <w:w w:val="100"/>
        </w:rPr>
        <w:t>o</w:t>
      </w:r>
      <w:r>
        <w:rPr>
          <w:w w:val="95"/>
        </w:rPr>
        <w:t>l</w:t>
      </w:r>
      <w:r>
        <w:rPr>
          <w:spacing w:val="2"/>
          <w:w w:val="95"/>
        </w:rPr>
        <w:t>l</w:t>
      </w:r>
      <w:r>
        <w:rPr>
          <w:spacing w:val="3"/>
          <w:w w:val="95"/>
        </w:rPr>
        <w:t>e</w:t>
      </w:r>
      <w:r>
        <w:rPr>
          <w:spacing w:val="4"/>
          <w:w w:val="102"/>
        </w:rPr>
        <w:t>c</w:t>
      </w:r>
      <w:r>
        <w:rPr>
          <w:spacing w:val="-2"/>
          <w:w w:val="102"/>
        </w:rPr>
        <w:t>t</w:t>
      </w:r>
      <w:r>
        <w:rPr>
          <w:spacing w:val="3"/>
          <w:w w:val="95"/>
        </w:rPr>
        <w:t>e</w:t>
      </w:r>
      <w:r>
        <w:rPr>
          <w:w w:val="102"/>
        </w:rPr>
        <w:t>d</w:t>
      </w:r>
      <w:r>
        <w:rPr>
          <w:spacing w:val="-12"/>
        </w:rPr>
        <w:t> </w:t>
      </w:r>
      <w:r>
        <w:rPr>
          <w:spacing w:val="1"/>
          <w:w w:val="101"/>
        </w:rPr>
        <w:t>v</w:t>
      </w:r>
      <w:r>
        <w:rPr>
          <w:spacing w:val="1"/>
          <w:w w:val="95"/>
        </w:rPr>
        <w:t>i</w:t>
      </w:r>
      <w:r>
        <w:rPr>
          <w:w w:val="94"/>
        </w:rPr>
        <w:t>a</w:t>
      </w:r>
      <w:r>
        <w:rPr>
          <w:spacing w:val="-12"/>
        </w:rPr>
        <w:t> </w:t>
      </w:r>
      <w:r>
        <w:rPr>
          <w:w w:val="102"/>
        </w:rPr>
        <w:t>t</w:t>
      </w:r>
      <w:r>
        <w:rPr>
          <w:spacing w:val="2"/>
          <w:w w:val="95"/>
        </w:rPr>
        <w:t>h</w:t>
      </w:r>
      <w:r>
        <w:rPr>
          <w:w w:val="95"/>
        </w:rPr>
        <w:t>e</w:t>
      </w:r>
      <w:r>
        <w:rPr>
          <w:spacing w:val="-12"/>
        </w:rPr>
        <w:t> </w:t>
      </w:r>
      <w:r>
        <w:rPr>
          <w:spacing w:val="3"/>
          <w:w w:val="99"/>
        </w:rPr>
        <w:t>G</w:t>
      </w:r>
      <w:r>
        <w:rPr>
          <w:spacing w:val="2"/>
          <w:w w:val="95"/>
        </w:rPr>
        <w:t>r</w:t>
      </w:r>
      <w:r>
        <w:rPr>
          <w:spacing w:val="2"/>
          <w:w w:val="94"/>
        </w:rPr>
        <w:t>a</w:t>
      </w:r>
      <w:r>
        <w:rPr>
          <w:spacing w:val="2"/>
          <w:w w:val="102"/>
        </w:rPr>
        <w:t>d</w:t>
      </w:r>
      <w:r>
        <w:rPr>
          <w:spacing w:val="2"/>
          <w:w w:val="95"/>
        </w:rPr>
        <w:t>u</w:t>
      </w:r>
      <w:r>
        <w:rPr>
          <w:w w:val="94"/>
        </w:rPr>
        <w:t>a</w:t>
      </w:r>
      <w:r>
        <w:rPr>
          <w:spacing w:val="-2"/>
          <w:w w:val="102"/>
        </w:rPr>
        <w:t>t</w:t>
      </w:r>
      <w:r>
        <w:rPr>
          <w:spacing w:val="3"/>
          <w:w w:val="95"/>
        </w:rPr>
        <w:t>e</w:t>
      </w:r>
      <w:r>
        <w:rPr>
          <w:w w:val="95"/>
        </w:rPr>
        <w:t>s</w:t>
      </w:r>
      <w:r>
        <w:rPr>
          <w:spacing w:val="-12"/>
        </w:rPr>
        <w:t> </w:t>
      </w:r>
      <w:r>
        <w:rPr>
          <w:spacing w:val="3"/>
          <w:w w:val="100"/>
        </w:rPr>
        <w:t>O</w:t>
      </w:r>
      <w:r>
        <w:rPr>
          <w:spacing w:val="1"/>
          <w:w w:val="95"/>
        </w:rPr>
        <w:t>u</w:t>
      </w:r>
      <w:r>
        <w:rPr>
          <w:spacing w:val="-2"/>
          <w:w w:val="102"/>
        </w:rPr>
        <w:t>t</w:t>
      </w:r>
      <w:r>
        <w:rPr>
          <w:w w:val="102"/>
        </w:rPr>
        <w:t>c</w:t>
      </w:r>
      <w:r>
        <w:rPr>
          <w:spacing w:val="2"/>
          <w:w w:val="100"/>
        </w:rPr>
        <w:t>o</w:t>
      </w:r>
      <w:r>
        <w:rPr>
          <w:spacing w:val="2"/>
          <w:w w:val="98"/>
        </w:rPr>
        <w:t>m</w:t>
      </w:r>
      <w:r>
        <w:rPr>
          <w:spacing w:val="3"/>
          <w:w w:val="95"/>
        </w:rPr>
        <w:t>e</w:t>
      </w:r>
      <w:r>
        <w:rPr>
          <w:w w:val="95"/>
        </w:rPr>
        <w:t>s</w:t>
      </w:r>
      <w:r>
        <w:rPr>
          <w:spacing w:val="-12"/>
        </w:rPr>
        <w:t> </w:t>
      </w:r>
      <w:r>
        <w:rPr>
          <w:spacing w:val="1"/>
          <w:w w:val="98"/>
        </w:rPr>
        <w:t>S</w:t>
      </w:r>
      <w:r>
        <w:rPr>
          <w:spacing w:val="1"/>
          <w:w w:val="95"/>
        </w:rPr>
        <w:t>u</w:t>
      </w:r>
      <w:r>
        <w:rPr>
          <w:spacing w:val="5"/>
          <w:w w:val="95"/>
        </w:rPr>
        <w:t>r</w:t>
      </w:r>
      <w:r>
        <w:rPr>
          <w:spacing w:val="-1"/>
          <w:w w:val="101"/>
        </w:rPr>
        <w:t>v</w:t>
      </w:r>
      <w:r>
        <w:rPr>
          <w:spacing w:val="-1"/>
          <w:w w:val="95"/>
        </w:rPr>
        <w:t>e</w:t>
      </w:r>
      <w:r>
        <w:rPr>
          <w:w w:val="101"/>
        </w:rPr>
        <w:t>y</w:t>
      </w:r>
      <w:r>
        <w:rPr>
          <w:spacing w:val="-12"/>
        </w:rPr>
        <w:t> </w:t>
      </w:r>
      <w:r>
        <w:rPr>
          <w:spacing w:val="2"/>
          <w:w w:val="94"/>
        </w:rPr>
        <w:t>a</w:t>
      </w:r>
      <w:r>
        <w:rPr>
          <w:spacing w:val="2"/>
          <w:w w:val="95"/>
        </w:rPr>
        <w:t>n</w:t>
      </w:r>
      <w:r>
        <w:rPr>
          <w:w w:val="102"/>
        </w:rPr>
        <w:t>d</w:t>
      </w:r>
      <w:r>
        <w:rPr>
          <w:spacing w:val="-12"/>
        </w:rPr>
        <w:t> </w:t>
      </w:r>
      <w:r>
        <w:rPr>
          <w:w w:val="102"/>
        </w:rPr>
        <w:t>t</w:t>
      </w:r>
      <w:r>
        <w:rPr>
          <w:spacing w:val="2"/>
          <w:w w:val="95"/>
        </w:rPr>
        <w:t>h</w:t>
      </w:r>
      <w:r>
        <w:rPr>
          <w:spacing w:val="2"/>
          <w:w w:val="95"/>
        </w:rPr>
        <w:t>e</w:t>
      </w:r>
      <w:r>
        <w:rPr>
          <w:spacing w:val="-1"/>
          <w:w w:val="95"/>
        </w:rPr>
        <w:t>r</w:t>
      </w:r>
      <w:r>
        <w:rPr>
          <w:w w:val="95"/>
        </w:rPr>
        <w:t>e</w:t>
      </w:r>
      <w:r>
        <w:rPr>
          <w:spacing w:val="-12"/>
        </w:rPr>
        <w:t> </w:t>
      </w:r>
      <w:r>
        <w:rPr>
          <w:spacing w:val="2"/>
          <w:w w:val="94"/>
        </w:rPr>
        <w:t>a</w:t>
      </w:r>
      <w:r>
        <w:rPr>
          <w:spacing w:val="-1"/>
          <w:w w:val="95"/>
        </w:rPr>
        <w:t>r</w:t>
      </w:r>
      <w:r>
        <w:rPr>
          <w:w w:val="95"/>
        </w:rPr>
        <w:t>e</w:t>
      </w:r>
      <w:r>
        <w:rPr>
          <w:spacing w:val="-12"/>
        </w:rPr>
        <w:t> </w:t>
      </w:r>
      <w:r>
        <w:rPr>
          <w:spacing w:val="2"/>
          <w:w w:val="95"/>
        </w:rPr>
        <w:t>s</w:t>
      </w:r>
      <w:r>
        <w:rPr>
          <w:spacing w:val="2"/>
          <w:w w:val="100"/>
        </w:rPr>
        <w:t>o</w:t>
      </w:r>
      <w:r>
        <w:rPr>
          <w:spacing w:val="2"/>
          <w:w w:val="98"/>
        </w:rPr>
        <w:t>m</w:t>
      </w:r>
      <w:r>
        <w:rPr>
          <w:w w:val="95"/>
        </w:rPr>
        <w:t>e </w:t>
      </w:r>
      <w:r>
        <w:rPr>
          <w:spacing w:val="1"/>
          <w:w w:val="102"/>
        </w:rPr>
        <w:t>d</w:t>
      </w:r>
      <w:r>
        <w:rPr>
          <w:spacing w:val="1"/>
          <w:w w:val="95"/>
        </w:rPr>
        <w:t>i</w:t>
      </w:r>
      <w:r>
        <w:rPr>
          <w:w w:val="98"/>
        </w:rPr>
        <w:t>f</w:t>
      </w:r>
      <w:r>
        <w:rPr>
          <w:spacing w:val="1"/>
          <w:w w:val="98"/>
        </w:rPr>
        <w:t>f</w:t>
      </w:r>
      <w:r>
        <w:rPr>
          <w:spacing w:val="2"/>
          <w:w w:val="95"/>
        </w:rPr>
        <w:t>e</w:t>
      </w:r>
      <w:r>
        <w:rPr>
          <w:spacing w:val="-1"/>
          <w:w w:val="95"/>
        </w:rPr>
        <w:t>r</w:t>
      </w:r>
      <w:r>
        <w:rPr>
          <w:spacing w:val="2"/>
          <w:w w:val="95"/>
        </w:rPr>
        <w:t>e</w:t>
      </w:r>
      <w:r>
        <w:rPr>
          <w:spacing w:val="2"/>
          <w:w w:val="95"/>
        </w:rPr>
        <w:t>n</w:t>
      </w:r>
      <w:r>
        <w:rPr>
          <w:w w:val="102"/>
        </w:rPr>
        <w:t>c</w:t>
      </w:r>
      <w:r>
        <w:rPr>
          <w:spacing w:val="3"/>
          <w:w w:val="95"/>
        </w:rPr>
        <w:t>e</w:t>
      </w:r>
      <w:r>
        <w:rPr>
          <w:w w:val="95"/>
        </w:rPr>
        <w:t>s</w:t>
      </w:r>
      <w:r>
        <w:rPr>
          <w:spacing w:val="-12"/>
        </w:rPr>
        <w:t> </w:t>
      </w:r>
      <w:r>
        <w:rPr>
          <w:spacing w:val="1"/>
          <w:w w:val="95"/>
        </w:rPr>
        <w:t>i</w:t>
      </w:r>
      <w:r>
        <w:rPr>
          <w:w w:val="95"/>
        </w:rPr>
        <w:t>n</w:t>
      </w:r>
      <w:r>
        <w:rPr>
          <w:spacing w:val="-12"/>
        </w:rPr>
        <w:t> </w:t>
      </w:r>
      <w:r>
        <w:rPr>
          <w:w w:val="102"/>
        </w:rPr>
        <w:t>t</w:t>
      </w:r>
      <w:r>
        <w:rPr>
          <w:spacing w:val="2"/>
          <w:w w:val="95"/>
        </w:rPr>
        <w:t>h</w:t>
      </w:r>
      <w:r>
        <w:rPr>
          <w:w w:val="95"/>
        </w:rPr>
        <w:t>e</w:t>
      </w:r>
      <w:r>
        <w:rPr>
          <w:spacing w:val="-12"/>
        </w:rPr>
        <w:t> </w:t>
      </w:r>
      <w:r>
        <w:rPr>
          <w:w w:val="102"/>
        </w:rPr>
        <w:t>c</w:t>
      </w:r>
      <w:r>
        <w:rPr>
          <w:spacing w:val="2"/>
          <w:w w:val="100"/>
        </w:rPr>
        <w:t>o</w:t>
      </w:r>
      <w:r>
        <w:rPr>
          <w:w w:val="95"/>
        </w:rPr>
        <w:t>l</w:t>
      </w:r>
      <w:r>
        <w:rPr>
          <w:spacing w:val="2"/>
          <w:w w:val="95"/>
        </w:rPr>
        <w:t>l</w:t>
      </w:r>
      <w:r>
        <w:rPr>
          <w:spacing w:val="3"/>
          <w:w w:val="95"/>
        </w:rPr>
        <w:t>e</w:t>
      </w:r>
      <w:r>
        <w:rPr>
          <w:spacing w:val="4"/>
          <w:w w:val="102"/>
        </w:rPr>
        <w:t>c</w:t>
      </w:r>
      <w:r>
        <w:rPr>
          <w:w w:val="102"/>
        </w:rPr>
        <w:t>t</w:t>
      </w:r>
      <w:r>
        <w:rPr>
          <w:spacing w:val="1"/>
          <w:w w:val="95"/>
        </w:rPr>
        <w:t>i</w:t>
      </w:r>
      <w:r>
        <w:rPr>
          <w:spacing w:val="2"/>
          <w:w w:val="100"/>
        </w:rPr>
        <w:t>o</w:t>
      </w:r>
      <w:r>
        <w:rPr>
          <w:w w:val="95"/>
        </w:rPr>
        <w:t>n</w:t>
      </w:r>
      <w:r>
        <w:rPr>
          <w:spacing w:val="-12"/>
        </w:rPr>
        <w:t> </w:t>
      </w:r>
      <w:r>
        <w:rPr>
          <w:spacing w:val="2"/>
          <w:w w:val="98"/>
        </w:rPr>
        <w:t>m</w:t>
      </w:r>
      <w:r>
        <w:rPr>
          <w:w w:val="95"/>
        </w:rPr>
        <w:t>e</w:t>
      </w:r>
      <w:r>
        <w:rPr>
          <w:w w:val="102"/>
        </w:rPr>
        <w:t>t</w:t>
      </w:r>
      <w:r>
        <w:rPr>
          <w:spacing w:val="2"/>
          <w:w w:val="95"/>
        </w:rPr>
        <w:t>h</w:t>
      </w:r>
      <w:r>
        <w:rPr>
          <w:spacing w:val="2"/>
          <w:w w:val="100"/>
        </w:rPr>
        <w:t>o</w:t>
      </w:r>
      <w:r>
        <w:rPr>
          <w:spacing w:val="2"/>
          <w:w w:val="102"/>
        </w:rPr>
        <w:t>d</w:t>
      </w:r>
      <w:r>
        <w:rPr>
          <w:spacing w:val="2"/>
          <w:w w:val="100"/>
        </w:rPr>
        <w:t>o</w:t>
      </w:r>
      <w:r>
        <w:rPr>
          <w:spacing w:val="1"/>
          <w:w w:val="95"/>
        </w:rPr>
        <w:t>l</w:t>
      </w:r>
      <w:r>
        <w:rPr>
          <w:spacing w:val="2"/>
          <w:w w:val="100"/>
        </w:rPr>
        <w:t>o</w:t>
      </w:r>
      <w:r>
        <w:rPr>
          <w:spacing w:val="1"/>
          <w:w w:val="102"/>
        </w:rPr>
        <w:t>g</w:t>
      </w:r>
      <w:r>
        <w:rPr>
          <w:w w:val="101"/>
        </w:rPr>
        <w:t>y</w:t>
      </w:r>
      <w:r>
        <w:rPr>
          <w:spacing w:val="-12"/>
        </w:rPr>
        <w:t> </w:t>
      </w:r>
      <w:r>
        <w:rPr>
          <w:spacing w:val="2"/>
          <w:w w:val="102"/>
        </w:rPr>
        <w:t>b</w:t>
      </w:r>
      <w:r>
        <w:rPr>
          <w:w w:val="95"/>
        </w:rPr>
        <w:t>e</w:t>
      </w:r>
      <w:r>
        <w:rPr>
          <w:spacing w:val="3"/>
          <w:w w:val="102"/>
        </w:rPr>
        <w:t>t</w:t>
      </w:r>
      <w:r>
        <w:rPr>
          <w:spacing w:val="-1"/>
          <w:w w:val="101"/>
        </w:rPr>
        <w:t>w</w:t>
      </w:r>
      <w:r>
        <w:rPr>
          <w:spacing w:val="3"/>
          <w:w w:val="95"/>
        </w:rPr>
        <w:t>e</w:t>
      </w:r>
      <w:r>
        <w:rPr>
          <w:spacing w:val="2"/>
          <w:w w:val="95"/>
        </w:rPr>
        <w:t>e</w:t>
      </w:r>
      <w:r>
        <w:rPr>
          <w:w w:val="95"/>
        </w:rPr>
        <w:t>n</w:t>
      </w:r>
      <w:r>
        <w:rPr>
          <w:spacing w:val="-12"/>
        </w:rPr>
        <w:t> </w:t>
      </w:r>
      <w:r>
        <w:rPr>
          <w:spacing w:val="2"/>
          <w:w w:val="93"/>
        </w:rPr>
        <w:t>2</w:t>
      </w:r>
      <w:r>
        <w:rPr>
          <w:spacing w:val="1"/>
          <w:w w:val="111"/>
        </w:rPr>
        <w:t>0</w:t>
      </w:r>
      <w:r>
        <w:rPr>
          <w:spacing w:val="2"/>
          <w:w w:val="54"/>
        </w:rPr>
        <w:t>1</w:t>
      </w:r>
      <w:r>
        <w:rPr>
          <w:w w:val="95"/>
        </w:rPr>
        <w:t>5</w:t>
      </w:r>
      <w:r>
        <w:rPr>
          <w:spacing w:val="-12"/>
        </w:rPr>
        <w:t> </w:t>
      </w:r>
      <w:r>
        <w:rPr>
          <w:spacing w:val="2"/>
          <w:w w:val="94"/>
        </w:rPr>
        <w:t>a</w:t>
      </w:r>
      <w:r>
        <w:rPr>
          <w:spacing w:val="2"/>
          <w:w w:val="95"/>
        </w:rPr>
        <w:t>n</w:t>
      </w:r>
      <w:r>
        <w:rPr>
          <w:w w:val="102"/>
        </w:rPr>
        <w:t>d</w:t>
      </w:r>
      <w:r>
        <w:rPr>
          <w:spacing w:val="-12"/>
        </w:rPr>
        <w:t> </w:t>
      </w:r>
      <w:r>
        <w:rPr>
          <w:spacing w:val="2"/>
          <w:w w:val="93"/>
        </w:rPr>
        <w:t>2</w:t>
      </w:r>
      <w:r>
        <w:rPr>
          <w:spacing w:val="1"/>
          <w:w w:val="111"/>
        </w:rPr>
        <w:t>0</w:t>
      </w:r>
      <w:r>
        <w:rPr>
          <w:spacing w:val="4"/>
          <w:w w:val="54"/>
        </w:rPr>
        <w:t>1</w:t>
      </w:r>
      <w:r>
        <w:rPr>
          <w:spacing w:val="4"/>
          <w:w w:val="101"/>
        </w:rPr>
        <w:t>6</w:t>
      </w:r>
      <w:r>
        <w:rPr>
          <w:w w:val="68"/>
        </w:rPr>
        <w:t>,</w:t>
      </w:r>
      <w:r>
        <w:rPr>
          <w:spacing w:val="-12"/>
        </w:rPr>
        <w:t> </w:t>
      </w:r>
      <w:r>
        <w:rPr>
          <w:w w:val="102"/>
        </w:rPr>
        <w:t>t</w:t>
      </w:r>
      <w:r>
        <w:rPr>
          <w:spacing w:val="2"/>
          <w:w w:val="95"/>
        </w:rPr>
        <w:t>h</w:t>
      </w:r>
      <w:r>
        <w:rPr>
          <w:spacing w:val="2"/>
          <w:w w:val="95"/>
        </w:rPr>
        <w:t>e</w:t>
      </w:r>
      <w:r>
        <w:rPr>
          <w:spacing w:val="-1"/>
          <w:w w:val="95"/>
        </w:rPr>
        <w:t>r</w:t>
      </w:r>
      <w:r>
        <w:rPr>
          <w:w w:val="95"/>
        </w:rPr>
        <w:t>e</w:t>
      </w:r>
      <w:r>
        <w:rPr>
          <w:w w:val="98"/>
        </w:rPr>
        <w:t>f</w:t>
      </w:r>
      <w:r>
        <w:rPr>
          <w:spacing w:val="2"/>
          <w:w w:val="100"/>
        </w:rPr>
        <w:t>o</w:t>
      </w:r>
      <w:r>
        <w:rPr>
          <w:spacing w:val="-1"/>
          <w:w w:val="95"/>
        </w:rPr>
        <w:t>r</w:t>
      </w:r>
      <w:r>
        <w:rPr>
          <w:spacing w:val="2"/>
          <w:w w:val="95"/>
        </w:rPr>
        <w:t>e</w:t>
      </w:r>
      <w:r>
        <w:rPr>
          <w:w w:val="68"/>
        </w:rPr>
        <w:t>,</w:t>
      </w:r>
      <w:r>
        <w:rPr>
          <w:spacing w:val="-12"/>
        </w:rPr>
        <w:t> </w:t>
      </w:r>
      <w:r>
        <w:rPr>
          <w:spacing w:val="2"/>
          <w:w w:val="95"/>
        </w:rPr>
        <w:t>n</w:t>
      </w:r>
      <w:r>
        <w:rPr>
          <w:w w:val="100"/>
        </w:rPr>
        <w:t>o</w:t>
      </w:r>
      <w:r>
        <w:rPr>
          <w:spacing w:val="-12"/>
        </w:rPr>
        <w:t> </w:t>
      </w:r>
      <w:r>
        <w:rPr>
          <w:w w:val="102"/>
        </w:rPr>
        <w:t>c</w:t>
      </w:r>
      <w:r>
        <w:rPr>
          <w:spacing w:val="2"/>
          <w:w w:val="100"/>
        </w:rPr>
        <w:t>o</w:t>
      </w:r>
      <w:r>
        <w:rPr>
          <w:spacing w:val="2"/>
          <w:w w:val="98"/>
        </w:rPr>
        <w:t>m</w:t>
      </w:r>
      <w:r>
        <w:rPr>
          <w:spacing w:val="2"/>
          <w:w w:val="102"/>
        </w:rPr>
        <w:t>p</w:t>
      </w:r>
      <w:r>
        <w:rPr>
          <w:spacing w:val="2"/>
          <w:w w:val="94"/>
        </w:rPr>
        <w:t>a</w:t>
      </w:r>
      <w:r>
        <w:rPr>
          <w:spacing w:val="2"/>
          <w:w w:val="95"/>
        </w:rPr>
        <w:t>r</w:t>
      </w:r>
      <w:r>
        <w:rPr>
          <w:spacing w:val="2"/>
          <w:w w:val="94"/>
        </w:rPr>
        <w:t>a</w:t>
      </w:r>
      <w:r>
        <w:rPr>
          <w:spacing w:val="2"/>
          <w:w w:val="102"/>
        </w:rPr>
        <w:t>b</w:t>
      </w:r>
      <w:r>
        <w:rPr>
          <w:spacing w:val="2"/>
          <w:w w:val="95"/>
        </w:rPr>
        <w:t>l</w:t>
      </w:r>
      <w:r>
        <w:rPr>
          <w:w w:val="95"/>
        </w:rPr>
        <w:t>e</w:t>
      </w:r>
      <w:r>
        <w:rPr>
          <w:spacing w:val="-12"/>
        </w:rPr>
        <w:t> </w:t>
      </w:r>
      <w:r>
        <w:rPr>
          <w:spacing w:val="2"/>
          <w:w w:val="102"/>
        </w:rPr>
        <w:t>d</w:t>
      </w:r>
      <w:r>
        <w:rPr>
          <w:w w:val="94"/>
        </w:rPr>
        <w:t>a</w:t>
      </w:r>
      <w:r>
        <w:rPr>
          <w:spacing w:val="2"/>
          <w:w w:val="102"/>
        </w:rPr>
        <w:t>t</w:t>
      </w:r>
      <w:r>
        <w:rPr>
          <w:w w:val="94"/>
        </w:rPr>
        <w:t>a</w:t>
      </w:r>
      <w:r>
        <w:rPr>
          <w:spacing w:val="-12"/>
        </w:rPr>
        <w:t> </w:t>
      </w:r>
      <w:r>
        <w:rPr>
          <w:spacing w:val="1"/>
          <w:w w:val="95"/>
        </w:rPr>
        <w:t>i</w:t>
      </w:r>
      <w:r>
        <w:rPr>
          <w:w w:val="95"/>
        </w:rPr>
        <w:t>s</w:t>
      </w:r>
      <w:r>
        <w:rPr>
          <w:spacing w:val="-12"/>
        </w:rPr>
        <w:t> </w:t>
      </w:r>
      <w:r>
        <w:rPr>
          <w:spacing w:val="-1"/>
          <w:w w:val="94"/>
        </w:rPr>
        <w:t>a</w:t>
      </w:r>
      <w:r>
        <w:rPr>
          <w:spacing w:val="1"/>
          <w:w w:val="101"/>
        </w:rPr>
        <w:t>v</w:t>
      </w:r>
      <w:r>
        <w:rPr>
          <w:spacing w:val="1"/>
          <w:w w:val="94"/>
        </w:rPr>
        <w:t>a</w:t>
      </w:r>
      <w:r>
        <w:rPr>
          <w:w w:val="95"/>
        </w:rPr>
        <w:t>i</w:t>
      </w:r>
      <w:r>
        <w:rPr>
          <w:spacing w:val="1"/>
          <w:w w:val="95"/>
        </w:rPr>
        <w:t>l</w:t>
      </w:r>
      <w:r>
        <w:rPr>
          <w:spacing w:val="2"/>
          <w:w w:val="94"/>
        </w:rPr>
        <w:t>a</w:t>
      </w:r>
      <w:r>
        <w:rPr>
          <w:spacing w:val="2"/>
          <w:w w:val="102"/>
        </w:rPr>
        <w:t>b</w:t>
      </w:r>
      <w:r>
        <w:rPr>
          <w:spacing w:val="2"/>
          <w:w w:val="95"/>
        </w:rPr>
        <w:t>l</w:t>
      </w:r>
      <w:r>
        <w:rPr>
          <w:w w:val="95"/>
        </w:rPr>
        <w:t>e</w:t>
      </w:r>
      <w:r>
        <w:rPr>
          <w:spacing w:val="-12"/>
        </w:rPr>
        <w:t> </w:t>
      </w:r>
      <w:r>
        <w:rPr>
          <w:w w:val="98"/>
        </w:rPr>
        <w:t>f</w:t>
      </w:r>
      <w:r>
        <w:rPr>
          <w:spacing w:val="2"/>
          <w:w w:val="100"/>
        </w:rPr>
        <w:t>o</w:t>
      </w:r>
      <w:r>
        <w:rPr>
          <w:w w:val="95"/>
        </w:rPr>
        <w:t>r</w:t>
      </w:r>
      <w:r>
        <w:rPr>
          <w:spacing w:val="-12"/>
        </w:rPr>
        <w:t> </w:t>
      </w:r>
      <w:r>
        <w:rPr>
          <w:spacing w:val="2"/>
          <w:w w:val="93"/>
        </w:rPr>
        <w:t>2</w:t>
      </w:r>
      <w:r>
        <w:rPr>
          <w:spacing w:val="1"/>
          <w:w w:val="111"/>
        </w:rPr>
        <w:t>0</w:t>
      </w:r>
      <w:r>
        <w:rPr>
          <w:spacing w:val="4"/>
          <w:w w:val="54"/>
        </w:rPr>
        <w:t>1</w:t>
      </w:r>
      <w:r>
        <w:rPr>
          <w:spacing w:val="4"/>
          <w:w w:val="101"/>
        </w:rPr>
        <w:t>6</w:t>
      </w:r>
      <w:r>
        <w:rPr>
          <w:w w:val="68"/>
        </w:rPr>
        <w:t>.</w:t>
      </w:r>
    </w:p>
    <w:p>
      <w:pPr>
        <w:spacing w:after="0" w:line="249" w:lineRule="auto"/>
        <w:sectPr>
          <w:pgSz w:w="11910" w:h="16840"/>
          <w:pgMar w:header="496" w:footer="472" w:top="680" w:bottom="660" w:left="580" w:right="580"/>
        </w:sectPr>
      </w:pPr>
    </w:p>
    <w:p>
      <w:pPr>
        <w:pStyle w:val="BodyText"/>
        <w:spacing w:before="6"/>
        <w:rPr>
          <w:sz w:val="28"/>
        </w:rPr>
      </w:pPr>
      <w:r>
        <w:rPr/>
        <w:pict>
          <v:rect style="position:absolute;margin-left:34.015999pt;margin-top:45.355015pt;width:527.244pt;height:751.181pt;mso-position-horizontal-relative:page;mso-position-vertical-relative:page;z-index:-334504" filled="true" fillcolor="#e9e9e9" stroked="false">
            <v:fill type="solid"/>
            <w10:wrap type="none"/>
          </v:rect>
        </w:pict>
      </w:r>
    </w:p>
    <w:p>
      <w:pPr>
        <w:pStyle w:val="Heading1"/>
      </w:pPr>
      <w:r>
        <w:rPr>
          <w:w w:val="95"/>
        </w:rPr>
        <w:t>APPENDIX 11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7"/>
        <w:spacing w:before="72"/>
        <w:ind w:left="330" w:right="503"/>
      </w:pPr>
      <w:r>
        <w:rPr>
          <w:color w:val="615C58"/>
          <w:w w:val="95"/>
        </w:rPr>
        <w:t>Table 10: Commencing Bachelor Student Retention, 2011-12 to 2015-16 (p)</w:t>
      </w:r>
    </w:p>
    <w:p>
      <w:pPr>
        <w:pStyle w:val="BodyText"/>
        <w:spacing w:before="11"/>
        <w:rPr>
          <w:rFonts w:ascii="Gotham Narrow Bold"/>
          <w:b/>
          <w:sz w:val="10"/>
        </w:rPr>
      </w:pPr>
    </w:p>
    <w:tbl>
      <w:tblPr>
        <w:tblW w:w="0" w:type="auto"/>
        <w:jc w:val="left"/>
        <w:tblInd w:w="330"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4"/>
        <w:gridCol w:w="1720"/>
        <w:gridCol w:w="5154"/>
      </w:tblGrid>
      <w:tr>
        <w:trPr>
          <w:trHeight w:val="283" w:hRule="exact"/>
        </w:trPr>
        <w:tc>
          <w:tcPr>
            <w:tcW w:w="10078" w:type="dxa"/>
            <w:gridSpan w:val="3"/>
            <w:tcBorders>
              <w:top w:val="nil"/>
              <w:left w:val="nil"/>
              <w:bottom w:val="nil"/>
              <w:right w:val="nil"/>
            </w:tcBorders>
            <w:shd w:val="clear" w:color="auto" w:fill="949290"/>
          </w:tcPr>
          <w:p>
            <w:pPr>
              <w:pStyle w:val="TableParagraph"/>
              <w:tabs>
                <w:tab w:pos="4492" w:val="left" w:leader="none"/>
                <w:tab w:pos="9400" w:val="left" w:leader="none"/>
              </w:tabs>
              <w:spacing w:before="40"/>
              <w:ind w:left="80"/>
              <w:jc w:val="left"/>
              <w:rPr>
                <w:rFonts w:ascii="Gotham Narrow Bold"/>
                <w:b/>
                <w:sz w:val="16"/>
              </w:rPr>
            </w:pPr>
            <w:r>
              <w:rPr>
                <w:rFonts w:ascii="Gotham Narrow Bold"/>
                <w:b/>
                <w:color w:val="FFFFFF"/>
                <w:spacing w:val="2"/>
                <w:sz w:val="16"/>
              </w:rPr>
              <w:t>YEAR</w:t>
              <w:tab/>
            </w:r>
            <w:r>
              <w:rPr>
                <w:rFonts w:ascii="Gotham Narrow Bold"/>
                <w:b/>
                <w:color w:val="FFFFFF"/>
                <w:sz w:val="16"/>
              </w:rPr>
              <w:t>WSU</w:t>
              <w:tab/>
            </w:r>
            <w:r>
              <w:rPr>
                <w:rFonts w:ascii="Gotham Narrow Bold"/>
                <w:b/>
                <w:color w:val="FFFFFF"/>
                <w:spacing w:val="2"/>
                <w:sz w:val="16"/>
              </w:rPr>
              <w:t>SECTOR</w:t>
            </w:r>
          </w:p>
        </w:tc>
      </w:tr>
      <w:tr>
        <w:trPr>
          <w:trHeight w:val="283" w:hRule="exact"/>
        </w:trPr>
        <w:tc>
          <w:tcPr>
            <w:tcW w:w="3204" w:type="dxa"/>
            <w:tcBorders>
              <w:top w:val="nil"/>
            </w:tcBorders>
            <w:shd w:val="clear" w:color="auto" w:fill="E9E9E9"/>
          </w:tcPr>
          <w:p>
            <w:pPr>
              <w:pStyle w:val="TableParagraph"/>
              <w:spacing w:before="34"/>
              <w:ind w:left="74"/>
              <w:jc w:val="left"/>
              <w:rPr>
                <w:sz w:val="16"/>
              </w:rPr>
            </w:pPr>
            <w:r>
              <w:rPr>
                <w:spacing w:val="2"/>
                <w:w w:val="93"/>
                <w:sz w:val="16"/>
              </w:rPr>
              <w:t>2</w:t>
            </w:r>
            <w:r>
              <w:rPr>
                <w:spacing w:val="1"/>
                <w:w w:val="111"/>
                <w:sz w:val="16"/>
              </w:rPr>
              <w:t>0</w:t>
            </w:r>
            <w:r>
              <w:rPr>
                <w:spacing w:val="3"/>
                <w:w w:val="54"/>
                <w:sz w:val="16"/>
              </w:rPr>
              <w:t>1</w:t>
            </w:r>
            <w:r>
              <w:rPr>
                <w:spacing w:val="4"/>
                <w:w w:val="54"/>
                <w:sz w:val="16"/>
              </w:rPr>
              <w:t>1</w:t>
            </w:r>
            <w:r>
              <w:rPr>
                <w:spacing w:val="-1"/>
                <w:w w:val="72"/>
                <w:sz w:val="16"/>
              </w:rPr>
              <w:t>-</w:t>
            </w:r>
            <w:r>
              <w:rPr>
                <w:spacing w:val="2"/>
                <w:w w:val="72"/>
                <w:sz w:val="16"/>
              </w:rPr>
              <w:t>1</w:t>
            </w:r>
            <w:r>
              <w:rPr>
                <w:w w:val="93"/>
                <w:sz w:val="16"/>
              </w:rPr>
              <w:t>2</w:t>
            </w:r>
          </w:p>
        </w:tc>
        <w:tc>
          <w:tcPr>
            <w:tcW w:w="1720" w:type="dxa"/>
            <w:tcBorders>
              <w:top w:val="nil"/>
            </w:tcBorders>
            <w:shd w:val="clear" w:color="auto" w:fill="E9E9E9"/>
          </w:tcPr>
          <w:p>
            <w:pPr>
              <w:pStyle w:val="TableParagraph"/>
              <w:spacing w:before="34"/>
              <w:ind w:right="73"/>
              <w:rPr>
                <w:sz w:val="16"/>
              </w:rPr>
            </w:pPr>
            <w:r>
              <w:rPr>
                <w:w w:val="75"/>
                <w:sz w:val="16"/>
              </w:rPr>
              <w:t>79.1%</w:t>
            </w:r>
          </w:p>
        </w:tc>
        <w:tc>
          <w:tcPr>
            <w:tcW w:w="5154" w:type="dxa"/>
            <w:tcBorders>
              <w:top w:val="nil"/>
            </w:tcBorders>
            <w:shd w:val="clear" w:color="auto" w:fill="E9E9E9"/>
          </w:tcPr>
          <w:p>
            <w:pPr>
              <w:pStyle w:val="TableParagraph"/>
              <w:spacing w:before="34"/>
              <w:ind w:right="73"/>
              <w:rPr>
                <w:sz w:val="16"/>
              </w:rPr>
            </w:pPr>
            <w:r>
              <w:rPr>
                <w:w w:val="90"/>
                <w:sz w:val="16"/>
              </w:rPr>
              <w:t>83.0%</w:t>
            </w:r>
          </w:p>
        </w:tc>
      </w:tr>
      <w:tr>
        <w:trPr>
          <w:trHeight w:val="283" w:hRule="exact"/>
        </w:trPr>
        <w:tc>
          <w:tcPr>
            <w:tcW w:w="3204" w:type="dxa"/>
            <w:shd w:val="clear" w:color="auto" w:fill="E9E9E9"/>
          </w:tcPr>
          <w:p>
            <w:pPr>
              <w:pStyle w:val="TableParagraph"/>
              <w:spacing w:before="29"/>
              <w:ind w:left="74"/>
              <w:jc w:val="left"/>
              <w:rPr>
                <w:sz w:val="16"/>
              </w:rPr>
            </w:pPr>
            <w:r>
              <w:rPr>
                <w:spacing w:val="2"/>
                <w:w w:val="93"/>
                <w:sz w:val="16"/>
              </w:rPr>
              <w:t>2</w:t>
            </w:r>
            <w:r>
              <w:rPr>
                <w:spacing w:val="1"/>
                <w:w w:val="111"/>
                <w:sz w:val="16"/>
              </w:rPr>
              <w:t>0</w:t>
            </w:r>
            <w:r>
              <w:rPr>
                <w:spacing w:val="2"/>
                <w:w w:val="54"/>
                <w:sz w:val="16"/>
              </w:rPr>
              <w:t>1</w:t>
            </w:r>
            <w:r>
              <w:rPr>
                <w:w w:val="93"/>
                <w:sz w:val="16"/>
              </w:rPr>
              <w:t>2</w:t>
            </w:r>
            <w:r>
              <w:rPr>
                <w:spacing w:val="-1"/>
                <w:w w:val="72"/>
                <w:sz w:val="16"/>
              </w:rPr>
              <w:t>-</w:t>
            </w:r>
            <w:r>
              <w:rPr>
                <w:spacing w:val="2"/>
                <w:w w:val="72"/>
                <w:sz w:val="16"/>
              </w:rPr>
              <w:t>1</w:t>
            </w:r>
            <w:r>
              <w:rPr>
                <w:w w:val="94"/>
                <w:sz w:val="16"/>
              </w:rPr>
              <w:t>3</w:t>
            </w:r>
          </w:p>
        </w:tc>
        <w:tc>
          <w:tcPr>
            <w:tcW w:w="1720" w:type="dxa"/>
            <w:shd w:val="clear" w:color="auto" w:fill="E9E9E9"/>
          </w:tcPr>
          <w:p>
            <w:pPr>
              <w:pStyle w:val="TableParagraph"/>
              <w:spacing w:before="29"/>
              <w:ind w:right="73"/>
              <w:rPr>
                <w:sz w:val="16"/>
              </w:rPr>
            </w:pPr>
            <w:r>
              <w:rPr>
                <w:w w:val="85"/>
                <w:sz w:val="16"/>
              </w:rPr>
              <w:t>78.5%</w:t>
            </w:r>
          </w:p>
        </w:tc>
        <w:tc>
          <w:tcPr>
            <w:tcW w:w="5154" w:type="dxa"/>
            <w:shd w:val="clear" w:color="auto" w:fill="E9E9E9"/>
          </w:tcPr>
          <w:p>
            <w:pPr>
              <w:pStyle w:val="TableParagraph"/>
              <w:spacing w:before="29"/>
              <w:ind w:right="73"/>
              <w:rPr>
                <w:sz w:val="16"/>
              </w:rPr>
            </w:pPr>
            <w:r>
              <w:rPr>
                <w:w w:val="85"/>
                <w:sz w:val="16"/>
              </w:rPr>
              <w:t>82.2%</w:t>
            </w:r>
          </w:p>
        </w:tc>
      </w:tr>
      <w:tr>
        <w:trPr>
          <w:trHeight w:val="283" w:hRule="exact"/>
        </w:trPr>
        <w:tc>
          <w:tcPr>
            <w:tcW w:w="3204" w:type="dxa"/>
            <w:shd w:val="clear" w:color="auto" w:fill="E9E9E9"/>
          </w:tcPr>
          <w:p>
            <w:pPr>
              <w:pStyle w:val="TableParagraph"/>
              <w:spacing w:before="29"/>
              <w:ind w:left="74"/>
              <w:jc w:val="left"/>
              <w:rPr>
                <w:sz w:val="16"/>
              </w:rPr>
            </w:pPr>
            <w:r>
              <w:rPr>
                <w:w w:val="95"/>
                <w:sz w:val="16"/>
              </w:rPr>
              <w:t>2013-14</w:t>
            </w:r>
          </w:p>
        </w:tc>
        <w:tc>
          <w:tcPr>
            <w:tcW w:w="1720" w:type="dxa"/>
            <w:shd w:val="clear" w:color="auto" w:fill="E9E9E9"/>
          </w:tcPr>
          <w:p>
            <w:pPr>
              <w:pStyle w:val="TableParagraph"/>
              <w:spacing w:before="29"/>
              <w:ind w:right="73"/>
              <w:rPr>
                <w:sz w:val="16"/>
              </w:rPr>
            </w:pPr>
            <w:r>
              <w:rPr>
                <w:w w:val="75"/>
                <w:sz w:val="16"/>
              </w:rPr>
              <w:t>79.1%</w:t>
            </w:r>
          </w:p>
        </w:tc>
        <w:tc>
          <w:tcPr>
            <w:tcW w:w="5154" w:type="dxa"/>
            <w:shd w:val="clear" w:color="auto" w:fill="E9E9E9"/>
          </w:tcPr>
          <w:p>
            <w:pPr>
              <w:pStyle w:val="TableParagraph"/>
              <w:spacing w:before="29"/>
              <w:ind w:right="73"/>
              <w:rPr>
                <w:sz w:val="16"/>
              </w:rPr>
            </w:pPr>
            <w:r>
              <w:rPr>
                <w:w w:val="90"/>
                <w:sz w:val="16"/>
              </w:rPr>
              <w:t>80.8%</w:t>
            </w:r>
          </w:p>
        </w:tc>
      </w:tr>
      <w:tr>
        <w:trPr>
          <w:trHeight w:val="283" w:hRule="exact"/>
        </w:trPr>
        <w:tc>
          <w:tcPr>
            <w:tcW w:w="3204" w:type="dxa"/>
            <w:shd w:val="clear" w:color="auto" w:fill="E9E9E9"/>
          </w:tcPr>
          <w:p>
            <w:pPr>
              <w:pStyle w:val="TableParagraph"/>
              <w:spacing w:before="29"/>
              <w:ind w:left="74"/>
              <w:jc w:val="left"/>
              <w:rPr>
                <w:sz w:val="16"/>
              </w:rPr>
            </w:pPr>
            <w:r>
              <w:rPr>
                <w:spacing w:val="2"/>
                <w:w w:val="93"/>
                <w:sz w:val="16"/>
              </w:rPr>
              <w:t>2</w:t>
            </w:r>
            <w:r>
              <w:rPr>
                <w:spacing w:val="1"/>
                <w:w w:val="111"/>
                <w:sz w:val="16"/>
              </w:rPr>
              <w:t>0</w:t>
            </w:r>
            <w:r>
              <w:rPr>
                <w:spacing w:val="2"/>
                <w:w w:val="54"/>
                <w:sz w:val="16"/>
              </w:rPr>
              <w:t>1</w:t>
            </w:r>
            <w:r>
              <w:rPr>
                <w:spacing w:val="4"/>
                <w:w w:val="103"/>
                <w:sz w:val="16"/>
              </w:rPr>
              <w:t>4</w:t>
            </w:r>
            <w:r>
              <w:rPr>
                <w:spacing w:val="-1"/>
                <w:w w:val="72"/>
                <w:sz w:val="16"/>
              </w:rPr>
              <w:t>-</w:t>
            </w:r>
            <w:r>
              <w:rPr>
                <w:spacing w:val="2"/>
                <w:w w:val="72"/>
                <w:sz w:val="16"/>
              </w:rPr>
              <w:t>1</w:t>
            </w:r>
            <w:r>
              <w:rPr>
                <w:w w:val="95"/>
                <w:sz w:val="16"/>
              </w:rPr>
              <w:t>5</w:t>
            </w:r>
          </w:p>
        </w:tc>
        <w:tc>
          <w:tcPr>
            <w:tcW w:w="1720" w:type="dxa"/>
            <w:shd w:val="clear" w:color="auto" w:fill="E9E9E9"/>
          </w:tcPr>
          <w:p>
            <w:pPr>
              <w:pStyle w:val="TableParagraph"/>
              <w:spacing w:before="29"/>
              <w:ind w:right="73"/>
              <w:rPr>
                <w:sz w:val="16"/>
              </w:rPr>
            </w:pPr>
            <w:r>
              <w:rPr>
                <w:w w:val="85"/>
                <w:sz w:val="16"/>
              </w:rPr>
              <w:t>78.4%</w:t>
            </w:r>
          </w:p>
        </w:tc>
        <w:tc>
          <w:tcPr>
            <w:tcW w:w="5154" w:type="dxa"/>
            <w:shd w:val="clear" w:color="auto" w:fill="E9E9E9"/>
          </w:tcPr>
          <w:p>
            <w:pPr>
              <w:pStyle w:val="TableParagraph"/>
              <w:spacing w:before="29"/>
              <w:ind w:right="72"/>
              <w:rPr>
                <w:sz w:val="16"/>
              </w:rPr>
            </w:pPr>
            <w:r>
              <w:rPr>
                <w:w w:val="90"/>
                <w:sz w:val="16"/>
              </w:rPr>
              <w:t>80.6%</w:t>
            </w:r>
          </w:p>
        </w:tc>
      </w:tr>
      <w:tr>
        <w:trPr>
          <w:trHeight w:val="283" w:hRule="exact"/>
        </w:trPr>
        <w:tc>
          <w:tcPr>
            <w:tcW w:w="3204" w:type="dxa"/>
            <w:shd w:val="clear" w:color="auto" w:fill="E9E9E9"/>
          </w:tcPr>
          <w:p>
            <w:pPr>
              <w:pStyle w:val="TableParagraph"/>
              <w:spacing w:before="29"/>
              <w:ind w:left="74"/>
              <w:jc w:val="left"/>
              <w:rPr>
                <w:sz w:val="16"/>
              </w:rPr>
            </w:pPr>
            <w:r>
              <w:rPr>
                <w:spacing w:val="2"/>
                <w:w w:val="93"/>
                <w:sz w:val="16"/>
              </w:rPr>
              <w:t>2</w:t>
            </w:r>
            <w:r>
              <w:rPr>
                <w:spacing w:val="1"/>
                <w:w w:val="111"/>
                <w:sz w:val="16"/>
              </w:rPr>
              <w:t>0</w:t>
            </w:r>
            <w:r>
              <w:rPr>
                <w:spacing w:val="2"/>
                <w:w w:val="54"/>
                <w:sz w:val="16"/>
              </w:rPr>
              <w:t>1</w:t>
            </w:r>
            <w:r>
              <w:rPr>
                <w:spacing w:val="5"/>
                <w:w w:val="95"/>
                <w:sz w:val="16"/>
              </w:rPr>
              <w:t>5</w:t>
            </w:r>
            <w:r>
              <w:rPr>
                <w:spacing w:val="-1"/>
                <w:w w:val="100"/>
                <w:sz w:val="16"/>
              </w:rPr>
              <w:t>-</w:t>
            </w:r>
            <w:r>
              <w:rPr>
                <w:spacing w:val="4"/>
                <w:w w:val="54"/>
                <w:sz w:val="16"/>
              </w:rPr>
              <w:t>1</w:t>
            </w:r>
            <w:r>
              <w:rPr>
                <w:w w:val="101"/>
                <w:sz w:val="16"/>
              </w:rPr>
              <w:t>6</w:t>
            </w:r>
            <w:r>
              <w:rPr>
                <w:spacing w:val="-12"/>
                <w:sz w:val="16"/>
              </w:rPr>
              <w:t> </w:t>
            </w:r>
            <w:r>
              <w:rPr>
                <w:spacing w:val="1"/>
                <w:w w:val="96"/>
                <w:sz w:val="16"/>
              </w:rPr>
              <w:t>(</w:t>
            </w:r>
            <w:r>
              <w:rPr>
                <w:spacing w:val="-9"/>
                <w:w w:val="102"/>
                <w:sz w:val="16"/>
              </w:rPr>
              <w:t>p</w:t>
            </w:r>
            <w:r>
              <w:rPr>
                <w:w w:val="96"/>
                <w:sz w:val="16"/>
              </w:rPr>
              <w:t>)</w:t>
            </w:r>
          </w:p>
        </w:tc>
        <w:tc>
          <w:tcPr>
            <w:tcW w:w="1720" w:type="dxa"/>
            <w:shd w:val="clear" w:color="auto" w:fill="E9E9E9"/>
          </w:tcPr>
          <w:p>
            <w:pPr>
              <w:pStyle w:val="TableParagraph"/>
              <w:spacing w:before="29"/>
              <w:ind w:right="73"/>
              <w:rPr>
                <w:sz w:val="16"/>
              </w:rPr>
            </w:pPr>
            <w:r>
              <w:rPr>
                <w:w w:val="85"/>
                <w:sz w:val="16"/>
              </w:rPr>
              <w:t>76.8%</w:t>
            </w:r>
          </w:p>
        </w:tc>
        <w:tc>
          <w:tcPr>
            <w:tcW w:w="5154" w:type="dxa"/>
            <w:shd w:val="clear" w:color="auto" w:fill="E9E9E9"/>
          </w:tcPr>
          <w:p>
            <w:pPr>
              <w:pStyle w:val="TableParagraph"/>
              <w:spacing w:before="29"/>
              <w:ind w:right="73"/>
              <w:rPr>
                <w:sz w:val="16"/>
              </w:rPr>
            </w:pPr>
            <w:r>
              <w:rPr>
                <w:w w:val="90"/>
                <w:sz w:val="16"/>
              </w:rPr>
              <w:t>n.a</w:t>
            </w:r>
          </w:p>
        </w:tc>
      </w:tr>
    </w:tbl>
    <w:p>
      <w:pPr>
        <w:pStyle w:val="BodyText"/>
        <w:spacing w:before="29"/>
        <w:ind w:left="335" w:right="503"/>
      </w:pPr>
      <w:r>
        <w:rPr/>
        <w:t>(Source: Dept. of Education and Training Statistical Publications and Enrolment Submissions to the Dept. of Education and Training).</w:t>
      </w:r>
    </w:p>
    <w:p>
      <w:pPr>
        <w:pStyle w:val="BodyText"/>
        <w:spacing w:before="8"/>
        <w:rPr>
          <w:sz w:val="20"/>
        </w:rPr>
      </w:pPr>
    </w:p>
    <w:p>
      <w:pPr>
        <w:pStyle w:val="Heading7"/>
        <w:ind w:left="330" w:right="503"/>
      </w:pPr>
      <w:r>
        <w:rPr>
          <w:color w:val="615C58"/>
        </w:rPr>
        <w:t>Table 11: Number of Preferences and Market Share of UAC Preferences for Western Sydney University, 2014-2016</w:t>
      </w:r>
    </w:p>
    <w:p>
      <w:pPr>
        <w:pStyle w:val="BodyText"/>
        <w:spacing w:before="10" w:after="1"/>
        <w:rPr>
          <w:rFonts w:ascii="Gotham Narrow Bold"/>
          <w:b/>
          <w:sz w:val="10"/>
        </w:rPr>
      </w:pPr>
    </w:p>
    <w:tbl>
      <w:tblPr>
        <w:tblW w:w="0" w:type="auto"/>
        <w:jc w:val="left"/>
        <w:tblInd w:w="330"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2" w:hRule="exact"/>
        </w:trPr>
        <w:tc>
          <w:tcPr>
            <w:tcW w:w="3204" w:type="dxa"/>
            <w:vMerge w:val="restart"/>
            <w:tcBorders>
              <w:top w:val="nil"/>
              <w:left w:val="nil"/>
              <w:right w:val="single" w:sz="4" w:space="0" w:color="FFFFFF"/>
            </w:tcBorders>
            <w:shd w:val="clear" w:color="auto" w:fill="949290"/>
          </w:tcPr>
          <w:p>
            <w:pPr>
              <w:pStyle w:val="TableParagraph"/>
              <w:spacing w:line="249" w:lineRule="auto" w:before="111"/>
              <w:ind w:left="80" w:right="177"/>
              <w:jc w:val="left"/>
              <w:rPr>
                <w:rFonts w:ascii="Gotham Narrow Bold"/>
                <w:b/>
                <w:sz w:val="16"/>
              </w:rPr>
            </w:pPr>
            <w:r>
              <w:rPr>
                <w:rFonts w:ascii="Gotham Narrow Bold"/>
                <w:b/>
                <w:color w:val="FFFFFF"/>
                <w:sz w:val="16"/>
              </w:rPr>
              <w:t>NUMBER OF PREFERENCES TO </w:t>
            </w:r>
            <w:r>
              <w:rPr>
                <w:rFonts w:ascii="Gotham Narrow Bold"/>
                <w:b/>
                <w:color w:val="FFFFFF"/>
                <w:w w:val="95"/>
                <w:sz w:val="16"/>
              </w:rPr>
              <w:t>WESTERN SYDNEY UNIVERSITY</w:t>
            </w:r>
          </w:p>
        </w:tc>
        <w:tc>
          <w:tcPr>
            <w:tcW w:w="3436" w:type="dxa"/>
            <w:gridSpan w:val="3"/>
            <w:tcBorders>
              <w:top w:val="nil"/>
              <w:left w:val="single" w:sz="4" w:space="0" w:color="FFFFFF"/>
              <w:bottom w:val="single" w:sz="4" w:space="0" w:color="FFFFFF"/>
              <w:right w:val="single" w:sz="4" w:space="0" w:color="FFFFFF"/>
            </w:tcBorders>
            <w:shd w:val="clear" w:color="auto" w:fill="949290"/>
          </w:tcPr>
          <w:p>
            <w:pPr>
              <w:pStyle w:val="TableParagraph"/>
              <w:ind w:left="988"/>
              <w:jc w:val="left"/>
              <w:rPr>
                <w:rFonts w:ascii="Gotham Narrow Bold"/>
                <w:b/>
                <w:sz w:val="16"/>
              </w:rPr>
            </w:pPr>
            <w:r>
              <w:rPr>
                <w:rFonts w:ascii="Gotham Narrow Bold"/>
                <w:b/>
                <w:color w:val="FFFFFF"/>
                <w:w w:val="95"/>
                <w:sz w:val="16"/>
              </w:rPr>
              <w:t>FIRST PREFERENCE</w:t>
            </w:r>
          </w:p>
        </w:tc>
        <w:tc>
          <w:tcPr>
            <w:tcW w:w="3436" w:type="dxa"/>
            <w:gridSpan w:val="3"/>
            <w:tcBorders>
              <w:top w:val="nil"/>
              <w:left w:val="single" w:sz="4" w:space="0" w:color="FFFFFF"/>
              <w:bottom w:val="single" w:sz="4" w:space="0" w:color="FFFFFF"/>
              <w:right w:val="nil"/>
            </w:tcBorders>
            <w:shd w:val="clear" w:color="auto" w:fill="949290"/>
          </w:tcPr>
          <w:p>
            <w:pPr>
              <w:pStyle w:val="TableParagraph"/>
              <w:ind w:left="590"/>
              <w:jc w:val="left"/>
              <w:rPr>
                <w:rFonts w:ascii="Gotham Narrow Bold"/>
                <w:b/>
                <w:sz w:val="16"/>
              </w:rPr>
            </w:pPr>
            <w:r>
              <w:rPr>
                <w:rFonts w:ascii="Gotham Narrow Bold"/>
                <w:b/>
                <w:color w:val="FFFFFF"/>
                <w:w w:val="95"/>
                <w:sz w:val="16"/>
              </w:rPr>
              <w:t>FIRST TO THIRD PREFERENCES</w:t>
            </w:r>
          </w:p>
        </w:tc>
      </w:tr>
      <w:tr>
        <w:trPr>
          <w:trHeight w:val="312" w:hRule="exact"/>
        </w:trPr>
        <w:tc>
          <w:tcPr>
            <w:tcW w:w="3204" w:type="dxa"/>
            <w:vMerge/>
            <w:tcBorders>
              <w:left w:val="nil"/>
              <w:bottom w:val="nil"/>
              <w:right w:val="single" w:sz="4" w:space="0" w:color="FFFFFF"/>
            </w:tcBorders>
            <w:shd w:val="clear" w:color="auto" w:fill="949290"/>
          </w:tcPr>
          <w:p>
            <w:pP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2016</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4"/>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nil"/>
            </w:tcBorders>
            <w:shd w:val="clear" w:color="auto" w:fill="949290"/>
          </w:tcPr>
          <w:p>
            <w:pPr>
              <w:pStyle w:val="TableParagraph"/>
              <w:spacing w:before="49"/>
              <w:ind w:right="77"/>
              <w:rPr>
                <w:rFonts w:ascii="Gotham Narrow Bold"/>
                <w:b/>
                <w:sz w:val="16"/>
              </w:rPr>
            </w:pPr>
            <w:r>
              <w:rPr>
                <w:rFonts w:ascii="Gotham Narrow Bold"/>
                <w:b/>
                <w:color w:val="FFFFFF"/>
                <w:w w:val="95"/>
                <w:sz w:val="16"/>
              </w:rPr>
              <w:t>2016</w:t>
            </w:r>
          </w:p>
        </w:tc>
      </w:tr>
      <w:tr>
        <w:trPr>
          <w:trHeight w:val="283" w:hRule="exact"/>
        </w:trPr>
        <w:tc>
          <w:tcPr>
            <w:tcW w:w="3204" w:type="dxa"/>
            <w:tcBorders>
              <w:top w:val="nil"/>
            </w:tcBorders>
            <w:shd w:val="clear" w:color="auto" w:fill="E9E9E9"/>
          </w:tcPr>
          <w:p>
            <w:pPr>
              <w:pStyle w:val="TableParagraph"/>
              <w:spacing w:before="34"/>
              <w:ind w:left="75"/>
              <w:jc w:val="left"/>
              <w:rPr>
                <w:sz w:val="16"/>
              </w:rPr>
            </w:pPr>
            <w:r>
              <w:rPr>
                <w:sz w:val="16"/>
              </w:rPr>
              <w:t>Current School Leavers</w:t>
            </w:r>
          </w:p>
        </w:tc>
        <w:tc>
          <w:tcPr>
            <w:tcW w:w="1145" w:type="dxa"/>
            <w:tcBorders>
              <w:top w:val="nil"/>
            </w:tcBorders>
            <w:shd w:val="clear" w:color="auto" w:fill="E9E9E9"/>
          </w:tcPr>
          <w:p>
            <w:pPr>
              <w:pStyle w:val="TableParagraph"/>
              <w:spacing w:before="34"/>
              <w:ind w:right="71"/>
              <w:rPr>
                <w:sz w:val="16"/>
              </w:rPr>
            </w:pPr>
            <w:r>
              <w:rPr>
                <w:w w:val="95"/>
                <w:sz w:val="16"/>
              </w:rPr>
              <w:t>6,663</w:t>
            </w:r>
          </w:p>
        </w:tc>
        <w:tc>
          <w:tcPr>
            <w:tcW w:w="1145" w:type="dxa"/>
            <w:tcBorders>
              <w:top w:val="nil"/>
            </w:tcBorders>
            <w:shd w:val="clear" w:color="auto" w:fill="E9E9E9"/>
          </w:tcPr>
          <w:p>
            <w:pPr>
              <w:pStyle w:val="TableParagraph"/>
              <w:spacing w:before="34"/>
              <w:ind w:right="73"/>
              <w:rPr>
                <w:sz w:val="16"/>
              </w:rPr>
            </w:pPr>
            <w:r>
              <w:rPr>
                <w:w w:val="95"/>
                <w:sz w:val="16"/>
              </w:rPr>
              <w:t>6,350</w:t>
            </w:r>
          </w:p>
        </w:tc>
        <w:tc>
          <w:tcPr>
            <w:tcW w:w="1145" w:type="dxa"/>
            <w:tcBorders>
              <w:top w:val="nil"/>
            </w:tcBorders>
            <w:shd w:val="clear" w:color="auto" w:fill="E9E9E9"/>
          </w:tcPr>
          <w:p>
            <w:pPr>
              <w:pStyle w:val="TableParagraph"/>
              <w:spacing w:before="34"/>
              <w:ind w:right="69"/>
              <w:rPr>
                <w:sz w:val="16"/>
              </w:rPr>
            </w:pPr>
            <w:r>
              <w:rPr>
                <w:w w:val="95"/>
                <w:sz w:val="16"/>
              </w:rPr>
              <w:t>6,566</w:t>
            </w:r>
          </w:p>
        </w:tc>
        <w:tc>
          <w:tcPr>
            <w:tcW w:w="1145" w:type="dxa"/>
            <w:tcBorders>
              <w:top w:val="nil"/>
            </w:tcBorders>
            <w:shd w:val="clear" w:color="auto" w:fill="E9E9E9"/>
          </w:tcPr>
          <w:p>
            <w:pPr>
              <w:pStyle w:val="TableParagraph"/>
              <w:spacing w:before="34"/>
              <w:ind w:right="72"/>
              <w:rPr>
                <w:sz w:val="16"/>
              </w:rPr>
            </w:pPr>
            <w:r>
              <w:rPr>
                <w:w w:val="80"/>
                <w:sz w:val="16"/>
              </w:rPr>
              <w:t>19,212</w:t>
            </w:r>
          </w:p>
        </w:tc>
        <w:tc>
          <w:tcPr>
            <w:tcW w:w="1145" w:type="dxa"/>
            <w:tcBorders>
              <w:top w:val="nil"/>
            </w:tcBorders>
            <w:shd w:val="clear" w:color="auto" w:fill="E9E9E9"/>
          </w:tcPr>
          <w:p>
            <w:pPr>
              <w:pStyle w:val="TableParagraph"/>
              <w:spacing w:before="34"/>
              <w:ind w:right="74"/>
              <w:rPr>
                <w:sz w:val="16"/>
              </w:rPr>
            </w:pPr>
            <w:r>
              <w:rPr>
                <w:w w:val="85"/>
                <w:sz w:val="16"/>
              </w:rPr>
              <w:t>18,797</w:t>
            </w:r>
          </w:p>
        </w:tc>
        <w:tc>
          <w:tcPr>
            <w:tcW w:w="1145" w:type="dxa"/>
            <w:tcBorders>
              <w:top w:val="nil"/>
            </w:tcBorders>
            <w:shd w:val="clear" w:color="auto" w:fill="E9E9E9"/>
          </w:tcPr>
          <w:p>
            <w:pPr>
              <w:pStyle w:val="TableParagraph"/>
              <w:spacing w:before="34"/>
              <w:ind w:right="73"/>
              <w:rPr>
                <w:sz w:val="16"/>
              </w:rPr>
            </w:pPr>
            <w:r>
              <w:rPr>
                <w:spacing w:val="2"/>
                <w:w w:val="54"/>
                <w:sz w:val="16"/>
              </w:rPr>
              <w:t>1</w:t>
            </w:r>
            <w:r>
              <w:rPr>
                <w:spacing w:val="1"/>
                <w:w w:val="101"/>
                <w:sz w:val="16"/>
              </w:rPr>
              <w:t>9</w:t>
            </w:r>
            <w:r>
              <w:rPr>
                <w:spacing w:val="3"/>
                <w:w w:val="68"/>
                <w:sz w:val="16"/>
              </w:rPr>
              <w:t>,</w:t>
            </w:r>
            <w:r>
              <w:rPr>
                <w:spacing w:val="3"/>
                <w:w w:val="101"/>
                <w:sz w:val="16"/>
              </w:rPr>
              <w:t>6</w:t>
            </w:r>
            <w:r>
              <w:rPr>
                <w:spacing w:val="1"/>
                <w:w w:val="111"/>
                <w:sz w:val="16"/>
              </w:rPr>
              <w:t>0</w:t>
            </w:r>
            <w:r>
              <w:rPr>
                <w:w w:val="54"/>
                <w:sz w:val="16"/>
              </w:rPr>
              <w:t>1</w:t>
            </w:r>
          </w:p>
        </w:tc>
      </w:tr>
      <w:tr>
        <w:trPr>
          <w:trHeight w:val="283" w:hRule="exact"/>
        </w:trPr>
        <w:tc>
          <w:tcPr>
            <w:tcW w:w="3204" w:type="dxa"/>
            <w:shd w:val="clear" w:color="auto" w:fill="E9E9E9"/>
          </w:tcPr>
          <w:p>
            <w:pPr>
              <w:pStyle w:val="TableParagraph"/>
              <w:spacing w:before="29"/>
              <w:ind w:left="75"/>
              <w:jc w:val="left"/>
              <w:rPr>
                <w:sz w:val="16"/>
              </w:rPr>
            </w:pPr>
            <w:r>
              <w:rPr>
                <w:sz w:val="16"/>
              </w:rPr>
              <w:t>Non Current School Leavers</w:t>
            </w:r>
          </w:p>
        </w:tc>
        <w:tc>
          <w:tcPr>
            <w:tcW w:w="1145" w:type="dxa"/>
            <w:shd w:val="clear" w:color="auto" w:fill="E9E9E9"/>
          </w:tcPr>
          <w:p>
            <w:pPr>
              <w:pStyle w:val="TableParagraph"/>
              <w:spacing w:before="29"/>
              <w:ind w:right="69"/>
              <w:rPr>
                <w:sz w:val="16"/>
              </w:rPr>
            </w:pPr>
            <w:r>
              <w:rPr>
                <w:w w:val="90"/>
                <w:sz w:val="16"/>
              </w:rPr>
              <w:t>5,895</w:t>
            </w:r>
          </w:p>
        </w:tc>
        <w:tc>
          <w:tcPr>
            <w:tcW w:w="1145" w:type="dxa"/>
            <w:shd w:val="clear" w:color="auto" w:fill="E9E9E9"/>
          </w:tcPr>
          <w:p>
            <w:pPr>
              <w:pStyle w:val="TableParagraph"/>
              <w:spacing w:before="29"/>
              <w:ind w:right="72"/>
              <w:rPr>
                <w:sz w:val="16"/>
              </w:rPr>
            </w:pPr>
            <w:r>
              <w:rPr>
                <w:w w:val="90"/>
                <w:sz w:val="16"/>
              </w:rPr>
              <w:t>5,823</w:t>
            </w:r>
          </w:p>
        </w:tc>
        <w:tc>
          <w:tcPr>
            <w:tcW w:w="1145" w:type="dxa"/>
            <w:shd w:val="clear" w:color="auto" w:fill="E9E9E9"/>
          </w:tcPr>
          <w:p>
            <w:pPr>
              <w:pStyle w:val="TableParagraph"/>
              <w:spacing w:before="29"/>
              <w:ind w:right="73"/>
              <w:rPr>
                <w:sz w:val="16"/>
              </w:rPr>
            </w:pPr>
            <w:r>
              <w:rPr>
                <w:w w:val="95"/>
                <w:sz w:val="16"/>
              </w:rPr>
              <w:t>5,243</w:t>
            </w:r>
          </w:p>
        </w:tc>
        <w:tc>
          <w:tcPr>
            <w:tcW w:w="1145" w:type="dxa"/>
            <w:shd w:val="clear" w:color="auto" w:fill="E9E9E9"/>
          </w:tcPr>
          <w:p>
            <w:pPr>
              <w:pStyle w:val="TableParagraph"/>
              <w:spacing w:before="29"/>
              <w:ind w:right="73"/>
              <w:rPr>
                <w:sz w:val="16"/>
              </w:rPr>
            </w:pPr>
            <w:r>
              <w:rPr>
                <w:w w:val="85"/>
                <w:sz w:val="16"/>
              </w:rPr>
              <w:t>14,482</w:t>
            </w:r>
          </w:p>
        </w:tc>
        <w:tc>
          <w:tcPr>
            <w:tcW w:w="1145" w:type="dxa"/>
            <w:shd w:val="clear" w:color="auto" w:fill="E9E9E9"/>
          </w:tcPr>
          <w:p>
            <w:pPr>
              <w:pStyle w:val="TableParagraph"/>
              <w:spacing w:before="29"/>
              <w:ind w:right="80"/>
              <w:rPr>
                <w:sz w:val="16"/>
              </w:rPr>
            </w:pPr>
            <w:r>
              <w:rPr>
                <w:w w:val="85"/>
                <w:sz w:val="16"/>
              </w:rPr>
              <w:t>14,274</w:t>
            </w:r>
          </w:p>
        </w:tc>
        <w:tc>
          <w:tcPr>
            <w:tcW w:w="1145" w:type="dxa"/>
            <w:shd w:val="clear" w:color="auto" w:fill="E9E9E9"/>
          </w:tcPr>
          <w:p>
            <w:pPr>
              <w:pStyle w:val="TableParagraph"/>
              <w:spacing w:before="29"/>
              <w:ind w:right="73"/>
              <w:rPr>
                <w:sz w:val="16"/>
              </w:rPr>
            </w:pPr>
            <w:r>
              <w:rPr>
                <w:w w:val="80"/>
                <w:sz w:val="16"/>
              </w:rPr>
              <w:t>13,061</w:t>
            </w:r>
          </w:p>
        </w:tc>
      </w:tr>
      <w:tr>
        <w:trPr>
          <w:trHeight w:val="283" w:hRule="exact"/>
        </w:trPr>
        <w:tc>
          <w:tcPr>
            <w:tcW w:w="3204" w:type="dxa"/>
            <w:shd w:val="clear" w:color="auto" w:fill="E9E9E9"/>
          </w:tcPr>
          <w:p>
            <w:pPr>
              <w:pStyle w:val="TableParagraph"/>
              <w:spacing w:before="37"/>
              <w:ind w:left="75"/>
              <w:jc w:val="left"/>
              <w:rPr>
                <w:rFonts w:ascii="Calibri"/>
                <w:sz w:val="16"/>
              </w:rPr>
            </w:pPr>
            <w:r>
              <w:rPr>
                <w:rFonts w:ascii="Calibri"/>
                <w:w w:val="105"/>
                <w:sz w:val="16"/>
              </w:rPr>
              <w:t>Total*</w:t>
            </w:r>
          </w:p>
        </w:tc>
        <w:tc>
          <w:tcPr>
            <w:tcW w:w="1145" w:type="dxa"/>
            <w:shd w:val="clear" w:color="auto" w:fill="E9E9E9"/>
          </w:tcPr>
          <w:p>
            <w:pPr>
              <w:pStyle w:val="TableParagraph"/>
              <w:spacing w:before="37"/>
              <w:ind w:right="73"/>
              <w:rPr>
                <w:rFonts w:ascii="Calibri"/>
                <w:sz w:val="16"/>
              </w:rPr>
            </w:pPr>
            <w:r>
              <w:rPr>
                <w:rFonts w:ascii="Calibri"/>
                <w:sz w:val="16"/>
              </w:rPr>
              <w:t>12,558</w:t>
            </w:r>
          </w:p>
        </w:tc>
        <w:tc>
          <w:tcPr>
            <w:tcW w:w="1145" w:type="dxa"/>
            <w:shd w:val="clear" w:color="auto" w:fill="E9E9E9"/>
          </w:tcPr>
          <w:p>
            <w:pPr>
              <w:pStyle w:val="TableParagraph"/>
              <w:spacing w:before="37"/>
              <w:ind w:right="73"/>
              <w:rPr>
                <w:rFonts w:ascii="Calibri"/>
                <w:sz w:val="16"/>
              </w:rPr>
            </w:pPr>
            <w:r>
              <w:rPr>
                <w:rFonts w:ascii="Calibri"/>
                <w:w w:val="90"/>
                <w:sz w:val="16"/>
              </w:rPr>
              <w:t>12,176</w:t>
            </w:r>
          </w:p>
        </w:tc>
        <w:tc>
          <w:tcPr>
            <w:tcW w:w="1145" w:type="dxa"/>
            <w:shd w:val="clear" w:color="auto" w:fill="E9E9E9"/>
          </w:tcPr>
          <w:p>
            <w:pPr>
              <w:pStyle w:val="TableParagraph"/>
              <w:spacing w:before="37"/>
              <w:ind w:right="72"/>
              <w:rPr>
                <w:rFonts w:ascii="Calibri"/>
                <w:sz w:val="16"/>
              </w:rPr>
            </w:pPr>
            <w:r>
              <w:rPr>
                <w:rFonts w:ascii="Calibri"/>
                <w:w w:val="85"/>
                <w:sz w:val="16"/>
              </w:rPr>
              <w:t>11,815</w:t>
            </w:r>
          </w:p>
        </w:tc>
        <w:tc>
          <w:tcPr>
            <w:tcW w:w="1145" w:type="dxa"/>
            <w:shd w:val="clear" w:color="auto" w:fill="E9E9E9"/>
          </w:tcPr>
          <w:p>
            <w:pPr>
              <w:pStyle w:val="TableParagraph"/>
              <w:spacing w:before="37"/>
              <w:ind w:right="69"/>
              <w:rPr>
                <w:rFonts w:ascii="Calibri"/>
                <w:sz w:val="16"/>
              </w:rPr>
            </w:pPr>
            <w:r>
              <w:rPr>
                <w:rFonts w:ascii="Calibri"/>
                <w:w w:val="110"/>
                <w:sz w:val="16"/>
              </w:rPr>
              <w:t>33,694</w:t>
            </w:r>
          </w:p>
        </w:tc>
        <w:tc>
          <w:tcPr>
            <w:tcW w:w="1145" w:type="dxa"/>
            <w:shd w:val="clear" w:color="auto" w:fill="E9E9E9"/>
          </w:tcPr>
          <w:p>
            <w:pPr>
              <w:pStyle w:val="TableParagraph"/>
              <w:spacing w:before="37"/>
              <w:ind w:right="72"/>
              <w:rPr>
                <w:rFonts w:ascii="Calibri"/>
                <w:sz w:val="16"/>
              </w:rPr>
            </w:pPr>
            <w:r>
              <w:rPr>
                <w:rFonts w:ascii="Calibri"/>
                <w:w w:val="105"/>
                <w:sz w:val="16"/>
              </w:rPr>
              <w:t>33,077</w:t>
            </w:r>
          </w:p>
        </w:tc>
        <w:tc>
          <w:tcPr>
            <w:tcW w:w="1145" w:type="dxa"/>
            <w:shd w:val="clear" w:color="auto" w:fill="E9E9E9"/>
          </w:tcPr>
          <w:p>
            <w:pPr>
              <w:pStyle w:val="TableParagraph"/>
              <w:spacing w:before="37"/>
              <w:ind w:right="72"/>
              <w:rPr>
                <w:rFonts w:ascii="Calibri"/>
                <w:sz w:val="16"/>
              </w:rPr>
            </w:pPr>
            <w:r>
              <w:rPr>
                <w:rFonts w:ascii="Calibri"/>
                <w:w w:val="105"/>
                <w:sz w:val="16"/>
              </w:rPr>
              <w:t>32,679</w:t>
            </w:r>
          </w:p>
        </w:tc>
      </w:tr>
    </w:tbl>
    <w:p>
      <w:pPr>
        <w:pStyle w:val="BodyText"/>
        <w:spacing w:before="19"/>
        <w:ind w:left="335" w:right="503"/>
      </w:pPr>
      <w:r>
        <w:rPr/>
        <w:t>(Source: UAC Main Round) *Includes school leaver type unknown</w:t>
      </w:r>
    </w:p>
    <w:p>
      <w:pPr>
        <w:pStyle w:val="BodyText"/>
        <w:spacing w:before="2"/>
        <w:rPr>
          <w:sz w:val="24"/>
        </w:rPr>
      </w:pPr>
    </w:p>
    <w:tbl>
      <w:tblPr>
        <w:tblW w:w="0" w:type="auto"/>
        <w:jc w:val="left"/>
        <w:tblInd w:w="330"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2" w:hRule="exact"/>
        </w:trPr>
        <w:tc>
          <w:tcPr>
            <w:tcW w:w="3204" w:type="dxa"/>
            <w:vMerge w:val="restart"/>
            <w:tcBorders>
              <w:top w:val="nil"/>
              <w:left w:val="nil"/>
              <w:right w:val="single" w:sz="4" w:space="0" w:color="FFFFFF"/>
            </w:tcBorders>
            <w:shd w:val="clear" w:color="auto" w:fill="949290"/>
          </w:tcPr>
          <w:p>
            <w:pPr>
              <w:pStyle w:val="TableParagraph"/>
              <w:spacing w:line="249" w:lineRule="auto" w:before="111"/>
              <w:ind w:left="80" w:right="177"/>
              <w:jc w:val="left"/>
              <w:rPr>
                <w:rFonts w:ascii="Gotham Narrow Bold"/>
                <w:b/>
                <w:sz w:val="16"/>
              </w:rPr>
            </w:pPr>
            <w:r>
              <w:rPr>
                <w:rFonts w:ascii="Gotham Narrow Bold"/>
                <w:b/>
                <w:color w:val="FFFFFF"/>
                <w:w w:val="95"/>
                <w:sz w:val="16"/>
              </w:rPr>
              <w:t>WESTERN SYDNEY UNIVERSITY MARKET SHARE OF PREFERENCES</w:t>
            </w:r>
          </w:p>
        </w:tc>
        <w:tc>
          <w:tcPr>
            <w:tcW w:w="3436" w:type="dxa"/>
            <w:gridSpan w:val="3"/>
            <w:tcBorders>
              <w:top w:val="nil"/>
              <w:left w:val="single" w:sz="4" w:space="0" w:color="FFFFFF"/>
              <w:bottom w:val="single" w:sz="4" w:space="0" w:color="FFFFFF"/>
              <w:right w:val="single" w:sz="4" w:space="0" w:color="FFFFFF"/>
            </w:tcBorders>
            <w:shd w:val="clear" w:color="auto" w:fill="949290"/>
          </w:tcPr>
          <w:p>
            <w:pPr>
              <w:pStyle w:val="TableParagraph"/>
              <w:ind w:left="988"/>
              <w:jc w:val="left"/>
              <w:rPr>
                <w:rFonts w:ascii="Gotham Narrow Bold"/>
                <w:b/>
                <w:sz w:val="16"/>
              </w:rPr>
            </w:pPr>
            <w:r>
              <w:rPr>
                <w:rFonts w:ascii="Gotham Narrow Bold"/>
                <w:b/>
                <w:color w:val="FFFFFF"/>
                <w:w w:val="95"/>
                <w:sz w:val="16"/>
              </w:rPr>
              <w:t>FIRST PREFERENCE</w:t>
            </w:r>
          </w:p>
        </w:tc>
        <w:tc>
          <w:tcPr>
            <w:tcW w:w="3436" w:type="dxa"/>
            <w:gridSpan w:val="3"/>
            <w:tcBorders>
              <w:top w:val="nil"/>
              <w:left w:val="single" w:sz="4" w:space="0" w:color="FFFFFF"/>
              <w:bottom w:val="single" w:sz="4" w:space="0" w:color="FFFFFF"/>
              <w:right w:val="nil"/>
            </w:tcBorders>
            <w:shd w:val="clear" w:color="auto" w:fill="949290"/>
          </w:tcPr>
          <w:p>
            <w:pPr>
              <w:pStyle w:val="TableParagraph"/>
              <w:ind w:left="590"/>
              <w:jc w:val="left"/>
              <w:rPr>
                <w:rFonts w:ascii="Gotham Narrow Bold"/>
                <w:b/>
                <w:sz w:val="16"/>
              </w:rPr>
            </w:pPr>
            <w:r>
              <w:rPr>
                <w:rFonts w:ascii="Gotham Narrow Bold"/>
                <w:b/>
                <w:color w:val="FFFFFF"/>
                <w:w w:val="95"/>
                <w:sz w:val="16"/>
              </w:rPr>
              <w:t>FIRST TO THIRD PREFERENCES</w:t>
            </w:r>
          </w:p>
        </w:tc>
      </w:tr>
      <w:tr>
        <w:trPr>
          <w:trHeight w:val="312" w:hRule="exact"/>
        </w:trPr>
        <w:tc>
          <w:tcPr>
            <w:tcW w:w="3204" w:type="dxa"/>
            <w:vMerge/>
            <w:tcBorders>
              <w:left w:val="nil"/>
              <w:bottom w:val="nil"/>
              <w:right w:val="single" w:sz="4" w:space="0" w:color="FFFFFF"/>
            </w:tcBorders>
            <w:shd w:val="clear" w:color="auto" w:fill="949290"/>
          </w:tcPr>
          <w:p>
            <w:pP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50"/>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50"/>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50"/>
              <w:ind w:right="73"/>
              <w:rPr>
                <w:rFonts w:ascii="Gotham Narrow Bold"/>
                <w:b/>
                <w:sz w:val="16"/>
              </w:rPr>
            </w:pPr>
            <w:r>
              <w:rPr>
                <w:rFonts w:ascii="Gotham Narrow Bold"/>
                <w:b/>
                <w:color w:val="FFFFFF"/>
                <w:w w:val="95"/>
                <w:sz w:val="16"/>
              </w:rPr>
              <w:t>2016</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50"/>
              <w:ind w:right="74"/>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50"/>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nil"/>
            </w:tcBorders>
            <w:shd w:val="clear" w:color="auto" w:fill="949290"/>
          </w:tcPr>
          <w:p>
            <w:pPr>
              <w:pStyle w:val="TableParagraph"/>
              <w:spacing w:before="50"/>
              <w:ind w:right="77"/>
              <w:rPr>
                <w:rFonts w:ascii="Gotham Narrow Bold"/>
                <w:b/>
                <w:sz w:val="16"/>
              </w:rPr>
            </w:pPr>
            <w:r>
              <w:rPr>
                <w:rFonts w:ascii="Gotham Narrow Bold"/>
                <w:b/>
                <w:color w:val="FFFFFF"/>
                <w:w w:val="95"/>
                <w:sz w:val="16"/>
              </w:rPr>
              <w:t>2016</w:t>
            </w:r>
          </w:p>
        </w:tc>
      </w:tr>
      <w:tr>
        <w:trPr>
          <w:trHeight w:val="283" w:hRule="exact"/>
        </w:trPr>
        <w:tc>
          <w:tcPr>
            <w:tcW w:w="3204" w:type="dxa"/>
            <w:tcBorders>
              <w:top w:val="nil"/>
            </w:tcBorders>
            <w:shd w:val="clear" w:color="auto" w:fill="E9E9E9"/>
          </w:tcPr>
          <w:p>
            <w:pPr>
              <w:pStyle w:val="TableParagraph"/>
              <w:spacing w:before="34"/>
              <w:ind w:left="75"/>
              <w:jc w:val="left"/>
              <w:rPr>
                <w:sz w:val="16"/>
              </w:rPr>
            </w:pPr>
            <w:r>
              <w:rPr>
                <w:sz w:val="16"/>
              </w:rPr>
              <w:t>Current School Leavers</w:t>
            </w:r>
          </w:p>
        </w:tc>
        <w:tc>
          <w:tcPr>
            <w:tcW w:w="1145" w:type="dxa"/>
            <w:tcBorders>
              <w:top w:val="nil"/>
            </w:tcBorders>
            <w:shd w:val="clear" w:color="auto" w:fill="E9E9E9"/>
          </w:tcPr>
          <w:p>
            <w:pPr>
              <w:pStyle w:val="TableParagraph"/>
              <w:spacing w:before="34"/>
              <w:ind w:right="72"/>
              <w:rPr>
                <w:sz w:val="16"/>
              </w:rPr>
            </w:pPr>
            <w:r>
              <w:rPr>
                <w:w w:val="75"/>
                <w:sz w:val="16"/>
              </w:rPr>
              <w:t>13.2%</w:t>
            </w:r>
          </w:p>
        </w:tc>
        <w:tc>
          <w:tcPr>
            <w:tcW w:w="1145" w:type="dxa"/>
            <w:tcBorders>
              <w:top w:val="nil"/>
            </w:tcBorders>
            <w:shd w:val="clear" w:color="auto" w:fill="E9E9E9"/>
          </w:tcPr>
          <w:p>
            <w:pPr>
              <w:pStyle w:val="TableParagraph"/>
              <w:spacing w:before="34"/>
              <w:ind w:right="73"/>
              <w:rPr>
                <w:sz w:val="16"/>
              </w:rPr>
            </w:pPr>
            <w:r>
              <w:rPr>
                <w:w w:val="75"/>
                <w:sz w:val="16"/>
              </w:rPr>
              <w:t>12.4%</w:t>
            </w:r>
          </w:p>
        </w:tc>
        <w:tc>
          <w:tcPr>
            <w:tcW w:w="1145" w:type="dxa"/>
            <w:tcBorders>
              <w:top w:val="nil"/>
            </w:tcBorders>
            <w:shd w:val="clear" w:color="auto" w:fill="E9E9E9"/>
          </w:tcPr>
          <w:p>
            <w:pPr>
              <w:pStyle w:val="TableParagraph"/>
              <w:spacing w:before="34"/>
              <w:ind w:right="72"/>
              <w:rPr>
                <w:sz w:val="16"/>
              </w:rPr>
            </w:pPr>
            <w:r>
              <w:rPr>
                <w:w w:val="80"/>
                <w:sz w:val="16"/>
              </w:rPr>
              <w:t>12.6%</w:t>
            </w:r>
          </w:p>
        </w:tc>
        <w:tc>
          <w:tcPr>
            <w:tcW w:w="1145" w:type="dxa"/>
            <w:tcBorders>
              <w:top w:val="nil"/>
            </w:tcBorders>
            <w:shd w:val="clear" w:color="auto" w:fill="E9E9E9"/>
          </w:tcPr>
          <w:p>
            <w:pPr>
              <w:pStyle w:val="TableParagraph"/>
              <w:spacing w:before="34"/>
              <w:ind w:right="74"/>
              <w:rPr>
                <w:sz w:val="16"/>
              </w:rPr>
            </w:pPr>
            <w:r>
              <w:rPr>
                <w:w w:val="75"/>
                <w:sz w:val="16"/>
              </w:rPr>
              <w:t>13.2%</w:t>
            </w:r>
          </w:p>
        </w:tc>
        <w:tc>
          <w:tcPr>
            <w:tcW w:w="1145" w:type="dxa"/>
            <w:tcBorders>
              <w:top w:val="nil"/>
            </w:tcBorders>
            <w:shd w:val="clear" w:color="auto" w:fill="E9E9E9"/>
          </w:tcPr>
          <w:p>
            <w:pPr>
              <w:pStyle w:val="TableParagraph"/>
              <w:spacing w:before="34"/>
              <w:ind w:right="73"/>
              <w:rPr>
                <w:sz w:val="16"/>
              </w:rPr>
            </w:pPr>
            <w:r>
              <w:rPr>
                <w:w w:val="75"/>
                <w:sz w:val="16"/>
              </w:rPr>
              <w:t>12.7%</w:t>
            </w:r>
          </w:p>
        </w:tc>
        <w:tc>
          <w:tcPr>
            <w:tcW w:w="1145" w:type="dxa"/>
            <w:tcBorders>
              <w:top w:val="nil"/>
            </w:tcBorders>
            <w:shd w:val="clear" w:color="auto" w:fill="E9E9E9"/>
          </w:tcPr>
          <w:p>
            <w:pPr>
              <w:pStyle w:val="TableParagraph"/>
              <w:spacing w:before="34"/>
              <w:ind w:right="72"/>
              <w:rPr>
                <w:sz w:val="16"/>
              </w:rPr>
            </w:pPr>
            <w:r>
              <w:rPr>
                <w:w w:val="80"/>
                <w:sz w:val="16"/>
              </w:rPr>
              <w:t>13.0%</w:t>
            </w:r>
          </w:p>
        </w:tc>
      </w:tr>
      <w:tr>
        <w:trPr>
          <w:trHeight w:val="283" w:hRule="exact"/>
        </w:trPr>
        <w:tc>
          <w:tcPr>
            <w:tcW w:w="3204" w:type="dxa"/>
            <w:shd w:val="clear" w:color="auto" w:fill="E9E9E9"/>
          </w:tcPr>
          <w:p>
            <w:pPr>
              <w:pStyle w:val="TableParagraph"/>
              <w:spacing w:before="29"/>
              <w:ind w:left="75"/>
              <w:jc w:val="left"/>
              <w:rPr>
                <w:sz w:val="16"/>
              </w:rPr>
            </w:pPr>
            <w:r>
              <w:rPr>
                <w:sz w:val="16"/>
              </w:rPr>
              <w:t>Non Current School Leavers</w:t>
            </w:r>
          </w:p>
        </w:tc>
        <w:tc>
          <w:tcPr>
            <w:tcW w:w="1145" w:type="dxa"/>
            <w:shd w:val="clear" w:color="auto" w:fill="E9E9E9"/>
          </w:tcPr>
          <w:p>
            <w:pPr>
              <w:pStyle w:val="TableParagraph"/>
              <w:spacing w:before="29"/>
              <w:ind w:right="71"/>
              <w:rPr>
                <w:sz w:val="16"/>
              </w:rPr>
            </w:pPr>
            <w:r>
              <w:rPr>
                <w:w w:val="75"/>
                <w:sz w:val="16"/>
              </w:rPr>
              <w:t>16.5%</w:t>
            </w:r>
          </w:p>
        </w:tc>
        <w:tc>
          <w:tcPr>
            <w:tcW w:w="1145" w:type="dxa"/>
            <w:shd w:val="clear" w:color="auto" w:fill="E9E9E9"/>
          </w:tcPr>
          <w:p>
            <w:pPr>
              <w:pStyle w:val="TableParagraph"/>
              <w:spacing w:before="29"/>
              <w:ind w:right="72"/>
              <w:rPr>
                <w:sz w:val="16"/>
              </w:rPr>
            </w:pPr>
            <w:r>
              <w:rPr>
                <w:w w:val="70"/>
                <w:sz w:val="16"/>
              </w:rPr>
              <w:t>17.1%</w:t>
            </w:r>
          </w:p>
        </w:tc>
        <w:tc>
          <w:tcPr>
            <w:tcW w:w="1145" w:type="dxa"/>
            <w:shd w:val="clear" w:color="auto" w:fill="E9E9E9"/>
          </w:tcPr>
          <w:p>
            <w:pPr>
              <w:pStyle w:val="TableParagraph"/>
              <w:spacing w:before="29"/>
              <w:ind w:right="73"/>
              <w:rPr>
                <w:sz w:val="16"/>
              </w:rPr>
            </w:pPr>
            <w:r>
              <w:rPr>
                <w:w w:val="75"/>
                <w:sz w:val="16"/>
              </w:rPr>
              <w:t>17.8%</w:t>
            </w:r>
          </w:p>
        </w:tc>
        <w:tc>
          <w:tcPr>
            <w:tcW w:w="1145" w:type="dxa"/>
            <w:shd w:val="clear" w:color="auto" w:fill="E9E9E9"/>
          </w:tcPr>
          <w:p>
            <w:pPr>
              <w:pStyle w:val="TableParagraph"/>
              <w:spacing w:before="29"/>
              <w:ind w:right="72"/>
              <w:rPr>
                <w:sz w:val="16"/>
              </w:rPr>
            </w:pPr>
            <w:r>
              <w:rPr>
                <w:w w:val="54"/>
                <w:sz w:val="16"/>
              </w:rPr>
              <w:t>1</w:t>
            </w:r>
            <w:r>
              <w:rPr>
                <w:spacing w:val="-10"/>
                <w:w w:val="83"/>
                <w:sz w:val="16"/>
              </w:rPr>
              <w:t>7</w:t>
            </w:r>
            <w:r>
              <w:rPr>
                <w:spacing w:val="2"/>
                <w:w w:val="83"/>
                <w:sz w:val="16"/>
              </w:rPr>
              <w:t>.</w:t>
            </w:r>
            <w:r>
              <w:rPr>
                <w:spacing w:val="3"/>
                <w:w w:val="111"/>
                <w:sz w:val="16"/>
              </w:rPr>
              <w:t>0</w:t>
            </w:r>
            <w:r>
              <w:rPr>
                <w:w w:val="74"/>
                <w:sz w:val="16"/>
              </w:rPr>
              <w:t>%</w:t>
            </w:r>
          </w:p>
        </w:tc>
        <w:tc>
          <w:tcPr>
            <w:tcW w:w="1145" w:type="dxa"/>
            <w:shd w:val="clear" w:color="auto" w:fill="E9E9E9"/>
          </w:tcPr>
          <w:p>
            <w:pPr>
              <w:pStyle w:val="TableParagraph"/>
              <w:spacing w:before="29"/>
              <w:ind w:right="73"/>
              <w:rPr>
                <w:sz w:val="16"/>
              </w:rPr>
            </w:pPr>
            <w:r>
              <w:rPr>
                <w:w w:val="75"/>
                <w:sz w:val="16"/>
              </w:rPr>
              <w:t>17.8%</w:t>
            </w:r>
          </w:p>
        </w:tc>
        <w:tc>
          <w:tcPr>
            <w:tcW w:w="1145" w:type="dxa"/>
            <w:shd w:val="clear" w:color="auto" w:fill="E9E9E9"/>
          </w:tcPr>
          <w:p>
            <w:pPr>
              <w:pStyle w:val="TableParagraph"/>
              <w:spacing w:before="29"/>
              <w:ind w:right="73"/>
              <w:rPr>
                <w:sz w:val="16"/>
              </w:rPr>
            </w:pPr>
            <w:r>
              <w:rPr>
                <w:w w:val="75"/>
                <w:sz w:val="16"/>
              </w:rPr>
              <w:t>18.7%</w:t>
            </w:r>
          </w:p>
        </w:tc>
      </w:tr>
      <w:tr>
        <w:trPr>
          <w:trHeight w:val="283" w:hRule="exact"/>
        </w:trPr>
        <w:tc>
          <w:tcPr>
            <w:tcW w:w="3204" w:type="dxa"/>
            <w:shd w:val="clear" w:color="auto" w:fill="E9E9E9"/>
          </w:tcPr>
          <w:p>
            <w:pPr>
              <w:pStyle w:val="TableParagraph"/>
              <w:spacing w:before="37"/>
              <w:ind w:left="74"/>
              <w:jc w:val="left"/>
              <w:rPr>
                <w:rFonts w:ascii="Calibri"/>
                <w:sz w:val="16"/>
              </w:rPr>
            </w:pPr>
            <w:r>
              <w:rPr>
                <w:rFonts w:ascii="Calibri"/>
                <w:w w:val="105"/>
                <w:sz w:val="16"/>
              </w:rPr>
              <w:t>Total*</w:t>
            </w:r>
          </w:p>
        </w:tc>
        <w:tc>
          <w:tcPr>
            <w:tcW w:w="1145" w:type="dxa"/>
            <w:shd w:val="clear" w:color="auto" w:fill="E9E9E9"/>
          </w:tcPr>
          <w:p>
            <w:pPr>
              <w:pStyle w:val="TableParagraph"/>
              <w:spacing w:before="37"/>
              <w:ind w:right="74"/>
              <w:rPr>
                <w:rFonts w:ascii="Calibri"/>
                <w:sz w:val="16"/>
              </w:rPr>
            </w:pPr>
            <w:r>
              <w:rPr>
                <w:rFonts w:ascii="Calibri"/>
                <w:sz w:val="16"/>
              </w:rPr>
              <w:t>14.6%</w:t>
            </w:r>
          </w:p>
        </w:tc>
        <w:tc>
          <w:tcPr>
            <w:tcW w:w="1145" w:type="dxa"/>
            <w:shd w:val="clear" w:color="auto" w:fill="E9E9E9"/>
          </w:tcPr>
          <w:p>
            <w:pPr>
              <w:pStyle w:val="TableParagraph"/>
              <w:spacing w:before="37"/>
              <w:ind w:right="72"/>
              <w:rPr>
                <w:rFonts w:ascii="Calibri"/>
                <w:sz w:val="16"/>
              </w:rPr>
            </w:pPr>
            <w:r>
              <w:rPr>
                <w:rFonts w:ascii="Calibri"/>
                <w:sz w:val="16"/>
              </w:rPr>
              <w:t>14.3%</w:t>
            </w:r>
          </w:p>
        </w:tc>
        <w:tc>
          <w:tcPr>
            <w:tcW w:w="1145" w:type="dxa"/>
            <w:shd w:val="clear" w:color="auto" w:fill="E9E9E9"/>
          </w:tcPr>
          <w:p>
            <w:pPr>
              <w:pStyle w:val="TableParagraph"/>
              <w:spacing w:before="37"/>
              <w:ind w:right="71"/>
              <w:rPr>
                <w:rFonts w:ascii="Calibri"/>
                <w:sz w:val="16"/>
              </w:rPr>
            </w:pPr>
            <w:r>
              <w:rPr>
                <w:rFonts w:ascii="Calibri"/>
                <w:sz w:val="16"/>
              </w:rPr>
              <w:t>14.5%</w:t>
            </w:r>
          </w:p>
        </w:tc>
        <w:tc>
          <w:tcPr>
            <w:tcW w:w="1145" w:type="dxa"/>
            <w:shd w:val="clear" w:color="auto" w:fill="E9E9E9"/>
          </w:tcPr>
          <w:p>
            <w:pPr>
              <w:pStyle w:val="TableParagraph"/>
              <w:spacing w:before="37"/>
              <w:ind w:right="72"/>
              <w:rPr>
                <w:rFonts w:ascii="Calibri"/>
                <w:sz w:val="16"/>
              </w:rPr>
            </w:pPr>
            <w:r>
              <w:rPr>
                <w:rFonts w:ascii="Calibri"/>
                <w:sz w:val="16"/>
              </w:rPr>
              <w:t>14.6%</w:t>
            </w:r>
          </w:p>
        </w:tc>
        <w:tc>
          <w:tcPr>
            <w:tcW w:w="1145" w:type="dxa"/>
            <w:shd w:val="clear" w:color="auto" w:fill="E9E9E9"/>
          </w:tcPr>
          <w:p>
            <w:pPr>
              <w:pStyle w:val="TableParagraph"/>
              <w:spacing w:before="37"/>
              <w:ind w:right="71"/>
              <w:rPr>
                <w:rFonts w:ascii="Calibri"/>
                <w:sz w:val="16"/>
              </w:rPr>
            </w:pPr>
            <w:r>
              <w:rPr>
                <w:rFonts w:ascii="Calibri"/>
                <w:sz w:val="16"/>
              </w:rPr>
              <w:t>14.5%</w:t>
            </w:r>
          </w:p>
        </w:tc>
        <w:tc>
          <w:tcPr>
            <w:tcW w:w="1145" w:type="dxa"/>
            <w:shd w:val="clear" w:color="auto" w:fill="E9E9E9"/>
          </w:tcPr>
          <w:p>
            <w:pPr>
              <w:pStyle w:val="TableParagraph"/>
              <w:spacing w:before="37"/>
              <w:ind w:right="74"/>
              <w:rPr>
                <w:rFonts w:ascii="Calibri"/>
                <w:sz w:val="16"/>
              </w:rPr>
            </w:pPr>
            <w:r>
              <w:rPr>
                <w:rFonts w:ascii="Calibri"/>
                <w:sz w:val="16"/>
              </w:rPr>
              <w:t>14.8%</w:t>
            </w:r>
          </w:p>
        </w:tc>
      </w:tr>
    </w:tbl>
    <w:p>
      <w:pPr>
        <w:pStyle w:val="BodyText"/>
        <w:spacing w:before="20"/>
        <w:ind w:left="335" w:right="503"/>
      </w:pPr>
      <w:r>
        <w:rPr/>
        <w:t>(Source: UAC Main Round) *Includes school leaver type unknown</w:t>
      </w:r>
    </w:p>
    <w:p>
      <w:pPr>
        <w:pStyle w:val="BodyText"/>
        <w:spacing w:before="6"/>
        <w:rPr>
          <w:sz w:val="17"/>
        </w:rPr>
      </w:pPr>
    </w:p>
    <w:p>
      <w:pPr>
        <w:pStyle w:val="Heading7"/>
        <w:spacing w:line="249" w:lineRule="auto"/>
        <w:ind w:left="330" w:right="369"/>
      </w:pPr>
      <w:r>
        <w:rPr>
          <w:color w:val="615C58"/>
        </w:rPr>
        <w:t>Table</w:t>
      </w:r>
      <w:r>
        <w:rPr>
          <w:color w:val="615C58"/>
          <w:spacing w:val="-23"/>
        </w:rPr>
        <w:t> </w:t>
      </w:r>
      <w:r>
        <w:rPr>
          <w:color w:val="615C58"/>
        </w:rPr>
        <w:t>12:</w:t>
      </w:r>
      <w:r>
        <w:rPr>
          <w:color w:val="615C58"/>
          <w:spacing w:val="-23"/>
        </w:rPr>
        <w:t> </w:t>
      </w:r>
      <w:r>
        <w:rPr>
          <w:color w:val="615C58"/>
          <w:spacing w:val="2"/>
        </w:rPr>
        <w:t>Number</w:t>
      </w:r>
      <w:r>
        <w:rPr>
          <w:color w:val="615C58"/>
          <w:spacing w:val="-23"/>
        </w:rPr>
        <w:t> </w:t>
      </w:r>
      <w:r>
        <w:rPr>
          <w:color w:val="615C58"/>
        </w:rPr>
        <w:t>of</w:t>
      </w:r>
      <w:r>
        <w:rPr>
          <w:color w:val="615C58"/>
          <w:spacing w:val="-23"/>
        </w:rPr>
        <w:t> </w:t>
      </w:r>
      <w:r>
        <w:rPr>
          <w:color w:val="615C58"/>
        </w:rPr>
        <w:t>Preferences</w:t>
      </w:r>
      <w:r>
        <w:rPr>
          <w:color w:val="615C58"/>
          <w:spacing w:val="-23"/>
        </w:rPr>
        <w:t> </w:t>
      </w:r>
      <w:r>
        <w:rPr>
          <w:color w:val="615C58"/>
        </w:rPr>
        <w:t>and</w:t>
      </w:r>
      <w:r>
        <w:rPr>
          <w:color w:val="615C58"/>
          <w:spacing w:val="-23"/>
        </w:rPr>
        <w:t> </w:t>
      </w:r>
      <w:r>
        <w:rPr>
          <w:color w:val="615C58"/>
        </w:rPr>
        <w:t>Market</w:t>
      </w:r>
      <w:r>
        <w:rPr>
          <w:color w:val="615C58"/>
          <w:spacing w:val="-23"/>
        </w:rPr>
        <w:t> </w:t>
      </w:r>
      <w:r>
        <w:rPr>
          <w:color w:val="615C58"/>
          <w:spacing w:val="2"/>
        </w:rPr>
        <w:t>Share</w:t>
      </w:r>
      <w:r>
        <w:rPr>
          <w:color w:val="615C58"/>
          <w:spacing w:val="-23"/>
        </w:rPr>
        <w:t> </w:t>
      </w:r>
      <w:r>
        <w:rPr>
          <w:color w:val="615C58"/>
        </w:rPr>
        <w:t>of</w:t>
      </w:r>
      <w:r>
        <w:rPr>
          <w:color w:val="615C58"/>
          <w:spacing w:val="-23"/>
        </w:rPr>
        <w:t> </w:t>
      </w:r>
      <w:r>
        <w:rPr>
          <w:color w:val="615C58"/>
        </w:rPr>
        <w:t>UAC</w:t>
      </w:r>
      <w:r>
        <w:rPr>
          <w:color w:val="615C58"/>
          <w:spacing w:val="-23"/>
        </w:rPr>
        <w:t> </w:t>
      </w:r>
      <w:r>
        <w:rPr>
          <w:color w:val="615C58"/>
        </w:rPr>
        <w:t>Preferences</w:t>
      </w:r>
      <w:r>
        <w:rPr>
          <w:color w:val="615C58"/>
          <w:spacing w:val="-23"/>
        </w:rPr>
        <w:t> </w:t>
      </w:r>
      <w:r>
        <w:rPr>
          <w:color w:val="615C58"/>
        </w:rPr>
        <w:t>for</w:t>
      </w:r>
      <w:r>
        <w:rPr>
          <w:color w:val="615C58"/>
          <w:spacing w:val="-23"/>
        </w:rPr>
        <w:t> </w:t>
      </w:r>
      <w:r>
        <w:rPr>
          <w:color w:val="615C58"/>
        </w:rPr>
        <w:t>Western</w:t>
      </w:r>
      <w:r>
        <w:rPr>
          <w:color w:val="615C58"/>
          <w:spacing w:val="-23"/>
        </w:rPr>
        <w:t> </w:t>
      </w:r>
      <w:r>
        <w:rPr>
          <w:color w:val="615C58"/>
        </w:rPr>
        <w:t>Sydney</w:t>
      </w:r>
      <w:r>
        <w:rPr>
          <w:color w:val="615C58"/>
          <w:spacing w:val="-23"/>
        </w:rPr>
        <w:t> </w:t>
      </w:r>
      <w:r>
        <w:rPr>
          <w:color w:val="615C58"/>
          <w:spacing w:val="2"/>
        </w:rPr>
        <w:t>University</w:t>
      </w:r>
      <w:r>
        <w:rPr>
          <w:color w:val="615C58"/>
          <w:spacing w:val="-23"/>
        </w:rPr>
        <w:t> </w:t>
      </w:r>
      <w:r>
        <w:rPr>
          <w:color w:val="615C58"/>
        </w:rPr>
        <w:t>from</w:t>
      </w:r>
      <w:r>
        <w:rPr>
          <w:color w:val="615C58"/>
          <w:spacing w:val="-23"/>
        </w:rPr>
        <w:t> </w:t>
      </w:r>
      <w:r>
        <w:rPr>
          <w:color w:val="615C58"/>
        </w:rPr>
        <w:t>Greater</w:t>
      </w:r>
      <w:r>
        <w:rPr>
          <w:color w:val="615C58"/>
          <w:spacing w:val="-23"/>
        </w:rPr>
        <w:t> </w:t>
      </w:r>
      <w:r>
        <w:rPr>
          <w:color w:val="615C58"/>
        </w:rPr>
        <w:t>Western</w:t>
      </w:r>
      <w:r>
        <w:rPr>
          <w:color w:val="615C58"/>
          <w:spacing w:val="-23"/>
        </w:rPr>
        <w:t> </w:t>
      </w:r>
      <w:r>
        <w:rPr>
          <w:color w:val="615C58"/>
        </w:rPr>
        <w:t>Sydney</w:t>
      </w:r>
      <w:r>
        <w:rPr>
          <w:color w:val="615C58"/>
          <w:spacing w:val="-23"/>
        </w:rPr>
        <w:t> </w:t>
      </w:r>
      <w:r>
        <w:rPr>
          <w:color w:val="615C58"/>
        </w:rPr>
        <w:t>(GWS), 2014-2016</w:t>
      </w:r>
    </w:p>
    <w:p>
      <w:pPr>
        <w:pStyle w:val="BodyText"/>
        <w:spacing w:before="3"/>
        <w:rPr>
          <w:rFonts w:ascii="Gotham Narrow Bold"/>
          <w:b/>
          <w:sz w:val="10"/>
        </w:rPr>
      </w:pPr>
    </w:p>
    <w:tbl>
      <w:tblPr>
        <w:tblW w:w="0" w:type="auto"/>
        <w:jc w:val="left"/>
        <w:tblInd w:w="330"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2" w:hRule="exact"/>
        </w:trPr>
        <w:tc>
          <w:tcPr>
            <w:tcW w:w="3204" w:type="dxa"/>
            <w:vMerge w:val="restart"/>
            <w:tcBorders>
              <w:top w:val="nil"/>
              <w:left w:val="nil"/>
              <w:right w:val="single" w:sz="4" w:space="0" w:color="FFFFFF"/>
            </w:tcBorders>
            <w:shd w:val="clear" w:color="auto" w:fill="949290"/>
          </w:tcPr>
          <w:p>
            <w:pPr>
              <w:pStyle w:val="TableParagraph"/>
              <w:spacing w:line="249" w:lineRule="auto" w:before="110"/>
              <w:ind w:left="80" w:right="177"/>
              <w:jc w:val="left"/>
              <w:rPr>
                <w:rFonts w:ascii="Gotham Narrow Bold"/>
                <w:b/>
                <w:sz w:val="16"/>
              </w:rPr>
            </w:pPr>
            <w:r>
              <w:rPr>
                <w:rFonts w:ascii="Gotham Narrow Bold"/>
                <w:b/>
                <w:color w:val="FFFFFF"/>
                <w:sz w:val="16"/>
              </w:rPr>
              <w:t>NUMBER OF PREFERENCES FROM GWS </w:t>
            </w:r>
            <w:r>
              <w:rPr>
                <w:rFonts w:ascii="Gotham Narrow Bold"/>
                <w:b/>
                <w:color w:val="FFFFFF"/>
                <w:w w:val="95"/>
                <w:sz w:val="16"/>
              </w:rPr>
              <w:t>TO WESTERN SYDNEY UNIVERSITY</w:t>
            </w:r>
          </w:p>
        </w:tc>
        <w:tc>
          <w:tcPr>
            <w:tcW w:w="3436" w:type="dxa"/>
            <w:gridSpan w:val="3"/>
            <w:tcBorders>
              <w:top w:val="nil"/>
              <w:left w:val="single" w:sz="4" w:space="0" w:color="FFFFFF"/>
              <w:bottom w:val="single" w:sz="4" w:space="0" w:color="FFFFFF"/>
              <w:right w:val="single" w:sz="4" w:space="0" w:color="FFFFFF"/>
            </w:tcBorders>
            <w:shd w:val="clear" w:color="auto" w:fill="949290"/>
          </w:tcPr>
          <w:p>
            <w:pPr>
              <w:pStyle w:val="TableParagraph"/>
              <w:spacing w:before="54"/>
              <w:ind w:left="988"/>
              <w:jc w:val="left"/>
              <w:rPr>
                <w:rFonts w:ascii="Gotham Narrow Bold"/>
                <w:b/>
                <w:sz w:val="16"/>
              </w:rPr>
            </w:pPr>
            <w:r>
              <w:rPr>
                <w:rFonts w:ascii="Gotham Narrow Bold"/>
                <w:b/>
                <w:color w:val="FFFFFF"/>
                <w:w w:val="95"/>
                <w:sz w:val="16"/>
              </w:rPr>
              <w:t>FIRST PREFERENCE</w:t>
            </w:r>
          </w:p>
        </w:tc>
        <w:tc>
          <w:tcPr>
            <w:tcW w:w="3436" w:type="dxa"/>
            <w:gridSpan w:val="3"/>
            <w:tcBorders>
              <w:top w:val="nil"/>
              <w:left w:val="single" w:sz="4" w:space="0" w:color="FFFFFF"/>
              <w:bottom w:val="single" w:sz="4" w:space="0" w:color="FFFFFF"/>
              <w:right w:val="nil"/>
            </w:tcBorders>
            <w:shd w:val="clear" w:color="auto" w:fill="949290"/>
          </w:tcPr>
          <w:p>
            <w:pPr>
              <w:pStyle w:val="TableParagraph"/>
              <w:spacing w:before="54"/>
              <w:ind w:left="590"/>
              <w:jc w:val="left"/>
              <w:rPr>
                <w:rFonts w:ascii="Gotham Narrow Bold"/>
                <w:b/>
                <w:sz w:val="16"/>
              </w:rPr>
            </w:pPr>
            <w:r>
              <w:rPr>
                <w:rFonts w:ascii="Gotham Narrow Bold"/>
                <w:b/>
                <w:color w:val="FFFFFF"/>
                <w:w w:val="95"/>
                <w:sz w:val="16"/>
              </w:rPr>
              <w:t>FIRST TO THIRD PREFERENCES</w:t>
            </w:r>
          </w:p>
        </w:tc>
      </w:tr>
      <w:tr>
        <w:trPr>
          <w:trHeight w:val="312" w:hRule="exact"/>
        </w:trPr>
        <w:tc>
          <w:tcPr>
            <w:tcW w:w="3204" w:type="dxa"/>
            <w:vMerge/>
            <w:tcBorders>
              <w:left w:val="nil"/>
              <w:bottom w:val="nil"/>
              <w:right w:val="single" w:sz="4" w:space="0" w:color="FFFFFF"/>
            </w:tcBorders>
            <w:shd w:val="clear" w:color="auto" w:fill="949290"/>
          </w:tcPr>
          <w:p>
            <w:pP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2016</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4"/>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49"/>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nil"/>
            </w:tcBorders>
            <w:shd w:val="clear" w:color="auto" w:fill="949290"/>
          </w:tcPr>
          <w:p>
            <w:pPr>
              <w:pStyle w:val="TableParagraph"/>
              <w:spacing w:before="49"/>
              <w:ind w:right="77"/>
              <w:rPr>
                <w:rFonts w:ascii="Gotham Narrow Bold"/>
                <w:b/>
                <w:sz w:val="16"/>
              </w:rPr>
            </w:pPr>
            <w:r>
              <w:rPr>
                <w:rFonts w:ascii="Gotham Narrow Bold"/>
                <w:b/>
                <w:color w:val="FFFFFF"/>
                <w:w w:val="95"/>
                <w:sz w:val="16"/>
              </w:rPr>
              <w:t>2016</w:t>
            </w:r>
          </w:p>
        </w:tc>
      </w:tr>
      <w:tr>
        <w:trPr>
          <w:trHeight w:val="283" w:hRule="exact"/>
        </w:trPr>
        <w:tc>
          <w:tcPr>
            <w:tcW w:w="3204" w:type="dxa"/>
            <w:tcBorders>
              <w:top w:val="nil"/>
            </w:tcBorders>
            <w:shd w:val="clear" w:color="auto" w:fill="E9E9E9"/>
          </w:tcPr>
          <w:p>
            <w:pPr>
              <w:pStyle w:val="TableParagraph"/>
              <w:spacing w:before="33"/>
              <w:ind w:left="74"/>
              <w:jc w:val="left"/>
              <w:rPr>
                <w:sz w:val="16"/>
              </w:rPr>
            </w:pPr>
            <w:r>
              <w:rPr>
                <w:sz w:val="16"/>
              </w:rPr>
              <w:t>Current School Leavers</w:t>
            </w:r>
          </w:p>
        </w:tc>
        <w:tc>
          <w:tcPr>
            <w:tcW w:w="1145" w:type="dxa"/>
            <w:tcBorders>
              <w:top w:val="nil"/>
            </w:tcBorders>
            <w:shd w:val="clear" w:color="auto" w:fill="E9E9E9"/>
          </w:tcPr>
          <w:p>
            <w:pPr>
              <w:pStyle w:val="TableParagraph"/>
              <w:spacing w:before="33"/>
              <w:ind w:right="73"/>
              <w:rPr>
                <w:sz w:val="16"/>
              </w:rPr>
            </w:pPr>
            <w:r>
              <w:rPr>
                <w:w w:val="95"/>
                <w:sz w:val="16"/>
              </w:rPr>
              <w:t>5,073</w:t>
            </w:r>
          </w:p>
        </w:tc>
        <w:tc>
          <w:tcPr>
            <w:tcW w:w="1145" w:type="dxa"/>
            <w:tcBorders>
              <w:top w:val="nil"/>
            </w:tcBorders>
            <w:shd w:val="clear" w:color="auto" w:fill="E9E9E9"/>
          </w:tcPr>
          <w:p>
            <w:pPr>
              <w:pStyle w:val="TableParagraph"/>
              <w:spacing w:before="33"/>
              <w:ind w:right="72"/>
              <w:rPr>
                <w:sz w:val="16"/>
              </w:rPr>
            </w:pPr>
            <w:r>
              <w:rPr>
                <w:w w:val="95"/>
                <w:sz w:val="16"/>
              </w:rPr>
              <w:t>4,896</w:t>
            </w:r>
          </w:p>
        </w:tc>
        <w:tc>
          <w:tcPr>
            <w:tcW w:w="1145" w:type="dxa"/>
            <w:tcBorders>
              <w:top w:val="nil"/>
            </w:tcBorders>
            <w:shd w:val="clear" w:color="auto" w:fill="E9E9E9"/>
          </w:tcPr>
          <w:p>
            <w:pPr>
              <w:pStyle w:val="TableParagraph"/>
              <w:spacing w:before="33"/>
              <w:ind w:right="72"/>
              <w:rPr>
                <w:sz w:val="16"/>
              </w:rPr>
            </w:pPr>
            <w:r>
              <w:rPr>
                <w:sz w:val="16"/>
              </w:rPr>
              <w:t>5,003</w:t>
            </w:r>
          </w:p>
        </w:tc>
        <w:tc>
          <w:tcPr>
            <w:tcW w:w="1145" w:type="dxa"/>
            <w:tcBorders>
              <w:top w:val="nil"/>
            </w:tcBorders>
            <w:shd w:val="clear" w:color="auto" w:fill="E9E9E9"/>
          </w:tcPr>
          <w:p>
            <w:pPr>
              <w:pStyle w:val="TableParagraph"/>
              <w:spacing w:before="33"/>
              <w:ind w:right="68"/>
              <w:rPr>
                <w:sz w:val="16"/>
              </w:rPr>
            </w:pPr>
            <w:r>
              <w:rPr>
                <w:w w:val="85"/>
                <w:sz w:val="16"/>
              </w:rPr>
              <w:t>13,868</w:t>
            </w:r>
          </w:p>
        </w:tc>
        <w:tc>
          <w:tcPr>
            <w:tcW w:w="1145" w:type="dxa"/>
            <w:tcBorders>
              <w:top w:val="nil"/>
            </w:tcBorders>
            <w:shd w:val="clear" w:color="auto" w:fill="E9E9E9"/>
          </w:tcPr>
          <w:p>
            <w:pPr>
              <w:pStyle w:val="TableParagraph"/>
              <w:spacing w:before="33"/>
              <w:ind w:right="72"/>
              <w:rPr>
                <w:sz w:val="16"/>
              </w:rPr>
            </w:pPr>
            <w:r>
              <w:rPr>
                <w:w w:val="85"/>
                <w:sz w:val="16"/>
              </w:rPr>
              <w:t>13,648</w:t>
            </w:r>
          </w:p>
        </w:tc>
        <w:tc>
          <w:tcPr>
            <w:tcW w:w="1145" w:type="dxa"/>
            <w:tcBorders>
              <w:top w:val="nil"/>
            </w:tcBorders>
            <w:shd w:val="clear" w:color="auto" w:fill="E9E9E9"/>
          </w:tcPr>
          <w:p>
            <w:pPr>
              <w:pStyle w:val="TableParagraph"/>
              <w:spacing w:before="33"/>
              <w:ind w:right="72"/>
              <w:rPr>
                <w:sz w:val="16"/>
              </w:rPr>
            </w:pPr>
            <w:r>
              <w:rPr>
                <w:w w:val="80"/>
                <w:sz w:val="16"/>
              </w:rPr>
              <w:t>14,136</w:t>
            </w:r>
          </w:p>
        </w:tc>
      </w:tr>
      <w:tr>
        <w:trPr>
          <w:trHeight w:val="283" w:hRule="exact"/>
        </w:trPr>
        <w:tc>
          <w:tcPr>
            <w:tcW w:w="3204" w:type="dxa"/>
            <w:shd w:val="clear" w:color="auto" w:fill="E9E9E9"/>
          </w:tcPr>
          <w:p>
            <w:pPr>
              <w:pStyle w:val="TableParagraph"/>
              <w:spacing w:before="29"/>
              <w:ind w:left="74"/>
              <w:jc w:val="left"/>
              <w:rPr>
                <w:sz w:val="16"/>
              </w:rPr>
            </w:pPr>
            <w:r>
              <w:rPr>
                <w:sz w:val="16"/>
              </w:rPr>
              <w:t>Non Current School Leavers</w:t>
            </w:r>
          </w:p>
        </w:tc>
        <w:tc>
          <w:tcPr>
            <w:tcW w:w="1145" w:type="dxa"/>
            <w:shd w:val="clear" w:color="auto" w:fill="E9E9E9"/>
          </w:tcPr>
          <w:p>
            <w:pPr>
              <w:pStyle w:val="TableParagraph"/>
              <w:spacing w:before="29"/>
              <w:ind w:right="73"/>
              <w:rPr>
                <w:sz w:val="16"/>
              </w:rPr>
            </w:pPr>
            <w:r>
              <w:rPr>
                <w:w w:val="85"/>
                <w:sz w:val="16"/>
              </w:rPr>
              <w:t>4,510</w:t>
            </w:r>
          </w:p>
        </w:tc>
        <w:tc>
          <w:tcPr>
            <w:tcW w:w="1145" w:type="dxa"/>
            <w:shd w:val="clear" w:color="auto" w:fill="E9E9E9"/>
          </w:tcPr>
          <w:p>
            <w:pPr>
              <w:pStyle w:val="TableParagraph"/>
              <w:spacing w:before="29"/>
              <w:ind w:right="73"/>
              <w:rPr>
                <w:sz w:val="16"/>
              </w:rPr>
            </w:pPr>
            <w:r>
              <w:rPr>
                <w:w w:val="95"/>
                <w:sz w:val="16"/>
              </w:rPr>
              <w:t>4,394</w:t>
            </w:r>
          </w:p>
        </w:tc>
        <w:tc>
          <w:tcPr>
            <w:tcW w:w="1145" w:type="dxa"/>
            <w:shd w:val="clear" w:color="auto" w:fill="E9E9E9"/>
          </w:tcPr>
          <w:p>
            <w:pPr>
              <w:pStyle w:val="TableParagraph"/>
              <w:spacing w:before="29"/>
              <w:ind w:right="73"/>
              <w:rPr>
                <w:sz w:val="16"/>
              </w:rPr>
            </w:pPr>
            <w:r>
              <w:rPr>
                <w:spacing w:val="4"/>
                <w:w w:val="103"/>
                <w:sz w:val="16"/>
              </w:rPr>
              <w:t>4</w:t>
            </w:r>
            <w:r>
              <w:rPr>
                <w:spacing w:val="1"/>
                <w:w w:val="68"/>
                <w:sz w:val="16"/>
              </w:rPr>
              <w:t>,</w:t>
            </w:r>
            <w:r>
              <w:rPr>
                <w:spacing w:val="1"/>
                <w:w w:val="111"/>
                <w:sz w:val="16"/>
              </w:rPr>
              <w:t>0</w:t>
            </w:r>
            <w:r>
              <w:rPr>
                <w:spacing w:val="2"/>
                <w:w w:val="54"/>
                <w:sz w:val="16"/>
              </w:rPr>
              <w:t>1</w:t>
            </w:r>
            <w:r>
              <w:rPr>
                <w:w w:val="103"/>
                <w:sz w:val="16"/>
              </w:rPr>
              <w:t>4</w:t>
            </w:r>
          </w:p>
        </w:tc>
        <w:tc>
          <w:tcPr>
            <w:tcW w:w="1145" w:type="dxa"/>
            <w:shd w:val="clear" w:color="auto" w:fill="E9E9E9"/>
          </w:tcPr>
          <w:p>
            <w:pPr>
              <w:pStyle w:val="TableParagraph"/>
              <w:spacing w:before="29"/>
              <w:ind w:right="73"/>
              <w:rPr>
                <w:sz w:val="16"/>
              </w:rPr>
            </w:pPr>
            <w:r>
              <w:rPr>
                <w:spacing w:val="4"/>
                <w:w w:val="54"/>
                <w:sz w:val="16"/>
              </w:rPr>
              <w:t>1</w:t>
            </w:r>
            <w:r>
              <w:rPr>
                <w:spacing w:val="2"/>
                <w:w w:val="111"/>
                <w:sz w:val="16"/>
              </w:rPr>
              <w:t>0</w:t>
            </w:r>
            <w:r>
              <w:rPr>
                <w:spacing w:val="2"/>
                <w:w w:val="68"/>
                <w:sz w:val="16"/>
              </w:rPr>
              <w:t>,</w:t>
            </w:r>
            <w:r>
              <w:rPr>
                <w:spacing w:val="-2"/>
                <w:w w:val="98"/>
                <w:sz w:val="16"/>
              </w:rPr>
              <w:t>4</w:t>
            </w:r>
            <w:r>
              <w:rPr>
                <w:spacing w:val="3"/>
                <w:w w:val="98"/>
                <w:sz w:val="16"/>
              </w:rPr>
              <w:t>2</w:t>
            </w:r>
            <w:r>
              <w:rPr>
                <w:w w:val="101"/>
                <w:sz w:val="16"/>
              </w:rPr>
              <w:t>9</w:t>
            </w:r>
          </w:p>
        </w:tc>
        <w:tc>
          <w:tcPr>
            <w:tcW w:w="1145" w:type="dxa"/>
            <w:shd w:val="clear" w:color="auto" w:fill="E9E9E9"/>
          </w:tcPr>
          <w:p>
            <w:pPr>
              <w:pStyle w:val="TableParagraph"/>
              <w:spacing w:before="29"/>
              <w:ind w:right="73"/>
              <w:rPr>
                <w:sz w:val="16"/>
              </w:rPr>
            </w:pPr>
            <w:r>
              <w:rPr>
                <w:spacing w:val="4"/>
                <w:w w:val="54"/>
                <w:sz w:val="16"/>
              </w:rPr>
              <w:t>1</w:t>
            </w:r>
            <w:r>
              <w:rPr>
                <w:spacing w:val="2"/>
                <w:w w:val="111"/>
                <w:sz w:val="16"/>
              </w:rPr>
              <w:t>0</w:t>
            </w:r>
            <w:r>
              <w:rPr>
                <w:spacing w:val="1"/>
                <w:w w:val="68"/>
                <w:sz w:val="16"/>
              </w:rPr>
              <w:t>,</w:t>
            </w:r>
            <w:r>
              <w:rPr>
                <w:w w:val="102"/>
                <w:sz w:val="16"/>
              </w:rPr>
              <w:t>0</w:t>
            </w:r>
            <w:r>
              <w:rPr>
                <w:spacing w:val="4"/>
                <w:w w:val="102"/>
                <w:sz w:val="16"/>
              </w:rPr>
              <w:t>3</w:t>
            </w:r>
            <w:r>
              <w:rPr>
                <w:w w:val="98"/>
                <w:sz w:val="16"/>
              </w:rPr>
              <w:t>8</w:t>
            </w:r>
          </w:p>
        </w:tc>
        <w:tc>
          <w:tcPr>
            <w:tcW w:w="1145" w:type="dxa"/>
            <w:shd w:val="clear" w:color="auto" w:fill="E9E9E9"/>
          </w:tcPr>
          <w:p>
            <w:pPr>
              <w:pStyle w:val="TableParagraph"/>
              <w:spacing w:before="29"/>
              <w:ind w:right="73"/>
              <w:rPr>
                <w:sz w:val="16"/>
              </w:rPr>
            </w:pPr>
            <w:r>
              <w:rPr>
                <w:w w:val="90"/>
                <w:sz w:val="16"/>
              </w:rPr>
              <w:t>9,233</w:t>
            </w:r>
          </w:p>
        </w:tc>
      </w:tr>
      <w:tr>
        <w:trPr>
          <w:trHeight w:val="283" w:hRule="exact"/>
        </w:trPr>
        <w:tc>
          <w:tcPr>
            <w:tcW w:w="3204" w:type="dxa"/>
            <w:shd w:val="clear" w:color="auto" w:fill="E9E9E9"/>
          </w:tcPr>
          <w:p>
            <w:pPr>
              <w:pStyle w:val="TableParagraph"/>
              <w:spacing w:before="37"/>
              <w:ind w:left="74"/>
              <w:jc w:val="left"/>
              <w:rPr>
                <w:rFonts w:ascii="Calibri"/>
                <w:sz w:val="16"/>
              </w:rPr>
            </w:pPr>
            <w:r>
              <w:rPr>
                <w:rFonts w:ascii="Calibri"/>
                <w:w w:val="105"/>
                <w:sz w:val="16"/>
              </w:rPr>
              <w:t>Total*</w:t>
            </w:r>
          </w:p>
        </w:tc>
        <w:tc>
          <w:tcPr>
            <w:tcW w:w="1145" w:type="dxa"/>
            <w:shd w:val="clear" w:color="auto" w:fill="E9E9E9"/>
          </w:tcPr>
          <w:p>
            <w:pPr>
              <w:pStyle w:val="TableParagraph"/>
              <w:spacing w:before="37"/>
              <w:ind w:right="73"/>
              <w:rPr>
                <w:rFonts w:ascii="Calibri"/>
                <w:sz w:val="16"/>
              </w:rPr>
            </w:pPr>
            <w:r>
              <w:rPr>
                <w:rFonts w:ascii="Calibri"/>
                <w:w w:val="105"/>
                <w:sz w:val="16"/>
              </w:rPr>
              <w:t>9,583</w:t>
            </w:r>
          </w:p>
        </w:tc>
        <w:tc>
          <w:tcPr>
            <w:tcW w:w="1145" w:type="dxa"/>
            <w:shd w:val="clear" w:color="auto" w:fill="E9E9E9"/>
          </w:tcPr>
          <w:p>
            <w:pPr>
              <w:pStyle w:val="TableParagraph"/>
              <w:spacing w:before="37"/>
              <w:ind w:right="73"/>
              <w:rPr>
                <w:rFonts w:ascii="Calibri"/>
                <w:sz w:val="16"/>
              </w:rPr>
            </w:pPr>
            <w:r>
              <w:rPr>
                <w:rFonts w:ascii="Calibri"/>
                <w:w w:val="105"/>
                <w:sz w:val="16"/>
              </w:rPr>
              <w:t>9,292</w:t>
            </w:r>
          </w:p>
        </w:tc>
        <w:tc>
          <w:tcPr>
            <w:tcW w:w="1145" w:type="dxa"/>
            <w:shd w:val="clear" w:color="auto" w:fill="E9E9E9"/>
          </w:tcPr>
          <w:p>
            <w:pPr>
              <w:pStyle w:val="TableParagraph"/>
              <w:spacing w:before="37"/>
              <w:ind w:right="73"/>
              <w:rPr>
                <w:rFonts w:ascii="Calibri"/>
                <w:sz w:val="16"/>
              </w:rPr>
            </w:pPr>
            <w:r>
              <w:rPr>
                <w:rFonts w:ascii="Calibri"/>
                <w:w w:val="105"/>
                <w:sz w:val="16"/>
              </w:rPr>
              <w:t>9,019</w:t>
            </w:r>
          </w:p>
        </w:tc>
        <w:tc>
          <w:tcPr>
            <w:tcW w:w="1145" w:type="dxa"/>
            <w:shd w:val="clear" w:color="auto" w:fill="E9E9E9"/>
          </w:tcPr>
          <w:p>
            <w:pPr>
              <w:pStyle w:val="TableParagraph"/>
              <w:spacing w:before="37"/>
              <w:ind w:right="73"/>
              <w:rPr>
                <w:rFonts w:ascii="Calibri"/>
                <w:sz w:val="16"/>
              </w:rPr>
            </w:pPr>
            <w:r>
              <w:rPr>
                <w:rFonts w:ascii="Calibri"/>
                <w:w w:val="110"/>
                <w:sz w:val="16"/>
              </w:rPr>
              <w:t>24,297</w:t>
            </w:r>
          </w:p>
        </w:tc>
        <w:tc>
          <w:tcPr>
            <w:tcW w:w="1145" w:type="dxa"/>
            <w:shd w:val="clear" w:color="auto" w:fill="E9E9E9"/>
          </w:tcPr>
          <w:p>
            <w:pPr>
              <w:pStyle w:val="TableParagraph"/>
              <w:spacing w:before="37"/>
              <w:ind w:right="73"/>
              <w:rPr>
                <w:rFonts w:ascii="Calibri"/>
                <w:sz w:val="16"/>
              </w:rPr>
            </w:pPr>
            <w:r>
              <w:rPr>
                <w:rFonts w:ascii="Calibri"/>
                <w:w w:val="105"/>
                <w:sz w:val="16"/>
              </w:rPr>
              <w:t>23,688</w:t>
            </w:r>
          </w:p>
        </w:tc>
        <w:tc>
          <w:tcPr>
            <w:tcW w:w="1145" w:type="dxa"/>
            <w:shd w:val="clear" w:color="auto" w:fill="E9E9E9"/>
          </w:tcPr>
          <w:p>
            <w:pPr>
              <w:pStyle w:val="TableParagraph"/>
              <w:spacing w:before="37"/>
              <w:ind w:right="74"/>
              <w:rPr>
                <w:rFonts w:ascii="Calibri"/>
                <w:sz w:val="16"/>
              </w:rPr>
            </w:pPr>
            <w:r>
              <w:rPr>
                <w:rFonts w:ascii="Calibri"/>
                <w:w w:val="105"/>
                <w:sz w:val="16"/>
              </w:rPr>
              <w:t>23,376</w:t>
            </w:r>
          </w:p>
        </w:tc>
      </w:tr>
    </w:tbl>
    <w:p>
      <w:pPr>
        <w:pStyle w:val="BodyText"/>
        <w:spacing w:before="43"/>
        <w:ind w:left="335" w:right="503"/>
      </w:pPr>
      <w:r>
        <w:rPr/>
        <w:t>(Source: UAC Main Round) *Includes school leaver type unknown</w:t>
      </w:r>
    </w:p>
    <w:p>
      <w:pPr>
        <w:pStyle w:val="BodyText"/>
        <w:spacing w:before="3"/>
        <w:rPr>
          <w:sz w:val="22"/>
        </w:rPr>
      </w:pPr>
    </w:p>
    <w:tbl>
      <w:tblPr>
        <w:tblW w:w="0" w:type="auto"/>
        <w:jc w:val="left"/>
        <w:tblInd w:w="330" w:type="dxa"/>
        <w:tblBorders>
          <w:top w:val="single" w:sz="4" w:space="0" w:color="949290"/>
          <w:left w:val="single" w:sz="4" w:space="0" w:color="949290"/>
          <w:bottom w:val="single" w:sz="4" w:space="0" w:color="949290"/>
          <w:right w:val="single" w:sz="4" w:space="0" w:color="949290"/>
          <w:insideH w:val="single" w:sz="4" w:space="0" w:color="949290"/>
          <w:insideV w:val="single" w:sz="4" w:space="0" w:color="949290"/>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2" w:hRule="exact"/>
        </w:trPr>
        <w:tc>
          <w:tcPr>
            <w:tcW w:w="3204" w:type="dxa"/>
            <w:vMerge w:val="restart"/>
            <w:tcBorders>
              <w:top w:val="nil"/>
              <w:left w:val="nil"/>
              <w:right w:val="single" w:sz="4" w:space="0" w:color="FFFFFF"/>
            </w:tcBorders>
            <w:shd w:val="clear" w:color="auto" w:fill="949290"/>
          </w:tcPr>
          <w:p>
            <w:pPr>
              <w:pStyle w:val="TableParagraph"/>
              <w:spacing w:line="249" w:lineRule="auto" w:before="108"/>
              <w:ind w:left="79" w:right="177"/>
              <w:jc w:val="left"/>
              <w:rPr>
                <w:rFonts w:ascii="Gotham Narrow Bold"/>
                <w:b/>
                <w:sz w:val="16"/>
              </w:rPr>
            </w:pPr>
            <w:r>
              <w:rPr>
                <w:rFonts w:ascii="Gotham Narrow Bold"/>
                <w:b/>
                <w:color w:val="FFFFFF"/>
                <w:w w:val="95"/>
                <w:sz w:val="16"/>
              </w:rPr>
              <w:t>WESTERN SYDNEY UNIVERSITY MARKET SHARE OF GWS PREFERENCES</w:t>
            </w:r>
          </w:p>
        </w:tc>
        <w:tc>
          <w:tcPr>
            <w:tcW w:w="3436" w:type="dxa"/>
            <w:gridSpan w:val="3"/>
            <w:tcBorders>
              <w:top w:val="nil"/>
              <w:left w:val="single" w:sz="4" w:space="0" w:color="FFFFFF"/>
              <w:bottom w:val="single" w:sz="4" w:space="0" w:color="FFFFFF"/>
              <w:right w:val="single" w:sz="4" w:space="0" w:color="FFFFFF"/>
            </w:tcBorders>
            <w:shd w:val="clear" w:color="auto" w:fill="949290"/>
          </w:tcPr>
          <w:p>
            <w:pPr>
              <w:pStyle w:val="TableParagraph"/>
              <w:spacing w:before="66"/>
              <w:ind w:left="988"/>
              <w:jc w:val="left"/>
              <w:rPr>
                <w:rFonts w:ascii="Gotham Narrow Bold"/>
                <w:b/>
                <w:sz w:val="16"/>
              </w:rPr>
            </w:pPr>
            <w:r>
              <w:rPr>
                <w:rFonts w:ascii="Gotham Narrow Bold"/>
                <w:b/>
                <w:color w:val="FFFFFF"/>
                <w:w w:val="95"/>
                <w:sz w:val="16"/>
              </w:rPr>
              <w:t>FIRST PREFERENCE</w:t>
            </w:r>
          </w:p>
        </w:tc>
        <w:tc>
          <w:tcPr>
            <w:tcW w:w="3436" w:type="dxa"/>
            <w:gridSpan w:val="3"/>
            <w:tcBorders>
              <w:top w:val="nil"/>
              <w:left w:val="single" w:sz="4" w:space="0" w:color="FFFFFF"/>
              <w:bottom w:val="single" w:sz="4" w:space="0" w:color="FFFFFF"/>
              <w:right w:val="nil"/>
            </w:tcBorders>
            <w:shd w:val="clear" w:color="auto" w:fill="949290"/>
          </w:tcPr>
          <w:p>
            <w:pPr>
              <w:pStyle w:val="TableParagraph"/>
              <w:spacing w:before="66"/>
              <w:ind w:left="590"/>
              <w:jc w:val="left"/>
              <w:rPr>
                <w:rFonts w:ascii="Gotham Narrow Bold"/>
                <w:b/>
                <w:sz w:val="16"/>
              </w:rPr>
            </w:pPr>
            <w:r>
              <w:rPr>
                <w:rFonts w:ascii="Gotham Narrow Bold"/>
                <w:b/>
                <w:color w:val="FFFFFF"/>
                <w:w w:val="95"/>
                <w:sz w:val="16"/>
              </w:rPr>
              <w:t>FIRST TO THIRD PREFERENCES</w:t>
            </w:r>
          </w:p>
        </w:tc>
      </w:tr>
      <w:tr>
        <w:trPr>
          <w:trHeight w:val="284" w:hRule="exact"/>
        </w:trPr>
        <w:tc>
          <w:tcPr>
            <w:tcW w:w="3204" w:type="dxa"/>
            <w:vMerge/>
            <w:tcBorders>
              <w:left w:val="nil"/>
              <w:bottom w:val="nil"/>
              <w:right w:val="single" w:sz="4" w:space="0" w:color="FFFFFF"/>
            </w:tcBorders>
            <w:shd w:val="clear" w:color="auto" w:fill="949290"/>
          </w:tcPr>
          <w:p>
            <w:pP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35"/>
              <w:ind w:right="73"/>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35"/>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35"/>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35"/>
              <w:ind w:right="73"/>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49290"/>
          </w:tcPr>
          <w:p>
            <w:pPr>
              <w:pStyle w:val="TableParagraph"/>
              <w:spacing w:before="35"/>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nil"/>
            </w:tcBorders>
            <w:shd w:val="clear" w:color="auto" w:fill="949290"/>
          </w:tcPr>
          <w:p>
            <w:pPr>
              <w:pStyle w:val="TableParagraph"/>
              <w:spacing w:before="35"/>
              <w:ind w:right="78"/>
              <w:rPr>
                <w:rFonts w:ascii="Gotham Narrow Bold"/>
                <w:b/>
                <w:sz w:val="16"/>
              </w:rPr>
            </w:pPr>
            <w:r>
              <w:rPr>
                <w:rFonts w:ascii="Gotham Narrow Bold"/>
                <w:b/>
                <w:color w:val="FFFFFF"/>
                <w:w w:val="95"/>
                <w:sz w:val="16"/>
              </w:rPr>
              <w:t>2015</w:t>
            </w:r>
          </w:p>
        </w:tc>
      </w:tr>
      <w:tr>
        <w:trPr>
          <w:trHeight w:val="287" w:hRule="exact"/>
        </w:trPr>
        <w:tc>
          <w:tcPr>
            <w:tcW w:w="3204" w:type="dxa"/>
            <w:tcBorders>
              <w:top w:val="nil"/>
            </w:tcBorders>
            <w:shd w:val="clear" w:color="auto" w:fill="E9E9E9"/>
          </w:tcPr>
          <w:p>
            <w:pPr>
              <w:pStyle w:val="TableParagraph"/>
              <w:spacing w:before="47"/>
              <w:ind w:left="74"/>
              <w:jc w:val="left"/>
              <w:rPr>
                <w:sz w:val="16"/>
              </w:rPr>
            </w:pPr>
            <w:r>
              <w:rPr>
                <w:sz w:val="16"/>
              </w:rPr>
              <w:t>Current School Leavers</w:t>
            </w:r>
          </w:p>
        </w:tc>
        <w:tc>
          <w:tcPr>
            <w:tcW w:w="1145" w:type="dxa"/>
            <w:tcBorders>
              <w:top w:val="nil"/>
            </w:tcBorders>
            <w:shd w:val="clear" w:color="auto" w:fill="E9E9E9"/>
          </w:tcPr>
          <w:p>
            <w:pPr>
              <w:pStyle w:val="TableParagraph"/>
              <w:spacing w:before="47"/>
              <w:ind w:right="71"/>
              <w:rPr>
                <w:sz w:val="16"/>
              </w:rPr>
            </w:pPr>
            <w:r>
              <w:rPr>
                <w:w w:val="75"/>
                <w:sz w:val="16"/>
              </w:rPr>
              <w:t>35.1%</w:t>
            </w:r>
          </w:p>
        </w:tc>
        <w:tc>
          <w:tcPr>
            <w:tcW w:w="1145" w:type="dxa"/>
            <w:tcBorders>
              <w:top w:val="nil"/>
            </w:tcBorders>
            <w:shd w:val="clear" w:color="auto" w:fill="E9E9E9"/>
          </w:tcPr>
          <w:p>
            <w:pPr>
              <w:pStyle w:val="TableParagraph"/>
              <w:spacing w:before="47"/>
              <w:ind w:right="73"/>
              <w:rPr>
                <w:sz w:val="16"/>
              </w:rPr>
            </w:pPr>
            <w:r>
              <w:rPr>
                <w:w w:val="75"/>
                <w:sz w:val="16"/>
              </w:rPr>
              <w:t>33.1%</w:t>
            </w:r>
          </w:p>
        </w:tc>
        <w:tc>
          <w:tcPr>
            <w:tcW w:w="1145" w:type="dxa"/>
            <w:tcBorders>
              <w:top w:val="nil"/>
            </w:tcBorders>
            <w:shd w:val="clear" w:color="auto" w:fill="E9E9E9"/>
          </w:tcPr>
          <w:p>
            <w:pPr>
              <w:pStyle w:val="TableParagraph"/>
              <w:spacing w:before="47"/>
              <w:ind w:right="74"/>
              <w:rPr>
                <w:sz w:val="16"/>
              </w:rPr>
            </w:pPr>
            <w:r>
              <w:rPr>
                <w:w w:val="85"/>
                <w:sz w:val="16"/>
              </w:rPr>
              <w:t>33.4%</w:t>
            </w:r>
          </w:p>
        </w:tc>
        <w:tc>
          <w:tcPr>
            <w:tcW w:w="1145" w:type="dxa"/>
            <w:tcBorders>
              <w:top w:val="nil"/>
            </w:tcBorders>
            <w:shd w:val="clear" w:color="auto" w:fill="E9E9E9"/>
          </w:tcPr>
          <w:p>
            <w:pPr>
              <w:pStyle w:val="TableParagraph"/>
              <w:spacing w:before="47"/>
              <w:ind w:right="73"/>
              <w:rPr>
                <w:sz w:val="16"/>
              </w:rPr>
            </w:pPr>
            <w:r>
              <w:rPr>
                <w:w w:val="85"/>
                <w:sz w:val="16"/>
              </w:rPr>
              <w:t>32.7%</w:t>
            </w:r>
          </w:p>
        </w:tc>
        <w:tc>
          <w:tcPr>
            <w:tcW w:w="1145" w:type="dxa"/>
            <w:tcBorders>
              <w:top w:val="nil"/>
            </w:tcBorders>
            <w:shd w:val="clear" w:color="auto" w:fill="E9E9E9"/>
          </w:tcPr>
          <w:p>
            <w:pPr>
              <w:pStyle w:val="TableParagraph"/>
              <w:spacing w:before="47"/>
              <w:ind w:right="74"/>
              <w:rPr>
                <w:sz w:val="16"/>
              </w:rPr>
            </w:pPr>
            <w:r>
              <w:rPr>
                <w:w w:val="80"/>
                <w:sz w:val="16"/>
              </w:rPr>
              <w:t>31.4%</w:t>
            </w:r>
          </w:p>
        </w:tc>
        <w:tc>
          <w:tcPr>
            <w:tcW w:w="1145" w:type="dxa"/>
            <w:tcBorders>
              <w:top w:val="nil"/>
            </w:tcBorders>
            <w:shd w:val="clear" w:color="auto" w:fill="E9E9E9"/>
          </w:tcPr>
          <w:p>
            <w:pPr>
              <w:pStyle w:val="TableParagraph"/>
              <w:spacing w:before="47"/>
              <w:ind w:right="73"/>
              <w:rPr>
                <w:sz w:val="16"/>
              </w:rPr>
            </w:pPr>
            <w:r>
              <w:rPr>
                <w:w w:val="75"/>
                <w:sz w:val="16"/>
              </w:rPr>
              <w:t>32.1%</w:t>
            </w:r>
          </w:p>
        </w:tc>
      </w:tr>
      <w:tr>
        <w:trPr>
          <w:trHeight w:val="288" w:hRule="exact"/>
        </w:trPr>
        <w:tc>
          <w:tcPr>
            <w:tcW w:w="3204" w:type="dxa"/>
            <w:shd w:val="clear" w:color="auto" w:fill="E9E9E9"/>
          </w:tcPr>
          <w:p>
            <w:pPr>
              <w:pStyle w:val="TableParagraph"/>
              <w:spacing w:before="43"/>
              <w:ind w:left="74"/>
              <w:jc w:val="left"/>
              <w:rPr>
                <w:sz w:val="16"/>
              </w:rPr>
            </w:pPr>
            <w:r>
              <w:rPr>
                <w:sz w:val="16"/>
              </w:rPr>
              <w:t>Non Current School Leavers</w:t>
            </w:r>
          </w:p>
        </w:tc>
        <w:tc>
          <w:tcPr>
            <w:tcW w:w="1145" w:type="dxa"/>
            <w:shd w:val="clear" w:color="auto" w:fill="E9E9E9"/>
          </w:tcPr>
          <w:p>
            <w:pPr>
              <w:pStyle w:val="TableParagraph"/>
              <w:spacing w:before="43"/>
              <w:ind w:right="73"/>
              <w:rPr>
                <w:sz w:val="16"/>
              </w:rPr>
            </w:pPr>
            <w:r>
              <w:rPr>
                <w:w w:val="85"/>
                <w:sz w:val="16"/>
              </w:rPr>
              <w:t>42.4%</w:t>
            </w:r>
          </w:p>
        </w:tc>
        <w:tc>
          <w:tcPr>
            <w:tcW w:w="1145" w:type="dxa"/>
            <w:shd w:val="clear" w:color="auto" w:fill="E9E9E9"/>
          </w:tcPr>
          <w:p>
            <w:pPr>
              <w:pStyle w:val="TableParagraph"/>
              <w:spacing w:before="43"/>
              <w:ind w:right="73"/>
              <w:rPr>
                <w:sz w:val="16"/>
              </w:rPr>
            </w:pPr>
            <w:r>
              <w:rPr>
                <w:w w:val="85"/>
                <w:sz w:val="16"/>
              </w:rPr>
              <w:t>43.8%</w:t>
            </w:r>
          </w:p>
        </w:tc>
        <w:tc>
          <w:tcPr>
            <w:tcW w:w="1145" w:type="dxa"/>
            <w:shd w:val="clear" w:color="auto" w:fill="E9E9E9"/>
          </w:tcPr>
          <w:p>
            <w:pPr>
              <w:pStyle w:val="TableParagraph"/>
              <w:spacing w:before="43"/>
              <w:ind w:right="74"/>
              <w:rPr>
                <w:sz w:val="16"/>
              </w:rPr>
            </w:pPr>
            <w:r>
              <w:rPr>
                <w:w w:val="80"/>
                <w:sz w:val="16"/>
              </w:rPr>
              <w:t>41.4%</w:t>
            </w:r>
          </w:p>
        </w:tc>
        <w:tc>
          <w:tcPr>
            <w:tcW w:w="1145" w:type="dxa"/>
            <w:shd w:val="clear" w:color="auto" w:fill="E9E9E9"/>
          </w:tcPr>
          <w:p>
            <w:pPr>
              <w:pStyle w:val="TableParagraph"/>
              <w:spacing w:before="43"/>
              <w:ind w:right="73"/>
              <w:rPr>
                <w:sz w:val="16"/>
              </w:rPr>
            </w:pPr>
            <w:r>
              <w:rPr>
                <w:w w:val="85"/>
                <w:sz w:val="16"/>
              </w:rPr>
              <w:t>39.2%</w:t>
            </w:r>
          </w:p>
        </w:tc>
        <w:tc>
          <w:tcPr>
            <w:tcW w:w="1145" w:type="dxa"/>
            <w:shd w:val="clear" w:color="auto" w:fill="E9E9E9"/>
          </w:tcPr>
          <w:p>
            <w:pPr>
              <w:pStyle w:val="TableParagraph"/>
              <w:spacing w:before="43"/>
              <w:ind w:right="72"/>
              <w:rPr>
                <w:sz w:val="16"/>
              </w:rPr>
            </w:pPr>
            <w:r>
              <w:rPr>
                <w:w w:val="90"/>
                <w:sz w:val="16"/>
              </w:rPr>
              <w:t>40.6%</w:t>
            </w:r>
          </w:p>
        </w:tc>
        <w:tc>
          <w:tcPr>
            <w:tcW w:w="1145" w:type="dxa"/>
            <w:shd w:val="clear" w:color="auto" w:fill="E9E9E9"/>
          </w:tcPr>
          <w:p>
            <w:pPr>
              <w:pStyle w:val="TableParagraph"/>
              <w:spacing w:before="43"/>
              <w:ind w:right="69"/>
              <w:rPr>
                <w:sz w:val="16"/>
              </w:rPr>
            </w:pPr>
            <w:r>
              <w:rPr>
                <w:w w:val="85"/>
                <w:sz w:val="16"/>
              </w:rPr>
              <w:t>38.8%</w:t>
            </w:r>
          </w:p>
        </w:tc>
      </w:tr>
      <w:tr>
        <w:trPr>
          <w:trHeight w:val="288" w:hRule="exact"/>
        </w:trPr>
        <w:tc>
          <w:tcPr>
            <w:tcW w:w="3204" w:type="dxa"/>
            <w:shd w:val="clear" w:color="auto" w:fill="E9E9E9"/>
          </w:tcPr>
          <w:p>
            <w:pPr>
              <w:pStyle w:val="TableParagraph"/>
              <w:spacing w:before="51"/>
              <w:ind w:left="74"/>
              <w:jc w:val="left"/>
              <w:rPr>
                <w:rFonts w:ascii="Calibri"/>
                <w:sz w:val="16"/>
              </w:rPr>
            </w:pPr>
            <w:r>
              <w:rPr>
                <w:rFonts w:ascii="Calibri"/>
                <w:w w:val="105"/>
                <w:sz w:val="16"/>
              </w:rPr>
              <w:t>Total*</w:t>
            </w:r>
          </w:p>
        </w:tc>
        <w:tc>
          <w:tcPr>
            <w:tcW w:w="1145" w:type="dxa"/>
            <w:shd w:val="clear" w:color="auto" w:fill="E9E9E9"/>
          </w:tcPr>
          <w:p>
            <w:pPr>
              <w:pStyle w:val="TableParagraph"/>
              <w:spacing w:before="51"/>
              <w:ind w:right="70"/>
              <w:rPr>
                <w:rFonts w:ascii="Calibri"/>
                <w:sz w:val="16"/>
              </w:rPr>
            </w:pPr>
            <w:r>
              <w:rPr>
                <w:rFonts w:ascii="Calibri"/>
                <w:w w:val="105"/>
                <w:sz w:val="16"/>
              </w:rPr>
              <w:t>38.2%</w:t>
            </w:r>
          </w:p>
        </w:tc>
        <w:tc>
          <w:tcPr>
            <w:tcW w:w="1145" w:type="dxa"/>
            <w:shd w:val="clear" w:color="auto" w:fill="E9E9E9"/>
          </w:tcPr>
          <w:p>
            <w:pPr>
              <w:pStyle w:val="TableParagraph"/>
              <w:spacing w:before="51"/>
              <w:ind w:right="73"/>
              <w:rPr>
                <w:rFonts w:ascii="Calibri"/>
                <w:sz w:val="16"/>
              </w:rPr>
            </w:pPr>
            <w:r>
              <w:rPr>
                <w:rFonts w:ascii="Calibri"/>
                <w:w w:val="105"/>
                <w:sz w:val="16"/>
              </w:rPr>
              <w:t>37.4%</w:t>
            </w:r>
          </w:p>
        </w:tc>
        <w:tc>
          <w:tcPr>
            <w:tcW w:w="1145" w:type="dxa"/>
            <w:shd w:val="clear" w:color="auto" w:fill="E9E9E9"/>
          </w:tcPr>
          <w:p>
            <w:pPr>
              <w:pStyle w:val="TableParagraph"/>
              <w:spacing w:before="51"/>
              <w:ind w:right="72"/>
              <w:rPr>
                <w:rFonts w:ascii="Calibri"/>
                <w:sz w:val="16"/>
              </w:rPr>
            </w:pPr>
            <w:r>
              <w:rPr>
                <w:rFonts w:ascii="Calibri"/>
                <w:w w:val="105"/>
                <w:sz w:val="16"/>
              </w:rPr>
              <w:t>36.5%</w:t>
            </w:r>
          </w:p>
        </w:tc>
        <w:tc>
          <w:tcPr>
            <w:tcW w:w="1145" w:type="dxa"/>
            <w:shd w:val="clear" w:color="auto" w:fill="E9E9E9"/>
          </w:tcPr>
          <w:p>
            <w:pPr>
              <w:pStyle w:val="TableParagraph"/>
              <w:spacing w:before="51"/>
              <w:ind w:right="73"/>
              <w:rPr>
                <w:rFonts w:ascii="Calibri"/>
                <w:sz w:val="16"/>
              </w:rPr>
            </w:pPr>
            <w:r>
              <w:rPr>
                <w:rFonts w:ascii="Calibri"/>
                <w:w w:val="105"/>
                <w:sz w:val="16"/>
              </w:rPr>
              <w:t>35.2%</w:t>
            </w:r>
          </w:p>
        </w:tc>
        <w:tc>
          <w:tcPr>
            <w:tcW w:w="1145" w:type="dxa"/>
            <w:shd w:val="clear" w:color="auto" w:fill="E9E9E9"/>
          </w:tcPr>
          <w:p>
            <w:pPr>
              <w:pStyle w:val="TableParagraph"/>
              <w:spacing w:before="51"/>
              <w:ind w:right="70"/>
              <w:rPr>
                <w:rFonts w:ascii="Calibri"/>
                <w:sz w:val="16"/>
              </w:rPr>
            </w:pPr>
            <w:r>
              <w:rPr>
                <w:rFonts w:ascii="Calibri"/>
                <w:w w:val="105"/>
                <w:sz w:val="16"/>
              </w:rPr>
              <w:t>34.8%</w:t>
            </w:r>
          </w:p>
        </w:tc>
        <w:tc>
          <w:tcPr>
            <w:tcW w:w="1145" w:type="dxa"/>
            <w:shd w:val="clear" w:color="auto" w:fill="E9E9E9"/>
          </w:tcPr>
          <w:p>
            <w:pPr>
              <w:pStyle w:val="TableParagraph"/>
              <w:spacing w:before="51"/>
              <w:ind w:right="74"/>
              <w:rPr>
                <w:rFonts w:ascii="Calibri"/>
                <w:sz w:val="16"/>
              </w:rPr>
            </w:pPr>
            <w:r>
              <w:rPr>
                <w:rFonts w:ascii="Calibri"/>
                <w:w w:val="110"/>
                <w:sz w:val="16"/>
              </w:rPr>
              <w:t>34.4%</w:t>
            </w:r>
          </w:p>
        </w:tc>
      </w:tr>
    </w:tbl>
    <w:p>
      <w:pPr>
        <w:pStyle w:val="BodyText"/>
        <w:spacing w:before="43"/>
        <w:ind w:left="334" w:right="503"/>
      </w:pPr>
      <w:r>
        <w:rPr/>
        <w:t>(Source: UAC Main Round) *Includes school leaver type unknown</w:t>
      </w:r>
    </w:p>
    <w:p>
      <w:pPr>
        <w:spacing w:after="0"/>
        <w:sectPr>
          <w:footerReference w:type="even" r:id="rId74"/>
          <w:pgSz w:w="11910" w:h="16840"/>
          <w:pgMar w:footer="472" w:header="496" w:top="680" w:bottom="660" w:left="580" w:right="580"/>
        </w:sectPr>
      </w:pPr>
    </w:p>
    <w:p>
      <w:pPr>
        <w:pStyle w:val="BodyText"/>
        <w:rPr>
          <w:sz w:val="20"/>
        </w:rPr>
      </w:pPr>
    </w:p>
    <w:p>
      <w:pPr>
        <w:pStyle w:val="BodyText"/>
        <w:rPr>
          <w:sz w:val="20"/>
        </w:rPr>
      </w:pPr>
    </w:p>
    <w:p>
      <w:pPr>
        <w:pStyle w:val="BodyText"/>
        <w:spacing w:before="11"/>
        <w:rPr>
          <w:sz w:val="26"/>
        </w:rPr>
      </w:pPr>
    </w:p>
    <w:p>
      <w:pPr>
        <w:pStyle w:val="Heading1"/>
        <w:ind w:left="353" w:right="0"/>
      </w:pPr>
      <w:bookmarkStart w:name="_TOC_250001" w:id="53"/>
      <w:bookmarkEnd w:id="53"/>
      <w:r>
        <w:rPr>
          <w:w w:val="95"/>
        </w:rPr>
        <w:t>APPENDIX 12</w:t>
      </w:r>
    </w:p>
    <w:p>
      <w:pPr>
        <w:pStyle w:val="BodyText"/>
        <w:spacing w:before="5"/>
        <w:rPr>
          <w:rFonts w:ascii="Gotham Narrow Bold"/>
          <w:b/>
          <w:sz w:val="23"/>
        </w:rPr>
      </w:pPr>
    </w:p>
    <w:p>
      <w:pPr>
        <w:pStyle w:val="Heading5"/>
        <w:spacing w:before="58"/>
        <w:ind w:left="353"/>
      </w:pPr>
      <w:r>
        <w:rPr>
          <w:w w:val="95"/>
        </w:rPr>
        <w:t>WESTERN SYDNEY UNIVERSITY GOVERNANCE STRUCTURE</w:t>
      </w:r>
    </w:p>
    <w:p>
      <w:pPr>
        <w:pStyle w:val="BodyText"/>
        <w:spacing w:before="58"/>
        <w:ind w:left="353"/>
      </w:pPr>
      <w:r>
        <w:rPr>
          <w:spacing w:val="3"/>
          <w:w w:val="94"/>
        </w:rPr>
        <w:t>3</w:t>
      </w:r>
      <w:r>
        <w:rPr>
          <w:w w:val="111"/>
        </w:rPr>
        <w:t>0</w:t>
      </w:r>
      <w:r>
        <w:rPr>
          <w:spacing w:val="-12"/>
        </w:rPr>
        <w:t> </w:t>
      </w:r>
      <w:r>
        <w:rPr>
          <w:w w:val="112"/>
        </w:rPr>
        <w:t>A</w:t>
      </w:r>
      <w:r>
        <w:rPr>
          <w:spacing w:val="1"/>
          <w:w w:val="95"/>
        </w:rPr>
        <w:t>u</w:t>
      </w:r>
      <w:r>
        <w:rPr>
          <w:spacing w:val="2"/>
          <w:w w:val="102"/>
        </w:rPr>
        <w:t>g</w:t>
      </w:r>
      <w:r>
        <w:rPr>
          <w:spacing w:val="2"/>
          <w:w w:val="95"/>
        </w:rPr>
        <w:t>u</w:t>
      </w:r>
      <w:r>
        <w:rPr>
          <w:spacing w:val="3"/>
          <w:w w:val="95"/>
        </w:rPr>
        <w:t>s</w:t>
      </w:r>
      <w:r>
        <w:rPr>
          <w:w w:val="102"/>
        </w:rPr>
        <w:t>t</w:t>
      </w:r>
      <w:r>
        <w:rPr>
          <w:spacing w:val="-12"/>
        </w:rPr>
        <w:t> </w:t>
      </w:r>
      <w:r>
        <w:rPr>
          <w:spacing w:val="2"/>
          <w:w w:val="93"/>
        </w:rPr>
        <w:t>2</w:t>
      </w:r>
      <w:r>
        <w:rPr>
          <w:spacing w:val="1"/>
          <w:w w:val="111"/>
        </w:rPr>
        <w:t>0</w:t>
      </w:r>
      <w:r>
        <w:rPr>
          <w:spacing w:val="4"/>
          <w:w w:val="54"/>
        </w:rPr>
        <w:t>1</w:t>
      </w:r>
      <w:r>
        <w:rPr>
          <w:w w:val="101"/>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before="186"/>
        <w:ind w:left="6424" w:right="6486"/>
        <w:jc w:val="center"/>
      </w:pPr>
      <w:r>
        <w:rPr>
          <w:color w:val="FFFFFF"/>
          <w:w w:val="95"/>
        </w:rPr>
        <w:t>BOARD OF TRUSTEES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4"/>
        <w:rPr>
          <w:rFonts w:ascii="Gotham Narrow Bold"/>
          <w:b/>
          <w:sz w:val="25"/>
        </w:rPr>
      </w:pPr>
    </w:p>
    <w:p>
      <w:pPr>
        <w:spacing w:after="0"/>
        <w:rPr>
          <w:rFonts w:ascii="Gotham Narrow Bold"/>
          <w:sz w:val="25"/>
        </w:rPr>
        <w:sectPr>
          <w:headerReference w:type="default" r:id="rId75"/>
          <w:footerReference w:type="default" r:id="rId76"/>
          <w:pgSz w:w="16840" w:h="11910" w:orient="landscape"/>
          <w:pgMar w:header="0" w:footer="0" w:top="0" w:bottom="280" w:left="780" w:right="800"/>
        </w:sectPr>
      </w:pPr>
    </w:p>
    <w:p>
      <w:pPr>
        <w:pStyle w:val="Heading6"/>
        <w:spacing w:before="68"/>
        <w:ind w:right="-5"/>
      </w:pPr>
      <w:r>
        <w:rPr>
          <w:w w:val="95"/>
        </w:rPr>
        <w:t>Board Committees</w:t>
      </w:r>
    </w:p>
    <w:p>
      <w:pPr>
        <w:pStyle w:val="BodyText"/>
        <w:spacing w:before="3"/>
        <w:rPr>
          <w:rFonts w:ascii="Gotham Narrow Bold"/>
          <w:b/>
        </w:rPr>
      </w:pPr>
    </w:p>
    <w:p>
      <w:pPr>
        <w:pStyle w:val="BodyText"/>
        <w:spacing w:before="1"/>
        <w:ind w:left="590" w:right="-5"/>
      </w:pPr>
      <w:r>
        <w:rPr>
          <w:rFonts w:ascii="Century Gothic" w:hAnsi="Century Gothic"/>
          <w:b/>
          <w:w w:val="115"/>
        </w:rPr>
        <w:t>≥ </w:t>
      </w:r>
      <w:r>
        <w:rPr>
          <w:w w:val="105"/>
        </w:rPr>
        <w:t>Audit and Risk Management</w:t>
      </w:r>
    </w:p>
    <w:p>
      <w:pPr>
        <w:pStyle w:val="BodyText"/>
        <w:spacing w:before="60"/>
        <w:ind w:left="590" w:right="-5"/>
      </w:pPr>
      <w:r>
        <w:rPr>
          <w:rFonts w:ascii="Century Gothic" w:hAnsi="Century Gothic"/>
          <w:b/>
          <w:w w:val="115"/>
        </w:rPr>
        <w:t>≥ </w:t>
      </w:r>
      <w:r>
        <w:rPr>
          <w:w w:val="110"/>
        </w:rPr>
        <w:t>Board Standing</w:t>
      </w:r>
    </w:p>
    <w:p>
      <w:pPr>
        <w:pStyle w:val="BodyText"/>
        <w:spacing w:before="60"/>
        <w:ind w:left="590" w:right="-5"/>
      </w:pPr>
      <w:r>
        <w:rPr>
          <w:rFonts w:ascii="Century Gothic" w:hAnsi="Century Gothic"/>
          <w:b/>
          <w:w w:val="115"/>
        </w:rPr>
        <w:t>≥ </w:t>
      </w:r>
      <w:r>
        <w:rPr>
          <w:w w:val="105"/>
        </w:rPr>
        <w:t>Finance and Investment</w:t>
      </w:r>
    </w:p>
    <w:p>
      <w:pPr>
        <w:pStyle w:val="BodyText"/>
        <w:spacing w:before="60"/>
        <w:ind w:left="590" w:right="-5"/>
      </w:pPr>
      <w:r>
        <w:rPr>
          <w:rFonts w:ascii="Century Gothic" w:hAnsi="Century Gothic"/>
          <w:b/>
          <w:w w:val="105"/>
        </w:rPr>
        <w:t>≥</w:t>
      </w:r>
      <w:r>
        <w:rPr>
          <w:rFonts w:ascii="Century Gothic" w:hAnsi="Century Gothic"/>
          <w:b/>
          <w:spacing w:val="1"/>
          <w:w w:val="105"/>
        </w:rPr>
        <w:t> </w:t>
      </w:r>
      <w:r>
        <w:rPr>
          <w:w w:val="105"/>
        </w:rPr>
        <w:t>Remuneration</w:t>
      </w:r>
      <w:r>
        <w:rPr>
          <w:spacing w:val="-34"/>
          <w:w w:val="105"/>
        </w:rPr>
        <w:t> </w:t>
      </w:r>
      <w:r>
        <w:rPr>
          <w:w w:val="105"/>
        </w:rPr>
        <w:t>and</w:t>
      </w:r>
      <w:r>
        <w:rPr>
          <w:spacing w:val="-34"/>
          <w:w w:val="105"/>
        </w:rPr>
        <w:t> </w:t>
      </w:r>
      <w:r>
        <w:rPr>
          <w:w w:val="105"/>
        </w:rPr>
        <w:t>Nominations</w:t>
      </w:r>
    </w:p>
    <w:p>
      <w:pPr>
        <w:pStyle w:val="BodyText"/>
        <w:spacing w:before="60"/>
        <w:ind w:left="590" w:right="-5"/>
      </w:pPr>
      <w:r>
        <w:rPr>
          <w:rFonts w:ascii="Century Gothic" w:hAnsi="Century Gothic"/>
          <w:b/>
          <w:w w:val="115"/>
        </w:rPr>
        <w:t>≥ </w:t>
      </w:r>
      <w:r>
        <w:rPr>
          <w:w w:val="105"/>
        </w:rPr>
        <w:t>University Infrastructure</w:t>
      </w:r>
    </w:p>
    <w:p>
      <w:pPr>
        <w:pStyle w:val="Heading6"/>
        <w:spacing w:before="161"/>
        <w:ind w:right="0"/>
        <w:jc w:val="center"/>
      </w:pPr>
      <w:r>
        <w:rPr>
          <w:b w:val="0"/>
        </w:rPr>
        <w:br w:type="column"/>
      </w:r>
      <w:r>
        <w:rPr>
          <w:w w:val="95"/>
        </w:rPr>
        <w:t>Foundation Council</w:t>
      </w:r>
    </w:p>
    <w:p>
      <w:pPr>
        <w:pStyle w:val="BodyText"/>
        <w:rPr>
          <w:rFonts w:ascii="Gotham Narrow Bold"/>
          <w:b/>
          <w:sz w:val="18"/>
        </w:rPr>
      </w:pPr>
    </w:p>
    <w:p>
      <w:pPr>
        <w:pStyle w:val="BodyText"/>
        <w:rPr>
          <w:rFonts w:ascii="Gotham Narrow Bold"/>
          <w:b/>
          <w:sz w:val="18"/>
        </w:rPr>
      </w:pPr>
    </w:p>
    <w:p>
      <w:pPr>
        <w:pStyle w:val="BodyText"/>
        <w:spacing w:before="7"/>
        <w:rPr>
          <w:rFonts w:ascii="Gotham Narrow Bold"/>
          <w:b/>
          <w:sz w:val="25"/>
        </w:rPr>
      </w:pPr>
    </w:p>
    <w:p>
      <w:pPr>
        <w:spacing w:line="244" w:lineRule="auto" w:before="0"/>
        <w:ind w:left="590" w:right="0" w:firstLine="0"/>
        <w:jc w:val="center"/>
        <w:rPr>
          <w:rFonts w:ascii="Gotham Narrow Bold"/>
          <w:b/>
          <w:sz w:val="18"/>
        </w:rPr>
      </w:pPr>
      <w:r>
        <w:rPr>
          <w:rFonts w:ascii="Gotham Narrow Bold"/>
          <w:b/>
          <w:w w:val="95"/>
          <w:sz w:val="18"/>
        </w:rPr>
        <w:t>Aboriginal and</w:t>
      </w:r>
      <w:r>
        <w:rPr>
          <w:rFonts w:ascii="Gotham Narrow Bold"/>
          <w:b/>
          <w:spacing w:val="-17"/>
          <w:w w:val="95"/>
          <w:sz w:val="18"/>
        </w:rPr>
        <w:t> </w:t>
      </w:r>
      <w:r>
        <w:rPr>
          <w:rFonts w:ascii="Gotham Narrow Bold"/>
          <w:b/>
          <w:spacing w:val="-3"/>
          <w:w w:val="95"/>
          <w:sz w:val="18"/>
        </w:rPr>
        <w:t>Torres</w:t>
      </w:r>
      <w:r>
        <w:rPr>
          <w:rFonts w:ascii="Gotham Narrow Bold"/>
          <w:b/>
          <w:spacing w:val="-9"/>
          <w:w w:val="95"/>
          <w:sz w:val="18"/>
        </w:rPr>
        <w:t> </w:t>
      </w:r>
      <w:r>
        <w:rPr>
          <w:rFonts w:ascii="Gotham Narrow Bold"/>
          <w:b/>
          <w:w w:val="95"/>
          <w:sz w:val="18"/>
        </w:rPr>
        <w:t>Strait</w:t>
      </w:r>
      <w:r>
        <w:rPr>
          <w:rFonts w:ascii="Gotham Narrow Bold"/>
          <w:b/>
          <w:w w:val="93"/>
          <w:sz w:val="18"/>
        </w:rPr>
        <w:t> </w:t>
      </w:r>
      <w:r>
        <w:rPr>
          <w:rFonts w:ascii="Gotham Narrow Bold"/>
          <w:b/>
          <w:w w:val="95"/>
          <w:sz w:val="18"/>
        </w:rPr>
        <w:t>Islander</w:t>
      </w:r>
      <w:r>
        <w:rPr>
          <w:rFonts w:ascii="Gotham Narrow Bold"/>
          <w:b/>
          <w:spacing w:val="-14"/>
          <w:w w:val="95"/>
          <w:sz w:val="18"/>
        </w:rPr>
        <w:t> </w:t>
      </w:r>
      <w:r>
        <w:rPr>
          <w:rFonts w:ascii="Gotham Narrow Bold"/>
          <w:b/>
          <w:w w:val="95"/>
          <w:sz w:val="18"/>
        </w:rPr>
        <w:t>Council</w:t>
      </w:r>
    </w:p>
    <w:p>
      <w:pPr>
        <w:pStyle w:val="BodyText"/>
        <w:rPr>
          <w:rFonts w:ascii="Gotham Narrow Bold"/>
          <w:b/>
          <w:sz w:val="18"/>
        </w:rPr>
      </w:pPr>
      <w:r>
        <w:rPr/>
        <w:br w:type="column"/>
      </w:r>
      <w:r>
        <w:rPr>
          <w:rFonts w:ascii="Gotham Narrow Bold"/>
          <w:b/>
          <w:sz w:val="18"/>
        </w:rPr>
      </w: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24"/>
        </w:rPr>
      </w:pPr>
    </w:p>
    <w:p>
      <w:pPr>
        <w:spacing w:before="0"/>
        <w:ind w:left="100" w:right="-10" w:firstLine="0"/>
        <w:jc w:val="left"/>
        <w:rPr>
          <w:rFonts w:ascii="Gotham Narrow Bold"/>
          <w:b/>
          <w:sz w:val="18"/>
        </w:rPr>
      </w:pPr>
      <w:r>
        <w:rPr>
          <w:rFonts w:ascii="Gotham Narrow Bold"/>
          <w:b/>
          <w:sz w:val="18"/>
        </w:rPr>
        <w:t>Academic</w:t>
      </w:r>
    </w:p>
    <w:p>
      <w:pPr>
        <w:pStyle w:val="BodyText"/>
        <w:spacing w:before="3"/>
        <w:rPr>
          <w:rFonts w:ascii="Gotham Narrow Bold"/>
          <w:b/>
        </w:rPr>
      </w:pPr>
    </w:p>
    <w:p>
      <w:pPr>
        <w:spacing w:before="1"/>
        <w:ind w:left="100" w:right="-10" w:firstLine="0"/>
        <w:jc w:val="left"/>
        <w:rPr>
          <w:sz w:val="16"/>
        </w:rPr>
      </w:pPr>
      <w:r>
        <w:rPr>
          <w:rFonts w:ascii="Century Gothic" w:hAnsi="Century Gothic"/>
          <w:b/>
          <w:w w:val="120"/>
          <w:sz w:val="16"/>
        </w:rPr>
        <w:t>≥ </w:t>
      </w:r>
      <w:r>
        <w:rPr>
          <w:w w:val="115"/>
          <w:sz w:val="16"/>
        </w:rPr>
        <w:t>Schools</w:t>
      </w:r>
    </w:p>
    <w:p>
      <w:pPr>
        <w:pStyle w:val="BodyText"/>
        <w:spacing w:before="60"/>
        <w:ind w:left="100" w:right="-10"/>
      </w:pPr>
      <w:r>
        <w:rPr>
          <w:rFonts w:ascii="Century Gothic" w:hAnsi="Century Gothic"/>
          <w:b/>
          <w:w w:val="115"/>
        </w:rPr>
        <w:t>≥ </w:t>
      </w:r>
      <w:r>
        <w:rPr>
          <w:w w:val="105"/>
        </w:rPr>
        <w:t>Research</w:t>
      </w:r>
      <w:r>
        <w:rPr>
          <w:spacing w:val="-44"/>
          <w:w w:val="105"/>
        </w:rPr>
        <w:t> </w:t>
      </w:r>
      <w:r>
        <w:rPr>
          <w:w w:val="105"/>
        </w:rPr>
        <w:t>Institutes</w:t>
      </w:r>
    </w:p>
    <w:p>
      <w:pPr>
        <w:pStyle w:val="Heading6"/>
        <w:spacing w:before="161"/>
        <w:ind w:left="654"/>
      </w:pPr>
      <w:r>
        <w:rPr>
          <w:b w:val="0"/>
        </w:rPr>
        <w:br w:type="column"/>
      </w:r>
      <w:r>
        <w:rPr/>
        <w:t>Vice-Chancellor</w:t>
      </w:r>
    </w:p>
    <w:p>
      <w:pPr>
        <w:pStyle w:val="BodyText"/>
        <w:rPr>
          <w:rFonts w:ascii="Gotham Narrow Bold"/>
          <w:b/>
          <w:sz w:val="18"/>
        </w:rPr>
      </w:pPr>
    </w:p>
    <w:p>
      <w:pPr>
        <w:pStyle w:val="BodyText"/>
        <w:rPr>
          <w:rFonts w:ascii="Gotham Narrow Bold"/>
          <w:b/>
          <w:sz w:val="18"/>
        </w:rPr>
      </w:pPr>
    </w:p>
    <w:p>
      <w:pPr>
        <w:pStyle w:val="BodyText"/>
        <w:spacing w:before="7"/>
        <w:rPr>
          <w:rFonts w:ascii="Gotham Narrow Bold"/>
          <w:b/>
          <w:sz w:val="25"/>
        </w:rPr>
      </w:pPr>
    </w:p>
    <w:p>
      <w:pPr>
        <w:spacing w:line="244" w:lineRule="auto" w:before="0"/>
        <w:ind w:left="898" w:right="35" w:hanging="677"/>
        <w:jc w:val="left"/>
        <w:rPr>
          <w:rFonts w:ascii="Gotham Narrow Bold"/>
          <w:b/>
          <w:sz w:val="18"/>
        </w:rPr>
      </w:pPr>
      <w:r>
        <w:rPr>
          <w:rFonts w:ascii="Gotham Narrow Bold"/>
          <w:b/>
          <w:w w:val="95"/>
          <w:sz w:val="18"/>
        </w:rPr>
        <w:t>Western Sydney University </w:t>
      </w:r>
      <w:r>
        <w:rPr>
          <w:rFonts w:ascii="Gotham Narrow Bold"/>
          <w:b/>
          <w:sz w:val="18"/>
        </w:rPr>
        <w:t>Executive</w:t>
      </w: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spacing w:before="2"/>
        <w:rPr>
          <w:rFonts w:ascii="Gotham Narrow Bold"/>
          <w:b/>
          <w:sz w:val="20"/>
        </w:rPr>
      </w:pPr>
    </w:p>
    <w:p>
      <w:pPr>
        <w:spacing w:before="0"/>
        <w:ind w:left="1025" w:right="35" w:firstLine="0"/>
        <w:jc w:val="left"/>
        <w:rPr>
          <w:rFonts w:ascii="Gotham Narrow Bold"/>
          <w:b/>
          <w:sz w:val="18"/>
        </w:rPr>
      </w:pPr>
      <w:r>
        <w:rPr>
          <w:rFonts w:ascii="Gotham Narrow Bold"/>
          <w:b/>
          <w:sz w:val="18"/>
        </w:rPr>
        <w:t>Administrative</w:t>
      </w:r>
    </w:p>
    <w:p>
      <w:pPr>
        <w:pStyle w:val="BodyText"/>
        <w:spacing w:before="3"/>
        <w:rPr>
          <w:rFonts w:ascii="Gotham Narrow Bold"/>
          <w:b/>
        </w:rPr>
      </w:pPr>
    </w:p>
    <w:p>
      <w:pPr>
        <w:pStyle w:val="BodyText"/>
        <w:spacing w:line="244" w:lineRule="auto" w:before="1"/>
        <w:ind w:left="1252" w:hanging="227"/>
      </w:pPr>
      <w:r>
        <w:rPr>
          <w:rFonts w:ascii="Century Gothic" w:hAnsi="Century Gothic"/>
          <w:b/>
          <w:w w:val="115"/>
        </w:rPr>
        <w:t>≥ </w:t>
      </w:r>
      <w:r>
        <w:rPr>
          <w:w w:val="105"/>
        </w:rPr>
        <w:t>Deputy Vice-Chancellor</w:t>
      </w:r>
      <w:r>
        <w:rPr>
          <w:spacing w:val="-27"/>
          <w:w w:val="105"/>
        </w:rPr>
        <w:t> </w:t>
      </w:r>
      <w:r>
        <w:rPr>
          <w:w w:val="105"/>
        </w:rPr>
        <w:t>and </w:t>
      </w:r>
      <w:r>
        <w:rPr/>
        <w:t>Vice-President</w:t>
      </w:r>
      <w:r>
        <w:rPr>
          <w:spacing w:val="6"/>
        </w:rPr>
        <w:t> </w:t>
      </w:r>
      <w:r>
        <w:rPr/>
        <w:t>(Academic)</w:t>
      </w:r>
    </w:p>
    <w:p>
      <w:pPr>
        <w:pStyle w:val="BodyText"/>
        <w:spacing w:line="247" w:lineRule="auto" w:before="58"/>
        <w:ind w:left="1252" w:right="35" w:hanging="227"/>
      </w:pPr>
      <w:r>
        <w:rPr>
          <w:rFonts w:ascii="Century Gothic" w:hAnsi="Century Gothic"/>
          <w:b/>
          <w:w w:val="115"/>
        </w:rPr>
        <w:t>≥ </w:t>
      </w:r>
      <w:r>
        <w:rPr>
          <w:w w:val="105"/>
        </w:rPr>
        <w:t>Deputy Vice-Chancellor and Vice-President </w:t>
      </w:r>
      <w:r>
        <w:rPr/>
        <w:t>(Research &amp; Development)</w:t>
      </w:r>
    </w:p>
    <w:p>
      <w:pPr>
        <w:pStyle w:val="BodyText"/>
        <w:spacing w:before="57"/>
        <w:ind w:left="1025" w:right="35"/>
      </w:pPr>
      <w:r>
        <w:rPr>
          <w:rFonts w:ascii="Century Gothic" w:hAnsi="Century Gothic"/>
          <w:b/>
          <w:w w:val="110"/>
        </w:rPr>
        <w:t>≥ </w:t>
      </w:r>
      <w:r>
        <w:rPr>
          <w:w w:val="110"/>
        </w:rPr>
        <w:t>Vice-President</w:t>
      </w:r>
    </w:p>
    <w:p>
      <w:pPr>
        <w:pStyle w:val="BodyText"/>
        <w:spacing w:before="4"/>
        <w:ind w:left="1252" w:right="35"/>
      </w:pPr>
      <w:r>
        <w:rPr/>
        <w:t>(People &amp; Advancement)</w:t>
      </w:r>
    </w:p>
    <w:p>
      <w:pPr>
        <w:pStyle w:val="BodyText"/>
        <w:spacing w:line="244" w:lineRule="auto" w:before="62"/>
        <w:ind w:left="1252" w:right="400" w:hanging="227"/>
      </w:pPr>
      <w:r>
        <w:rPr>
          <w:rFonts w:ascii="Century Gothic" w:hAnsi="Century Gothic"/>
          <w:b/>
          <w:w w:val="115"/>
        </w:rPr>
        <w:t>≥ </w:t>
      </w:r>
      <w:r>
        <w:rPr>
          <w:w w:val="105"/>
        </w:rPr>
        <w:t>Vice-President </w:t>
      </w:r>
      <w:r>
        <w:rPr/>
        <w:t>(Finance</w:t>
      </w:r>
      <w:r>
        <w:rPr>
          <w:spacing w:val="-28"/>
        </w:rPr>
        <w:t> </w:t>
      </w:r>
      <w:r>
        <w:rPr/>
        <w:t>&amp;</w:t>
      </w:r>
      <w:r>
        <w:rPr>
          <w:spacing w:val="-28"/>
        </w:rPr>
        <w:t> </w:t>
      </w:r>
      <w:r>
        <w:rPr/>
        <w:t>Resources)</w:t>
      </w:r>
    </w:p>
    <w:p>
      <w:pPr>
        <w:pStyle w:val="Heading6"/>
        <w:spacing w:before="161"/>
        <w:ind w:left="1344" w:right="925"/>
      </w:pPr>
      <w:r>
        <w:rPr>
          <w:b w:val="0"/>
        </w:rPr>
        <w:br w:type="column"/>
      </w:r>
      <w:r>
        <w:rPr>
          <w:w w:val="95"/>
        </w:rPr>
        <w:t>Academic Senate</w:t>
      </w: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spacing w:before="119"/>
        <w:ind w:left="590" w:right="925"/>
      </w:pPr>
      <w:r>
        <w:rPr>
          <w:rFonts w:ascii="Century Gothic" w:hAnsi="Century Gothic"/>
          <w:b/>
          <w:w w:val="105"/>
        </w:rPr>
        <w:t>≥ </w:t>
      </w:r>
      <w:r>
        <w:rPr>
          <w:w w:val="105"/>
        </w:rPr>
        <w:t>Senate Executive</w:t>
      </w:r>
    </w:p>
    <w:p>
      <w:pPr>
        <w:pStyle w:val="BodyText"/>
        <w:spacing w:before="60"/>
        <w:ind w:left="590" w:right="925"/>
      </w:pPr>
      <w:r>
        <w:rPr>
          <w:rFonts w:ascii="Century Gothic" w:hAnsi="Century Gothic"/>
          <w:b/>
          <w:w w:val="110"/>
        </w:rPr>
        <w:t>≥ </w:t>
      </w:r>
      <w:r>
        <w:rPr>
          <w:w w:val="110"/>
        </w:rPr>
        <w:t>Education</w:t>
      </w:r>
    </w:p>
    <w:p>
      <w:pPr>
        <w:pStyle w:val="BodyText"/>
        <w:spacing w:before="60"/>
        <w:ind w:left="804" w:right="2141"/>
        <w:jc w:val="center"/>
      </w:pPr>
      <w:r>
        <w:rPr>
          <w:rFonts w:ascii="Century Gothic" w:hAnsi="Century Gothic"/>
          <w:b/>
          <w:w w:val="110"/>
        </w:rPr>
        <w:t>≥ </w:t>
      </w:r>
      <w:r>
        <w:rPr>
          <w:w w:val="110"/>
        </w:rPr>
        <w:t>Assessment</w:t>
      </w:r>
    </w:p>
    <w:p>
      <w:pPr>
        <w:pStyle w:val="BodyText"/>
        <w:spacing w:line="244" w:lineRule="auto" w:before="60"/>
        <w:ind w:left="1044" w:right="925" w:hanging="227"/>
      </w:pPr>
      <w:r>
        <w:rPr>
          <w:rFonts w:ascii="Century Gothic" w:hAnsi="Century Gothic"/>
          <w:b/>
          <w:w w:val="115"/>
        </w:rPr>
        <w:t>≥ </w:t>
      </w:r>
      <w:r>
        <w:rPr>
          <w:w w:val="105"/>
        </w:rPr>
        <w:t>Student Experience and Engagement</w:t>
      </w:r>
    </w:p>
    <w:p>
      <w:pPr>
        <w:pStyle w:val="BodyText"/>
        <w:spacing w:line="244" w:lineRule="auto" w:before="58"/>
        <w:ind w:left="817" w:right="925" w:hanging="227"/>
      </w:pPr>
      <w:r>
        <w:rPr>
          <w:rFonts w:ascii="Century Gothic" w:hAnsi="Century Gothic"/>
          <w:b/>
          <w:w w:val="115"/>
        </w:rPr>
        <w:t>≥ </w:t>
      </w:r>
      <w:r>
        <w:rPr>
          <w:w w:val="105"/>
        </w:rPr>
        <w:t>Academic Planning and Courses Approvals</w:t>
      </w:r>
    </w:p>
    <w:p>
      <w:pPr>
        <w:pStyle w:val="BodyText"/>
        <w:spacing w:before="58"/>
        <w:ind w:left="590" w:right="925"/>
      </w:pPr>
      <w:r>
        <w:rPr>
          <w:rFonts w:ascii="Century Gothic" w:hAnsi="Century Gothic"/>
          <w:b/>
          <w:w w:val="110"/>
        </w:rPr>
        <w:t>≥ </w:t>
      </w:r>
      <w:r>
        <w:rPr>
          <w:w w:val="110"/>
        </w:rPr>
        <w:t>Research</w:t>
      </w:r>
    </w:p>
    <w:p>
      <w:pPr>
        <w:pStyle w:val="BodyText"/>
        <w:spacing w:before="60"/>
        <w:ind w:left="590" w:right="925"/>
      </w:pPr>
      <w:r>
        <w:rPr>
          <w:rFonts w:ascii="Century Gothic" w:hAnsi="Century Gothic"/>
          <w:b/>
          <w:w w:val="105"/>
        </w:rPr>
        <w:t>≥ </w:t>
      </w:r>
      <w:r>
        <w:rPr>
          <w:w w:val="105"/>
        </w:rPr>
        <w:t>Research Studies</w:t>
      </w:r>
    </w:p>
    <w:p>
      <w:pPr>
        <w:pStyle w:val="BodyText"/>
        <w:spacing w:line="244" w:lineRule="auto" w:before="60"/>
        <w:ind w:left="817" w:right="925" w:hanging="227"/>
      </w:pPr>
      <w:r>
        <w:rPr>
          <w:rFonts w:ascii="Century Gothic" w:hAnsi="Century Gothic"/>
          <w:b/>
          <w:w w:val="115"/>
        </w:rPr>
        <w:t>≥ </w:t>
      </w:r>
      <w:r>
        <w:rPr>
          <w:w w:val="105"/>
        </w:rPr>
        <w:t>Senate Academic Appeals and Integrity</w:t>
      </w:r>
    </w:p>
    <w:p>
      <w:pPr>
        <w:pStyle w:val="BodyText"/>
        <w:spacing w:before="58"/>
        <w:ind w:left="590" w:right="925"/>
      </w:pPr>
      <w:r>
        <w:rPr>
          <w:rFonts w:ascii="Century Gothic" w:hAnsi="Century Gothic"/>
          <w:b/>
          <w:w w:val="105"/>
        </w:rPr>
        <w:t>≥ </w:t>
      </w:r>
      <w:r>
        <w:rPr>
          <w:w w:val="105"/>
        </w:rPr>
        <w:t>School Academic Committees</w:t>
      </w:r>
    </w:p>
    <w:p>
      <w:pPr>
        <w:pStyle w:val="BodyText"/>
        <w:spacing w:line="244" w:lineRule="auto" w:before="60"/>
        <w:ind w:left="817" w:right="1052" w:hanging="227"/>
      </w:pPr>
      <w:r>
        <w:rPr>
          <w:rFonts w:ascii="Century Gothic" w:hAnsi="Century Gothic"/>
          <w:b/>
          <w:w w:val="115"/>
        </w:rPr>
        <w:t>≥ </w:t>
      </w:r>
      <w:r>
        <w:rPr>
          <w:w w:val="105"/>
        </w:rPr>
        <w:t>School/Institute Research and </w:t>
      </w:r>
      <w:r>
        <w:rPr/>
        <w:t>Higher Degrees</w:t>
      </w:r>
    </w:p>
    <w:p>
      <w:pPr>
        <w:spacing w:after="0" w:line="244" w:lineRule="auto"/>
        <w:sectPr>
          <w:type w:val="continuous"/>
          <w:pgSz w:w="16840" w:h="11910" w:orient="landscape"/>
          <w:pgMar w:top="1580" w:bottom="280" w:left="780" w:right="800"/>
          <w:cols w:num="5" w:equalWidth="0">
            <w:col w:w="3014" w:space="185"/>
            <w:col w:w="2773" w:space="40"/>
            <w:col w:w="1643" w:space="40"/>
            <w:col w:w="3205" w:space="319"/>
            <w:col w:w="4041"/>
          </w:cols>
        </w:sectPr>
      </w:pPr>
    </w:p>
    <w:p>
      <w:pPr>
        <w:rPr>
          <w:sz w:val="2"/>
          <w:szCs w:val="2"/>
        </w:rPr>
      </w:pPr>
      <w:r>
        <w:rPr/>
        <w:pict>
          <v:group style="position:absolute;margin-left:45.354pt;margin-top:34.015999pt;width:751.2pt;height:529.65pt;mso-position-horizontal-relative:page;mso-position-vertical-relative:page;z-index:-334480" coordorigin="907,680" coordsize="15024,10593">
            <v:shape style="position:absolute;left:907;top:680;width:15024;height:10593" coordorigin="907,680" coordsize="15024,10593" path="m15931,680l907,680,907,728,907,11273,15931,11273,15931,728,15931,680e" filled="true" fillcolor="#e9e9e9" stroked="false">
              <v:path arrowok="t"/>
              <v:fill type="solid"/>
            </v:shape>
            <v:rect style="position:absolute;left:6333;top:3337;width:4171;height:784" filled="true" fillcolor="#949290" stroked="false">
              <v:fill type="solid"/>
            </v:rect>
            <v:shape style="position:absolute;left:4773;top:-3793;width:5296;height:14561" coordorigin="4773,-3793" coordsize="5296,14561" path="m1139,4773l1139,6808,4058,6808,4058,4773,1139,4773xm12357,5854l12357,10069,15689,10069,15689,5854,12357,5854xm12357,4773l12357,5567,15699,5567,15699,4773,12357,4773xe" filled="false" stroked="true" strokeweight=".5pt" strokecolor="#949290">
              <v:path arrowok="t"/>
            </v:shape>
            <v:line style="position:absolute" from="8414,4120" to="8414,4428" stroked="true" strokeweight=".5pt" strokecolor="#949290"/>
            <v:shape style="position:absolute;left:2603;top:4433;width:11420;height:351" coordorigin="2603,4433" coordsize="11420,351" path="m2603,4783l2603,4433,14023,4433,14023,4762e" filled="false" stroked="true" strokeweight=".5pt" strokecolor="#949290">
              <v:path arrowok="t"/>
            </v:shape>
            <v:shape style="position:absolute;left:4778;top:-198;width:5291;height:5445" coordorigin="4778,-198" coordsize="5291,5445" path="m6659,7153l6659,8417,8961,8417,8961,7153,6659,7153xm9267,7153l9267,10069,12104,10069,12104,7153,9267,7153xm7533,4778l7533,5562,11983,5562,11983,4778,7533,4778xm8602,5844l8602,6627,10914,6627,10914,5844,8602,5844xe" filled="false" stroked="true" strokeweight=".5pt" strokecolor="#949290">
              <v:path arrowok="t"/>
            </v:shape>
            <v:line style="position:absolute" from="9763,4778" to="9763,4433" stroked="true" strokeweight=".5pt" strokecolor="#949290"/>
            <v:line style="position:absolute" from="9763,5849" to="9763,5552" stroked="true" strokeweight=".5pt" strokecolor="#949290"/>
            <v:line style="position:absolute" from="14018,5849" to="14018,5552" stroked="true" strokeweight=".5pt" strokecolor="#949290"/>
            <v:line style="position:absolute" from="9763,6924" to="9763,6627" stroked="true" strokeweight=".5pt" strokecolor="#949290"/>
            <v:shape style="position:absolute;left:7815;top:6934;width:2920;height:214" coordorigin="7815,6934" coordsize="2920,214" path="m7815,7148l7815,6934,10734,6934,10734,7148e" filled="false" stroked="true" strokeweight=".5pt" strokecolor="#949290">
              <v:path arrowok="t"/>
            </v:shape>
            <v:shape style="position:absolute;left:4783;top:5012;width:1850;height:2467" coordorigin="4783,5012" coordsize="1850,2467" path="m4427,4783l4427,5557,6893,5557,6893,4783,4427,4783xm4432,5839l4432,6632,6888,6632,6888,5839,4432,5839xe" filled="false" stroked="true" strokeweight=".5pt" strokecolor="#949290">
              <v:path arrowok="t"/>
            </v:shape>
            <v:shape style="position:absolute;left:6883;top:4433;width:266;height:1803" coordorigin="6883,4433" coordsize="266,1803" path="m7148,4433l7148,6236,6883,6236e" filled="false" stroked="true" strokeweight=".5pt" strokecolor="#949290">
              <v:path arrowok="t"/>
            </v:shape>
            <v:line style="position:absolute" from="6893,5170" to="7153,5170" stroked="true" strokeweight=".5pt" strokecolor="#949290"/>
            <w10:wrap type="none"/>
          </v:group>
        </w:pict>
      </w:r>
      <w:r>
        <w:rPr/>
        <w:pict>
          <v:shape style="position:absolute;margin-left:806.107117pt;margin-top:478.768799pt;width:8.5pt;height:72.2pt;mso-position-horizontal-relative:page;mso-position-vertical-relative:page;z-index:3256" type="#_x0000_t202" filled="false" stroked="false">
            <v:textbox inset="0,0,0,0" style="layout-flow:vertical">
              <w:txbxContent>
                <w:p>
                  <w:pPr>
                    <w:spacing w:before="0"/>
                    <w:ind w:left="20" w:right="-404" w:firstLine="0"/>
                    <w:jc w:val="left"/>
                    <w:rPr>
                      <w:rFonts w:ascii="Gotham Narrow Book"/>
                      <w:b w:val="0"/>
                      <w:sz w:val="13"/>
                    </w:rPr>
                  </w:pPr>
                  <w:r>
                    <w:rPr>
                      <w:rFonts w:ascii="Gotham Narrow Book"/>
                      <w:b w:val="0"/>
                      <w:spacing w:val="6"/>
                      <w:sz w:val="13"/>
                    </w:rPr>
                    <w:t>A</w:t>
                  </w:r>
                  <w:r>
                    <w:rPr>
                      <w:rFonts w:ascii="Gotham Narrow Book"/>
                      <w:b w:val="0"/>
                      <w:spacing w:val="7"/>
                      <w:sz w:val="13"/>
                    </w:rPr>
                    <w:t>NN</w:t>
                  </w:r>
                  <w:r>
                    <w:rPr>
                      <w:rFonts w:ascii="Gotham Narrow Book"/>
                      <w:b w:val="0"/>
                      <w:spacing w:val="3"/>
                      <w:sz w:val="13"/>
                    </w:rPr>
                    <w:t>U</w:t>
                  </w:r>
                  <w:r>
                    <w:rPr>
                      <w:rFonts w:ascii="Gotham Narrow Book"/>
                      <w:b w:val="0"/>
                      <w:spacing w:val="6"/>
                      <w:sz w:val="13"/>
                    </w:rPr>
                    <w:t>A</w:t>
                  </w:r>
                  <w:r>
                    <w:rPr>
                      <w:rFonts w:ascii="Gotham Narrow Book"/>
                      <w:b w:val="0"/>
                      <w:sz w:val="13"/>
                    </w:rPr>
                    <w:t>L</w:t>
                  </w:r>
                  <w:r>
                    <w:rPr>
                      <w:rFonts w:ascii="Gotham Narrow Book"/>
                      <w:b w:val="0"/>
                      <w:spacing w:val="9"/>
                      <w:sz w:val="13"/>
                    </w:rPr>
                    <w:t> </w:t>
                  </w:r>
                  <w:r>
                    <w:rPr>
                      <w:rFonts w:ascii="Gotham Narrow Book"/>
                      <w:b w:val="0"/>
                      <w:spacing w:val="6"/>
                      <w:sz w:val="13"/>
                    </w:rPr>
                    <w:t>R</w:t>
                  </w:r>
                  <w:r>
                    <w:rPr>
                      <w:rFonts w:ascii="Gotham Narrow Book"/>
                      <w:b w:val="0"/>
                      <w:spacing w:val="5"/>
                      <w:sz w:val="13"/>
                    </w:rPr>
                    <w:t>E</w:t>
                  </w:r>
                  <w:r>
                    <w:rPr>
                      <w:rFonts w:ascii="Gotham Narrow Book"/>
                      <w:b w:val="0"/>
                      <w:spacing w:val="7"/>
                      <w:sz w:val="13"/>
                    </w:rPr>
                    <w:t>PO</w:t>
                  </w:r>
                  <w:r>
                    <w:rPr>
                      <w:rFonts w:ascii="Gotham Narrow Book"/>
                      <w:b w:val="0"/>
                      <w:spacing w:val="5"/>
                      <w:w w:val="100"/>
                      <w:sz w:val="13"/>
                    </w:rPr>
                    <w:t>R</w:t>
                  </w:r>
                  <w:r>
                    <w:rPr>
                      <w:rFonts w:ascii="Gotham Narrow Book"/>
                      <w:b w:val="0"/>
                      <w:w w:val="100"/>
                      <w:sz w:val="13"/>
                    </w:rPr>
                    <w:t>T</w:t>
                  </w:r>
                  <w:r>
                    <w:rPr>
                      <w:rFonts w:ascii="Gotham Narrow Book"/>
                      <w:b w:val="0"/>
                      <w:spacing w:val="9"/>
                      <w:sz w:val="13"/>
                    </w:rPr>
                    <w:t> </w:t>
                  </w:r>
                  <w:r>
                    <w:rPr>
                      <w:rFonts w:ascii="Gotham Narrow Book"/>
                      <w:b w:val="0"/>
                      <w:spacing w:val="5"/>
                      <w:w w:val="100"/>
                      <w:sz w:val="13"/>
                    </w:rPr>
                    <w:t>2</w:t>
                  </w:r>
                  <w:r>
                    <w:rPr>
                      <w:rFonts w:ascii="Gotham Narrow Book"/>
                      <w:b w:val="0"/>
                      <w:spacing w:val="5"/>
                      <w:w w:val="99"/>
                      <w:sz w:val="13"/>
                    </w:rPr>
                    <w:t>0</w:t>
                  </w:r>
                  <w:r>
                    <w:rPr>
                      <w:rFonts w:ascii="Gotham Narrow Book"/>
                      <w:b w:val="0"/>
                      <w:spacing w:val="7"/>
                      <w:w w:val="99"/>
                      <w:sz w:val="13"/>
                    </w:rPr>
                    <w:t>1</w:t>
                  </w:r>
                  <w:r>
                    <w:rPr>
                      <w:rFonts w:ascii="Gotham Narrow Book"/>
                      <w:b w:val="0"/>
                      <w:sz w:val="13"/>
                    </w:rPr>
                    <w:t>6</w:t>
                  </w:r>
                </w:p>
              </w:txbxContent>
            </v:textbox>
            <w10:wrap type="none"/>
          </v:shape>
        </w:pict>
      </w:r>
      <w:r>
        <w:rPr/>
        <w:pict>
          <v:shape style="position:absolute;margin-left:26.107117pt;margin-top:44.354301pt;width:8.5pt;height:67pt;mso-position-horizontal-relative:page;mso-position-vertical-relative:page;z-index:3280" type="#_x0000_t202" filled="false" stroked="false">
            <v:textbox inset="0,0,0,0" style="layout-flow:vertical">
              <w:txbxContent>
                <w:p>
                  <w:pPr>
                    <w:spacing w:before="0"/>
                    <w:ind w:left="20" w:right="-1161" w:firstLine="0"/>
                    <w:jc w:val="left"/>
                    <w:rPr>
                      <w:rFonts w:ascii="Gotham Narrow Book"/>
                      <w:b w:val="0"/>
                      <w:sz w:val="13"/>
                    </w:rPr>
                  </w:pPr>
                  <w:r>
                    <w:rPr>
                      <w:rFonts w:ascii="Gotham Narrow Book"/>
                      <w:b w:val="0"/>
                      <w:sz w:val="13"/>
                    </w:rPr>
                    <w:t>w</w:t>
                  </w:r>
                  <w:r>
                    <w:rPr>
                      <w:rFonts w:ascii="Gotham Narrow Book"/>
                      <w:b w:val="0"/>
                      <w:spacing w:val="3"/>
                      <w:w w:val="99"/>
                      <w:sz w:val="13"/>
                    </w:rPr>
                    <w:t>e</w:t>
                  </w:r>
                  <w:r>
                    <w:rPr>
                      <w:rFonts w:ascii="Gotham Narrow Book"/>
                      <w:b w:val="0"/>
                      <w:spacing w:val="3"/>
                      <w:sz w:val="13"/>
                    </w:rPr>
                    <w:t>s</w:t>
                  </w:r>
                  <w:r>
                    <w:rPr>
                      <w:rFonts w:ascii="Gotham Narrow Book"/>
                      <w:b w:val="0"/>
                      <w:w w:val="99"/>
                      <w:sz w:val="13"/>
                    </w:rPr>
                    <w:t>t</w:t>
                  </w:r>
                  <w:r>
                    <w:rPr>
                      <w:rFonts w:ascii="Gotham Narrow Book"/>
                      <w:b w:val="0"/>
                      <w:spacing w:val="3"/>
                      <w:w w:val="99"/>
                      <w:sz w:val="13"/>
                    </w:rPr>
                    <w:t>e</w:t>
                  </w:r>
                  <w:r>
                    <w:rPr>
                      <w:rFonts w:ascii="Gotham Narrow Book"/>
                      <w:b w:val="0"/>
                      <w:spacing w:val="2"/>
                      <w:w w:val="99"/>
                      <w:sz w:val="13"/>
                    </w:rPr>
                    <w:t>r</w:t>
                  </w:r>
                  <w:r>
                    <w:rPr>
                      <w:rFonts w:ascii="Gotham Narrow Book"/>
                      <w:b w:val="0"/>
                      <w:spacing w:val="3"/>
                      <w:w w:val="100"/>
                      <w:sz w:val="13"/>
                    </w:rPr>
                    <w:t>ns</w:t>
                  </w:r>
                  <w:r>
                    <w:rPr>
                      <w:rFonts w:ascii="Gotham Narrow Book"/>
                      <w:b w:val="0"/>
                      <w:w w:val="100"/>
                      <w:sz w:val="13"/>
                    </w:rPr>
                    <w:t>y</w:t>
                  </w:r>
                  <w:r>
                    <w:rPr>
                      <w:rFonts w:ascii="Gotham Narrow Book"/>
                      <w:b w:val="0"/>
                      <w:spacing w:val="2"/>
                      <w:sz w:val="13"/>
                    </w:rPr>
                    <w:t>d</w:t>
                  </w:r>
                  <w:r>
                    <w:rPr>
                      <w:rFonts w:ascii="Gotham Narrow Book"/>
                      <w:b w:val="0"/>
                      <w:spacing w:val="3"/>
                      <w:sz w:val="13"/>
                    </w:rPr>
                    <w:t>n</w:t>
                  </w:r>
                  <w:r>
                    <w:rPr>
                      <w:rFonts w:ascii="Gotham Narrow Book"/>
                      <w:b w:val="0"/>
                      <w:w w:val="99"/>
                      <w:sz w:val="13"/>
                    </w:rPr>
                    <w:t>e</w:t>
                  </w:r>
                  <w:r>
                    <w:rPr>
                      <w:rFonts w:ascii="Gotham Narrow Book"/>
                      <w:b w:val="0"/>
                      <w:spacing w:val="-3"/>
                      <w:w w:val="100"/>
                      <w:sz w:val="13"/>
                    </w:rPr>
                    <w:t>y</w:t>
                  </w:r>
                  <w:r>
                    <w:rPr>
                      <w:rFonts w:ascii="Gotham Narrow Book"/>
                      <w:b w:val="0"/>
                      <w:spacing w:val="2"/>
                      <w:w w:val="99"/>
                      <w:sz w:val="13"/>
                    </w:rPr>
                    <w:t>.</w:t>
                  </w:r>
                  <w:r>
                    <w:rPr>
                      <w:rFonts w:ascii="Gotham Narrow Book"/>
                      <w:b w:val="0"/>
                      <w:spacing w:val="3"/>
                      <w:w w:val="99"/>
                      <w:sz w:val="13"/>
                    </w:rPr>
                    <w:t>e</w:t>
                  </w:r>
                  <w:r>
                    <w:rPr>
                      <w:rFonts w:ascii="Gotham Narrow Book"/>
                      <w:b w:val="0"/>
                      <w:spacing w:val="3"/>
                      <w:sz w:val="13"/>
                    </w:rPr>
                    <w:t>du</w:t>
                  </w:r>
                  <w:r>
                    <w:rPr>
                      <w:rFonts w:ascii="Gotham Narrow Book"/>
                      <w:b w:val="0"/>
                      <w:spacing w:val="4"/>
                      <w:w w:val="99"/>
                      <w:sz w:val="13"/>
                    </w:rPr>
                    <w:t>.</w:t>
                  </w:r>
                  <w:r>
                    <w:rPr>
                      <w:rFonts w:ascii="Gotham Narrow Book"/>
                      <w:b w:val="0"/>
                      <w:spacing w:val="3"/>
                      <w:sz w:val="13"/>
                    </w:rPr>
                    <w:t>au</w:t>
                  </w:r>
                </w:p>
              </w:txbxContent>
            </v:textbox>
            <w10:wrap type="none"/>
          </v:shape>
        </w:pict>
      </w:r>
      <w:r>
        <w:rPr/>
        <w:pict>
          <v:shape style="position:absolute;margin-left:26.107117pt;margin-top:543.062195pt;width:8.5pt;height:8.0500pt;mso-position-horizontal-relative:page;mso-position-vertical-relative:page;z-index:3304" type="#_x0000_t202" filled="false" stroked="false">
            <v:textbox inset="0,0,0,0" style="layout-flow:vertical">
              <w:txbxContent>
                <w:p>
                  <w:pPr>
                    <w:spacing w:before="0"/>
                    <w:ind w:left="20" w:right="-404" w:firstLine="0"/>
                    <w:jc w:val="left"/>
                    <w:rPr>
                      <w:rFonts w:ascii="Gotham Narrow Book"/>
                      <w:b w:val="0"/>
                      <w:sz w:val="13"/>
                    </w:rPr>
                  </w:pPr>
                  <w:r>
                    <w:rPr>
                      <w:rFonts w:ascii="Gotham Narrow Book"/>
                      <w:b w:val="0"/>
                      <w:spacing w:val="3"/>
                      <w:w w:val="99"/>
                      <w:sz w:val="13"/>
                    </w:rPr>
                    <w:t>91</w:t>
                  </w:r>
                </w:p>
              </w:txbxContent>
            </v:textbox>
            <w10:wrap type="none"/>
          </v:shape>
        </w:pict>
      </w:r>
    </w:p>
    <w:p>
      <w:pPr>
        <w:spacing w:after="0"/>
        <w:rPr>
          <w:sz w:val="2"/>
          <w:szCs w:val="2"/>
        </w:rPr>
        <w:sectPr>
          <w:type w:val="continuous"/>
          <w:pgSz w:w="16840" w:h="11910" w:orient="landscape"/>
          <w:pgMar w:top="1580" w:bottom="280" w:left="780" w:right="800"/>
        </w:sectPr>
      </w:pPr>
    </w:p>
    <w:p>
      <w:pPr>
        <w:pStyle w:val="BodyText"/>
        <w:rPr>
          <w:sz w:val="20"/>
        </w:rPr>
      </w:pPr>
    </w:p>
    <w:p>
      <w:pPr>
        <w:pStyle w:val="BodyText"/>
        <w:rPr>
          <w:sz w:val="20"/>
        </w:rPr>
      </w:pPr>
    </w:p>
    <w:p>
      <w:pPr>
        <w:pStyle w:val="BodyText"/>
        <w:spacing w:before="11"/>
        <w:rPr>
          <w:sz w:val="26"/>
        </w:rPr>
      </w:pPr>
    </w:p>
    <w:p>
      <w:pPr>
        <w:pStyle w:val="Heading1"/>
        <w:ind w:left="353" w:right="0"/>
      </w:pPr>
      <w:bookmarkStart w:name="_TOC_250000" w:id="54"/>
      <w:bookmarkEnd w:id="54"/>
      <w:r>
        <w:rPr>
          <w:w w:val="95"/>
        </w:rPr>
        <w:t>APPENDIX 13</w:t>
      </w:r>
    </w:p>
    <w:p>
      <w:pPr>
        <w:pStyle w:val="BodyText"/>
        <w:spacing w:before="5"/>
        <w:rPr>
          <w:rFonts w:ascii="Gotham Narrow Bold"/>
          <w:b/>
          <w:sz w:val="23"/>
        </w:rPr>
      </w:pPr>
    </w:p>
    <w:p>
      <w:pPr>
        <w:pStyle w:val="Heading5"/>
        <w:spacing w:before="58"/>
        <w:ind w:left="353"/>
      </w:pPr>
      <w:r>
        <w:rPr>
          <w:w w:val="95"/>
        </w:rPr>
        <w:t>WESTERN SYDNEY UNIVERSITY ORGANISATIONAL STRUCTURE</w:t>
      </w:r>
    </w:p>
    <w:p>
      <w:pPr>
        <w:spacing w:before="54"/>
        <w:ind w:left="410" w:right="0" w:firstLine="0"/>
        <w:jc w:val="left"/>
        <w:rPr>
          <w:sz w:val="18"/>
        </w:rPr>
      </w:pPr>
      <w:r>
        <w:rPr>
          <w:w w:val="95"/>
          <w:sz w:val="18"/>
        </w:rPr>
        <w:t>October 2016</w:t>
      </w:r>
    </w:p>
    <w:p>
      <w:pPr>
        <w:pStyle w:val="BodyText"/>
        <w:spacing w:before="4"/>
        <w:rPr>
          <w:sz w:val="19"/>
        </w:rPr>
      </w:pPr>
      <w:r>
        <w:rPr/>
        <w:pict>
          <v:shape style="position:absolute;margin-left:356.143005pt;margin-top:12.910012pt;width:129.85pt;height:21.2pt;mso-position-horizontal-relative:page;mso-position-vertical-relative:paragraph;z-index:3328;mso-wrap-distance-left:0;mso-wrap-distance-right:0" type="#_x0000_t202" filled="true" fillcolor="#949290" stroked="false">
            <v:textbox inset="0,0,0,0">
              <w:txbxContent>
                <w:p>
                  <w:pPr>
                    <w:spacing w:before="90"/>
                    <w:ind w:left="218" w:right="0" w:firstLine="0"/>
                    <w:jc w:val="left"/>
                    <w:rPr>
                      <w:rFonts w:ascii="Gotham Narrow Bold"/>
                      <w:b/>
                      <w:sz w:val="22"/>
                    </w:rPr>
                  </w:pPr>
                  <w:r>
                    <w:rPr>
                      <w:rFonts w:ascii="Gotham Narrow Bold"/>
                      <w:b/>
                      <w:color w:val="FFFFFF"/>
                      <w:w w:val="95"/>
                      <w:sz w:val="22"/>
                    </w:rPr>
                    <w:t>BOARD OF TRUSTEES</w:t>
                  </w:r>
                </w:p>
              </w:txbxContent>
            </v:textbox>
            <v:fill type="solid"/>
            <w10:wrap type="topAndBottom"/>
          </v:shape>
        </w:pict>
      </w:r>
    </w:p>
    <w:p>
      <w:pPr>
        <w:pStyle w:val="BodyText"/>
        <w:spacing w:before="4"/>
        <w:rPr>
          <w:sz w:val="12"/>
        </w:rPr>
      </w:pPr>
    </w:p>
    <w:p>
      <w:pPr>
        <w:spacing w:after="0"/>
        <w:rPr>
          <w:sz w:val="12"/>
        </w:rPr>
        <w:sectPr>
          <w:headerReference w:type="even" r:id="rId77"/>
          <w:footerReference w:type="even" r:id="rId78"/>
          <w:pgSz w:w="16840" w:h="11910" w:orient="landscape"/>
          <w:pgMar w:header="0" w:footer="0" w:top="0" w:bottom="280" w:left="780" w:right="800"/>
        </w:sectPr>
      </w:pPr>
    </w:p>
    <w:p>
      <w:pPr>
        <w:pStyle w:val="Heading7"/>
        <w:spacing w:line="256" w:lineRule="auto" w:before="78"/>
        <w:ind w:left="6746" w:right="-16" w:hanging="225"/>
      </w:pPr>
      <w:r>
        <w:rPr/>
        <w:t>Vice-Chancellor and</w:t>
      </w:r>
      <w:r>
        <w:rPr>
          <w:spacing w:val="-32"/>
        </w:rPr>
        <w:t> </w:t>
      </w:r>
      <w:r>
        <w:rPr/>
        <w:t>President Professor</w:t>
      </w:r>
      <w:r>
        <w:rPr>
          <w:spacing w:val="-18"/>
        </w:rPr>
        <w:t> </w:t>
      </w:r>
      <w:r>
        <w:rPr/>
        <w:t>Barney</w:t>
      </w:r>
      <w:r>
        <w:rPr>
          <w:spacing w:val="-18"/>
        </w:rPr>
        <w:t> </w:t>
      </w:r>
      <w:r>
        <w:rPr/>
        <w:t>Glover</w:t>
      </w:r>
    </w:p>
    <w:p>
      <w:pPr>
        <w:pStyle w:val="BodyText"/>
        <w:spacing w:before="10"/>
        <w:rPr>
          <w:rFonts w:ascii="Gotham Narrow Bold"/>
          <w:b/>
          <w:sz w:val="15"/>
        </w:rPr>
      </w:pPr>
      <w:r>
        <w:rPr/>
        <w:br w:type="column"/>
      </w:r>
      <w:r>
        <w:rPr>
          <w:rFonts w:ascii="Gotham Narrow Bold"/>
          <w:b/>
          <w:sz w:val="15"/>
        </w:rPr>
      </w:r>
    </w:p>
    <w:p>
      <w:pPr>
        <w:spacing w:before="0"/>
        <w:ind w:left="1063" w:right="0" w:firstLine="0"/>
        <w:jc w:val="left"/>
        <w:rPr>
          <w:rFonts w:ascii="Gotham Narrow Bold" w:hAnsi="Gotham Narrow Bold"/>
          <w:b/>
          <w:sz w:val="14"/>
        </w:rPr>
      </w:pPr>
      <w:r>
        <w:rPr>
          <w:rFonts w:ascii="Gotham Narrow Bold" w:hAnsi="Gotham Narrow Bold"/>
          <w:b/>
          <w:w w:val="95"/>
          <w:sz w:val="14"/>
        </w:rPr>
        <w:t>Oﬃce of the Vice-Chancellor</w:t>
      </w:r>
    </w:p>
    <w:p>
      <w:pPr>
        <w:spacing w:after="0"/>
        <w:jc w:val="left"/>
        <w:rPr>
          <w:rFonts w:ascii="Gotham Narrow Bold" w:hAnsi="Gotham Narrow Bold"/>
          <w:sz w:val="14"/>
        </w:rPr>
        <w:sectPr>
          <w:type w:val="continuous"/>
          <w:pgSz w:w="16840" w:h="11910" w:orient="landscape"/>
          <w:pgMar w:top="1580" w:bottom="280" w:left="780" w:right="800"/>
          <w:cols w:num="2" w:equalWidth="0">
            <w:col w:w="8756" w:space="40"/>
            <w:col w:w="6464"/>
          </w:cols>
        </w:sectPr>
      </w:pPr>
    </w:p>
    <w:p>
      <w:pPr>
        <w:pStyle w:val="BodyText"/>
        <w:rPr>
          <w:rFonts w:ascii="Gotham Narrow Bold"/>
          <w:b/>
          <w:sz w:val="20"/>
        </w:rPr>
      </w:pPr>
    </w:p>
    <w:p>
      <w:pPr>
        <w:pStyle w:val="BodyText"/>
        <w:spacing w:before="7"/>
        <w:rPr>
          <w:rFonts w:ascii="Gotham Narrow Bold"/>
          <w:b/>
          <w:sz w:val="22"/>
        </w:rPr>
      </w:pPr>
    </w:p>
    <w:p>
      <w:pPr>
        <w:spacing w:after="0"/>
        <w:rPr>
          <w:rFonts w:ascii="Gotham Narrow Bold"/>
          <w:sz w:val="22"/>
        </w:rPr>
        <w:sectPr>
          <w:type w:val="continuous"/>
          <w:pgSz w:w="16840" w:h="11910" w:orient="landscape"/>
          <w:pgMar w:top="1580" w:bottom="280" w:left="780" w:right="800"/>
        </w:sectPr>
      </w:pPr>
    </w:p>
    <w:p>
      <w:pPr>
        <w:pStyle w:val="BodyText"/>
        <w:rPr>
          <w:rFonts w:ascii="Gotham Narrow Bold"/>
          <w:b/>
          <w:sz w:val="12"/>
        </w:rPr>
      </w:pPr>
    </w:p>
    <w:p>
      <w:pPr>
        <w:spacing w:line="278" w:lineRule="auto" w:before="0"/>
        <w:ind w:left="512" w:right="-11" w:firstLine="233"/>
        <w:jc w:val="left"/>
        <w:rPr>
          <w:rFonts w:ascii="Gotham Narrow Bold"/>
          <w:b/>
          <w:sz w:val="14"/>
        </w:rPr>
      </w:pPr>
      <w:r>
        <w:rPr>
          <w:rFonts w:ascii="Gotham Narrow Bold"/>
          <w:b/>
          <w:sz w:val="14"/>
        </w:rPr>
        <w:t>Deputy Vice-Chancellor </w:t>
      </w:r>
      <w:r>
        <w:rPr>
          <w:rFonts w:ascii="Gotham Narrow Bold"/>
          <w:b/>
          <w:w w:val="95"/>
          <w:sz w:val="14"/>
        </w:rPr>
        <w:t>and Vice-President (Academic)</w:t>
      </w:r>
    </w:p>
    <w:p>
      <w:pPr>
        <w:spacing w:before="0"/>
        <w:ind w:left="599" w:right="-11" w:firstLine="0"/>
        <w:jc w:val="left"/>
        <w:rPr>
          <w:rFonts w:ascii="Gotham Narrow Bold"/>
          <w:b/>
          <w:sz w:val="14"/>
        </w:rPr>
      </w:pPr>
      <w:r>
        <w:rPr>
          <w:rFonts w:ascii="Gotham Narrow Bold"/>
          <w:b/>
          <w:w w:val="95"/>
          <w:sz w:val="14"/>
        </w:rPr>
        <w:t>Professor Denise Kirkpatrick</w:t>
      </w:r>
    </w:p>
    <w:p>
      <w:pPr>
        <w:spacing w:line="242" w:lineRule="auto" w:before="84"/>
        <w:ind w:left="683" w:right="168" w:firstLine="0"/>
        <w:jc w:val="center"/>
        <w:rPr>
          <w:rFonts w:ascii="Gotham Narrow Bold"/>
          <w:b/>
          <w:sz w:val="14"/>
        </w:rPr>
      </w:pPr>
      <w:r>
        <w:rPr/>
        <w:br w:type="column"/>
      </w:r>
      <w:r>
        <w:rPr>
          <w:rFonts w:ascii="Gotham Narrow Bold"/>
          <w:b/>
          <w:w w:val="95"/>
          <w:sz w:val="14"/>
        </w:rPr>
        <w:t>Deputy Vice-Chancellor and Vice-President</w:t>
      </w:r>
    </w:p>
    <w:p>
      <w:pPr>
        <w:spacing w:line="242" w:lineRule="auto" w:before="0"/>
        <w:ind w:left="512" w:right="0" w:firstLine="0"/>
        <w:jc w:val="center"/>
        <w:rPr>
          <w:rFonts w:ascii="Gotham Narrow Bold"/>
          <w:b/>
          <w:sz w:val="14"/>
        </w:rPr>
      </w:pPr>
      <w:r>
        <w:rPr>
          <w:rFonts w:ascii="Gotham Narrow Bold"/>
          <w:b/>
          <w:w w:val="95"/>
          <w:sz w:val="14"/>
        </w:rPr>
        <w:t>(Research and Development) Professor Scott Holmes</w:t>
      </w:r>
    </w:p>
    <w:p>
      <w:pPr>
        <w:spacing w:before="76"/>
        <w:ind w:left="754" w:right="-17" w:firstLine="90"/>
        <w:jc w:val="left"/>
        <w:rPr>
          <w:sz w:val="14"/>
        </w:rPr>
      </w:pPr>
      <w:r>
        <w:rPr/>
        <w:br w:type="column"/>
      </w:r>
      <w:r>
        <w:rPr>
          <w:sz w:val="14"/>
        </w:rPr>
        <w:t>School of Business</w:t>
      </w:r>
    </w:p>
    <w:p>
      <w:pPr>
        <w:pStyle w:val="BodyText"/>
        <w:rPr>
          <w:sz w:val="14"/>
        </w:rPr>
      </w:pPr>
    </w:p>
    <w:p>
      <w:pPr>
        <w:pStyle w:val="BodyText"/>
        <w:rPr>
          <w:sz w:val="14"/>
        </w:rPr>
      </w:pPr>
    </w:p>
    <w:p>
      <w:pPr>
        <w:pStyle w:val="BodyText"/>
        <w:rPr>
          <w:sz w:val="14"/>
        </w:rPr>
      </w:pPr>
    </w:p>
    <w:p>
      <w:pPr>
        <w:spacing w:line="164" w:lineRule="exact" w:before="101"/>
        <w:ind w:left="512" w:right="-17" w:firstLine="242"/>
        <w:jc w:val="left"/>
        <w:rPr>
          <w:sz w:val="14"/>
        </w:rPr>
      </w:pPr>
      <w:r>
        <w:rPr>
          <w:sz w:val="14"/>
        </w:rPr>
        <w:t>School of Computing, Engineering</w:t>
      </w:r>
      <w:r>
        <w:rPr>
          <w:spacing w:val="-21"/>
          <w:sz w:val="14"/>
        </w:rPr>
        <w:t> </w:t>
      </w:r>
      <w:r>
        <w:rPr>
          <w:sz w:val="14"/>
        </w:rPr>
        <w:t>and</w:t>
      </w:r>
      <w:r>
        <w:rPr>
          <w:spacing w:val="-21"/>
          <w:sz w:val="14"/>
        </w:rPr>
        <w:t> </w:t>
      </w:r>
      <w:r>
        <w:rPr>
          <w:sz w:val="14"/>
        </w:rPr>
        <w:t>Mathematics</w:t>
      </w:r>
    </w:p>
    <w:p>
      <w:pPr>
        <w:pStyle w:val="BodyText"/>
        <w:spacing w:before="11"/>
        <w:rPr>
          <w:sz w:val="11"/>
        </w:rPr>
      </w:pPr>
      <w:r>
        <w:rPr/>
        <w:br w:type="column"/>
      </w:r>
      <w:r>
        <w:rPr>
          <w:sz w:val="11"/>
        </w:rPr>
      </w:r>
    </w:p>
    <w:p>
      <w:pPr>
        <w:spacing w:line="278" w:lineRule="auto" w:before="1"/>
        <w:ind w:left="512" w:right="-14" w:firstLine="308"/>
        <w:jc w:val="left"/>
        <w:rPr>
          <w:rFonts w:ascii="Gotham Narrow Bold"/>
          <w:b/>
          <w:sz w:val="14"/>
        </w:rPr>
      </w:pPr>
      <w:r>
        <w:rPr>
          <w:rFonts w:ascii="Gotham Narrow Bold"/>
          <w:b/>
          <w:sz w:val="14"/>
        </w:rPr>
        <w:t>Vice-President </w:t>
      </w:r>
      <w:r>
        <w:rPr>
          <w:rFonts w:ascii="Gotham Narrow Bold"/>
          <w:b/>
          <w:w w:val="95"/>
          <w:sz w:val="14"/>
        </w:rPr>
        <w:t>(Finance and Resources)</w:t>
      </w:r>
    </w:p>
    <w:p>
      <w:pPr>
        <w:spacing w:before="0"/>
        <w:ind w:left="708" w:right="-14" w:firstLine="0"/>
        <w:jc w:val="left"/>
        <w:rPr>
          <w:rFonts w:ascii="Gotham Narrow Bold"/>
          <w:b/>
          <w:sz w:val="14"/>
        </w:rPr>
      </w:pPr>
      <w:r>
        <w:rPr>
          <w:rFonts w:ascii="Gotham Narrow Bold"/>
          <w:b/>
          <w:w w:val="95"/>
          <w:sz w:val="14"/>
        </w:rPr>
        <w:t>Mr Peter Pickering</w:t>
      </w:r>
    </w:p>
    <w:p>
      <w:pPr>
        <w:pStyle w:val="BodyText"/>
        <w:rPr>
          <w:rFonts w:ascii="Gotham Narrow Bold"/>
          <w:b/>
          <w:sz w:val="12"/>
        </w:rPr>
      </w:pPr>
      <w:r>
        <w:rPr/>
        <w:br w:type="column"/>
      </w:r>
      <w:r>
        <w:rPr>
          <w:rFonts w:ascii="Gotham Narrow Bold"/>
          <w:b/>
          <w:sz w:val="12"/>
        </w:rPr>
      </w:r>
    </w:p>
    <w:p>
      <w:pPr>
        <w:spacing w:line="278" w:lineRule="auto" w:before="0"/>
        <w:ind w:left="512" w:right="607" w:firstLine="396"/>
        <w:jc w:val="left"/>
        <w:rPr>
          <w:rFonts w:ascii="Gotham Narrow Bold"/>
          <w:b/>
          <w:sz w:val="14"/>
        </w:rPr>
      </w:pPr>
      <w:r>
        <w:rPr>
          <w:rFonts w:ascii="Gotham Narrow Bold"/>
          <w:b/>
          <w:sz w:val="14"/>
        </w:rPr>
        <w:t>Vice-President </w:t>
      </w:r>
      <w:r>
        <w:rPr>
          <w:rFonts w:ascii="Gotham Narrow Bold"/>
          <w:b/>
          <w:w w:val="95"/>
          <w:sz w:val="14"/>
        </w:rPr>
        <w:t>(People and Advancement)</w:t>
      </w:r>
    </w:p>
    <w:p>
      <w:pPr>
        <w:spacing w:before="0"/>
        <w:ind w:left="807" w:right="607" w:firstLine="0"/>
        <w:jc w:val="left"/>
        <w:rPr>
          <w:rFonts w:ascii="Gotham Narrow Bold"/>
          <w:b/>
          <w:sz w:val="14"/>
        </w:rPr>
      </w:pPr>
      <w:r>
        <w:rPr>
          <w:rFonts w:ascii="Gotham Narrow Bold"/>
          <w:b/>
          <w:w w:val="95"/>
          <w:sz w:val="14"/>
        </w:rPr>
        <w:t>Mr Angelo Kourtis</w:t>
      </w:r>
    </w:p>
    <w:p>
      <w:pPr>
        <w:spacing w:after="0"/>
        <w:jc w:val="left"/>
        <w:rPr>
          <w:rFonts w:ascii="Gotham Narrow Bold"/>
          <w:sz w:val="14"/>
        </w:rPr>
        <w:sectPr>
          <w:type w:val="continuous"/>
          <w:pgSz w:w="16840" w:h="11910" w:orient="landscape"/>
          <w:pgMar w:top="1580" w:bottom="280" w:left="780" w:right="800"/>
          <w:cols w:num="5" w:equalWidth="0">
            <w:col w:w="2463" w:space="654"/>
            <w:col w:w="2338" w:space="780"/>
            <w:col w:w="2296" w:space="948"/>
            <w:col w:w="2051" w:space="891"/>
            <w:col w:w="2839"/>
          </w:cols>
        </w:sectPr>
      </w:pPr>
    </w:p>
    <w:p>
      <w:pPr>
        <w:pStyle w:val="BodyText"/>
        <w:spacing w:before="9"/>
        <w:rPr>
          <w:rFonts w:ascii="Gotham Narrow Bold"/>
          <w:b/>
          <w:sz w:val="12"/>
        </w:rPr>
      </w:pPr>
    </w:p>
    <w:p>
      <w:pPr>
        <w:spacing w:before="0"/>
        <w:ind w:left="787" w:right="297" w:hanging="199"/>
        <w:jc w:val="left"/>
        <w:rPr>
          <w:sz w:val="14"/>
        </w:rPr>
      </w:pPr>
      <w:r>
        <w:rPr>
          <w:rFonts w:ascii="Century Gothic" w:hAnsi="Century Gothic"/>
          <w:b/>
          <w:w w:val="120"/>
          <w:sz w:val="14"/>
        </w:rPr>
        <w:t>≥ </w:t>
      </w:r>
      <w:r>
        <w:rPr>
          <w:w w:val="105"/>
          <w:sz w:val="14"/>
        </w:rPr>
        <w:t>Office of the Deputy Vice-Chancellor &amp; Vice-President (Academic)</w:t>
      </w:r>
    </w:p>
    <w:p>
      <w:pPr>
        <w:spacing w:before="85"/>
        <w:ind w:left="787" w:right="-14" w:hanging="199"/>
        <w:jc w:val="left"/>
        <w:rPr>
          <w:sz w:val="14"/>
        </w:rPr>
      </w:pPr>
      <w:r>
        <w:rPr>
          <w:rFonts w:ascii="Century Gothic" w:hAnsi="Century Gothic"/>
          <w:b/>
          <w:w w:val="120"/>
          <w:sz w:val="14"/>
        </w:rPr>
        <w:t>≥ </w:t>
      </w:r>
      <w:r>
        <w:rPr>
          <w:w w:val="110"/>
          <w:sz w:val="14"/>
        </w:rPr>
        <w:t>Pro Vice-Chancellor (International)</w:t>
      </w:r>
    </w:p>
    <w:p>
      <w:pPr>
        <w:spacing w:before="85"/>
        <w:ind w:left="787" w:right="-14" w:hanging="199"/>
        <w:jc w:val="left"/>
        <w:rPr>
          <w:sz w:val="14"/>
        </w:rPr>
      </w:pPr>
      <w:r>
        <w:rPr>
          <w:rFonts w:ascii="Century Gothic" w:hAnsi="Century Gothic"/>
          <w:b/>
          <w:w w:val="120"/>
          <w:sz w:val="14"/>
        </w:rPr>
        <w:t>≥ </w:t>
      </w:r>
      <w:r>
        <w:rPr>
          <w:w w:val="110"/>
          <w:sz w:val="14"/>
        </w:rPr>
        <w:t>Pro Vice-Chancellor </w:t>
      </w:r>
      <w:r>
        <w:rPr>
          <w:sz w:val="14"/>
        </w:rPr>
        <w:t>(Digital Futures)</w:t>
      </w:r>
    </w:p>
    <w:p>
      <w:pPr>
        <w:spacing w:before="85"/>
        <w:ind w:left="787" w:right="-14" w:hanging="199"/>
        <w:jc w:val="left"/>
        <w:rPr>
          <w:sz w:val="14"/>
        </w:rPr>
      </w:pPr>
      <w:r>
        <w:rPr>
          <w:rFonts w:ascii="Century Gothic" w:hAnsi="Century Gothic"/>
          <w:b/>
          <w:w w:val="120"/>
          <w:sz w:val="14"/>
        </w:rPr>
        <w:t>≥ </w:t>
      </w:r>
      <w:r>
        <w:rPr>
          <w:w w:val="110"/>
          <w:sz w:val="14"/>
        </w:rPr>
        <w:t>Pro Vice-Chancellor (Learning Transformations)</w:t>
      </w:r>
    </w:p>
    <w:p>
      <w:pPr>
        <w:spacing w:before="85"/>
        <w:ind w:left="787" w:right="-14" w:hanging="199"/>
        <w:jc w:val="left"/>
        <w:rPr>
          <w:sz w:val="14"/>
        </w:rPr>
      </w:pPr>
      <w:r>
        <w:rPr>
          <w:rFonts w:ascii="Century Gothic" w:hAnsi="Century Gothic"/>
          <w:b/>
          <w:w w:val="120"/>
          <w:sz w:val="14"/>
        </w:rPr>
        <w:t>≥ </w:t>
      </w:r>
      <w:r>
        <w:rPr>
          <w:w w:val="105"/>
          <w:sz w:val="14"/>
        </w:rPr>
        <w:t>Pro Vice-Chancellor (Engagement &amp; Aboriginal</w:t>
      </w:r>
      <w:r>
        <w:rPr>
          <w:spacing w:val="-31"/>
          <w:w w:val="105"/>
          <w:sz w:val="14"/>
        </w:rPr>
        <w:t> </w:t>
      </w:r>
      <w:r>
        <w:rPr>
          <w:w w:val="105"/>
          <w:sz w:val="14"/>
        </w:rPr>
        <w:t>&amp;</w:t>
      </w:r>
      <w:r>
        <w:rPr>
          <w:spacing w:val="-31"/>
          <w:w w:val="105"/>
          <w:sz w:val="14"/>
        </w:rPr>
        <w:t> </w:t>
      </w:r>
      <w:r>
        <w:rPr>
          <w:w w:val="105"/>
          <w:sz w:val="14"/>
        </w:rPr>
        <w:t>Torres</w:t>
      </w:r>
      <w:r>
        <w:rPr>
          <w:spacing w:val="-31"/>
          <w:w w:val="105"/>
          <w:sz w:val="14"/>
        </w:rPr>
        <w:t> </w:t>
      </w:r>
      <w:r>
        <w:rPr>
          <w:w w:val="105"/>
          <w:sz w:val="14"/>
        </w:rPr>
        <w:t>Strait </w:t>
      </w:r>
      <w:r>
        <w:rPr>
          <w:sz w:val="14"/>
        </w:rPr>
        <w:t>Islander</w:t>
      </w:r>
      <w:r>
        <w:rPr>
          <w:spacing w:val="-19"/>
          <w:sz w:val="14"/>
        </w:rPr>
        <w:t> </w:t>
      </w:r>
      <w:r>
        <w:rPr>
          <w:sz w:val="14"/>
        </w:rPr>
        <w:t>Leadership)</w:t>
      </w:r>
    </w:p>
    <w:p>
      <w:pPr>
        <w:spacing w:before="85"/>
        <w:ind w:left="787" w:right="297" w:hanging="199"/>
        <w:jc w:val="left"/>
        <w:rPr>
          <w:sz w:val="14"/>
        </w:rPr>
      </w:pPr>
      <w:r>
        <w:rPr>
          <w:rFonts w:ascii="Century Gothic" w:hAnsi="Century Gothic"/>
          <w:b/>
          <w:w w:val="120"/>
          <w:sz w:val="14"/>
        </w:rPr>
        <w:t>≥ </w:t>
      </w:r>
      <w:r>
        <w:rPr>
          <w:w w:val="105"/>
          <w:sz w:val="14"/>
        </w:rPr>
        <w:t>Office of Quality &amp; Performance</w:t>
      </w:r>
    </w:p>
    <w:p>
      <w:pPr>
        <w:spacing w:before="85"/>
        <w:ind w:left="589" w:right="297" w:firstLine="0"/>
        <w:jc w:val="left"/>
        <w:rPr>
          <w:sz w:val="14"/>
        </w:rPr>
      </w:pPr>
      <w:r>
        <w:rPr>
          <w:rFonts w:ascii="Century Gothic" w:hAnsi="Century Gothic"/>
          <w:b/>
          <w:w w:val="125"/>
          <w:sz w:val="14"/>
        </w:rPr>
        <w:t>≥ </w:t>
      </w:r>
      <w:r>
        <w:rPr>
          <w:w w:val="120"/>
          <w:sz w:val="14"/>
        </w:rPr>
        <w:t>Library</w:t>
      </w:r>
    </w:p>
    <w:p>
      <w:pPr>
        <w:spacing w:before="83"/>
        <w:ind w:left="589" w:right="297" w:firstLine="0"/>
        <w:jc w:val="left"/>
        <w:rPr>
          <w:sz w:val="14"/>
        </w:rPr>
      </w:pPr>
      <w:r>
        <w:rPr>
          <w:rFonts w:ascii="Century Gothic" w:hAnsi="Century Gothic"/>
          <w:b/>
          <w:w w:val="120"/>
          <w:sz w:val="14"/>
        </w:rPr>
        <w:t>≥ </w:t>
      </w:r>
      <w:r>
        <w:rPr>
          <w:w w:val="110"/>
          <w:sz w:val="14"/>
        </w:rPr>
        <w:t>The Academy</w:t>
      </w:r>
    </w:p>
    <w:p>
      <w:pPr>
        <w:spacing w:before="83"/>
        <w:ind w:left="589" w:right="297" w:firstLine="0"/>
        <w:jc w:val="left"/>
        <w:rPr>
          <w:sz w:val="14"/>
        </w:rPr>
      </w:pPr>
      <w:r>
        <w:rPr>
          <w:rFonts w:ascii="Century Gothic" w:hAnsi="Century Gothic"/>
          <w:b/>
          <w:w w:val="120"/>
          <w:sz w:val="14"/>
        </w:rPr>
        <w:t>≥ </w:t>
      </w:r>
      <w:r>
        <w:rPr>
          <w:w w:val="110"/>
          <w:sz w:val="14"/>
        </w:rPr>
        <w:t>Campus Provosts</w:t>
      </w:r>
    </w:p>
    <w:p>
      <w:pPr>
        <w:spacing w:before="83"/>
        <w:ind w:left="589" w:right="297" w:firstLine="0"/>
        <w:jc w:val="left"/>
        <w:rPr>
          <w:sz w:val="14"/>
        </w:rPr>
      </w:pPr>
      <w:r>
        <w:rPr>
          <w:rFonts w:ascii="Century Gothic" w:hAnsi="Century Gothic"/>
          <w:b/>
          <w:w w:val="120"/>
          <w:sz w:val="14"/>
        </w:rPr>
        <w:t>≥ </w:t>
      </w:r>
      <w:r>
        <w:rPr>
          <w:w w:val="110"/>
          <w:sz w:val="14"/>
        </w:rPr>
        <w:t>The College</w:t>
      </w:r>
    </w:p>
    <w:p>
      <w:pPr>
        <w:spacing w:before="83"/>
        <w:ind w:left="589" w:right="-2" w:firstLine="0"/>
        <w:jc w:val="left"/>
        <w:rPr>
          <w:sz w:val="14"/>
        </w:rPr>
      </w:pPr>
      <w:r>
        <w:rPr>
          <w:rFonts w:ascii="Century Gothic" w:hAnsi="Century Gothic"/>
          <w:b/>
          <w:w w:val="120"/>
          <w:sz w:val="14"/>
        </w:rPr>
        <w:t>≥</w:t>
      </w:r>
      <w:r>
        <w:rPr>
          <w:rFonts w:ascii="Century Gothic" w:hAnsi="Century Gothic"/>
          <w:b/>
          <w:spacing w:val="5"/>
          <w:w w:val="120"/>
          <w:sz w:val="14"/>
        </w:rPr>
        <w:t> </w:t>
      </w:r>
      <w:r>
        <w:rPr>
          <w:w w:val="105"/>
          <w:sz w:val="14"/>
        </w:rPr>
        <w:t>The</w:t>
      </w:r>
      <w:r>
        <w:rPr>
          <w:spacing w:val="-26"/>
          <w:w w:val="105"/>
          <w:sz w:val="14"/>
        </w:rPr>
        <w:t> </w:t>
      </w:r>
      <w:r>
        <w:rPr>
          <w:w w:val="105"/>
          <w:sz w:val="14"/>
        </w:rPr>
        <w:t>International</w:t>
      </w:r>
      <w:r>
        <w:rPr>
          <w:spacing w:val="-26"/>
          <w:w w:val="105"/>
          <w:sz w:val="14"/>
        </w:rPr>
        <w:t> </w:t>
      </w:r>
      <w:r>
        <w:rPr>
          <w:w w:val="105"/>
          <w:sz w:val="14"/>
        </w:rPr>
        <w:t>College</w:t>
      </w:r>
    </w:p>
    <w:p>
      <w:pPr>
        <w:spacing w:before="83"/>
        <w:ind w:left="589" w:right="297" w:firstLine="0"/>
        <w:jc w:val="left"/>
        <w:rPr>
          <w:sz w:val="14"/>
        </w:rPr>
      </w:pPr>
      <w:r>
        <w:rPr>
          <w:rFonts w:ascii="Century Gothic" w:hAnsi="Century Gothic"/>
          <w:b/>
          <w:w w:val="115"/>
          <w:sz w:val="14"/>
        </w:rPr>
        <w:t>≥ </w:t>
      </w:r>
      <w:r>
        <w:rPr>
          <w:w w:val="110"/>
          <w:sz w:val="14"/>
        </w:rPr>
        <w:t>Whitlam Institute</w:t>
      </w:r>
    </w:p>
    <w:p>
      <w:pPr>
        <w:pStyle w:val="BodyText"/>
        <w:spacing w:before="8"/>
        <w:rPr>
          <w:sz w:val="12"/>
        </w:rPr>
      </w:pPr>
      <w:r>
        <w:rPr/>
        <w:br w:type="column"/>
      </w:r>
      <w:r>
        <w:rPr>
          <w:sz w:val="12"/>
        </w:rPr>
      </w:r>
    </w:p>
    <w:p>
      <w:pPr>
        <w:spacing w:before="0"/>
        <w:ind w:left="787" w:right="5" w:hanging="199"/>
        <w:jc w:val="left"/>
        <w:rPr>
          <w:sz w:val="14"/>
        </w:rPr>
      </w:pPr>
      <w:r>
        <w:rPr>
          <w:rFonts w:ascii="Century Gothic" w:hAnsi="Century Gothic"/>
          <w:b/>
          <w:w w:val="120"/>
          <w:sz w:val="14"/>
        </w:rPr>
        <w:t>≥ </w:t>
      </w:r>
      <w:r>
        <w:rPr>
          <w:w w:val="105"/>
          <w:sz w:val="14"/>
        </w:rPr>
        <w:t>Office of the Deputy Vice- </w:t>
      </w:r>
      <w:r>
        <w:rPr>
          <w:sz w:val="14"/>
        </w:rPr>
        <w:t>Chancellor &amp;</w:t>
      </w:r>
    </w:p>
    <w:p>
      <w:pPr>
        <w:spacing w:before="1"/>
        <w:ind w:left="787" w:right="32" w:firstLine="0"/>
        <w:jc w:val="left"/>
        <w:rPr>
          <w:sz w:val="14"/>
        </w:rPr>
      </w:pPr>
      <w:r>
        <w:rPr>
          <w:sz w:val="14"/>
        </w:rPr>
        <w:t>Vice-President (Research &amp; Development)</w:t>
      </w:r>
    </w:p>
    <w:p>
      <w:pPr>
        <w:spacing w:before="85"/>
        <w:ind w:left="787" w:right="5" w:hanging="199"/>
        <w:jc w:val="left"/>
        <w:rPr>
          <w:sz w:val="14"/>
        </w:rPr>
      </w:pPr>
      <w:r>
        <w:rPr>
          <w:rFonts w:ascii="Century Gothic" w:hAnsi="Century Gothic"/>
          <w:b/>
          <w:w w:val="120"/>
          <w:sz w:val="14"/>
        </w:rPr>
        <w:t>≥ </w:t>
      </w:r>
      <w:r>
        <w:rPr>
          <w:w w:val="105"/>
          <w:sz w:val="14"/>
        </w:rPr>
        <w:t>Pro Vice-Chancellor </w:t>
      </w:r>
      <w:r>
        <w:rPr>
          <w:sz w:val="14"/>
        </w:rPr>
        <w:t>(Research &amp; Innovation)</w:t>
      </w:r>
    </w:p>
    <w:p>
      <w:pPr>
        <w:spacing w:before="85"/>
        <w:ind w:left="589" w:right="-4" w:firstLine="0"/>
        <w:jc w:val="left"/>
        <w:rPr>
          <w:sz w:val="14"/>
        </w:rPr>
      </w:pPr>
      <w:r>
        <w:rPr>
          <w:rFonts w:ascii="Century Gothic" w:hAnsi="Century Gothic"/>
          <w:b/>
          <w:w w:val="105"/>
          <w:sz w:val="14"/>
        </w:rPr>
        <w:t>≥ </w:t>
      </w:r>
      <w:r>
        <w:rPr>
          <w:w w:val="105"/>
          <w:sz w:val="14"/>
        </w:rPr>
        <w:t>Graduate Research School</w:t>
      </w:r>
    </w:p>
    <w:p>
      <w:pPr>
        <w:spacing w:before="83"/>
        <w:ind w:left="787" w:right="-8" w:hanging="199"/>
        <w:jc w:val="left"/>
        <w:rPr>
          <w:sz w:val="14"/>
        </w:rPr>
      </w:pPr>
      <w:r>
        <w:rPr>
          <w:rFonts w:ascii="Century Gothic" w:hAnsi="Century Gothic"/>
          <w:b/>
          <w:w w:val="120"/>
          <w:sz w:val="14"/>
        </w:rPr>
        <w:t>≥ </w:t>
      </w:r>
      <w:r>
        <w:rPr>
          <w:sz w:val="14"/>
        </w:rPr>
        <w:t>Research, </w:t>
      </w:r>
      <w:r>
        <w:rPr>
          <w:spacing w:val="2"/>
          <w:sz w:val="14"/>
        </w:rPr>
        <w:t>Engagement, </w:t>
      </w:r>
      <w:r>
        <w:rPr>
          <w:sz w:val="14"/>
        </w:rPr>
        <w:t>Development &amp;</w:t>
      </w:r>
      <w:r>
        <w:rPr>
          <w:spacing w:val="-24"/>
          <w:sz w:val="14"/>
        </w:rPr>
        <w:t> </w:t>
      </w:r>
      <w:r>
        <w:rPr>
          <w:sz w:val="14"/>
        </w:rPr>
        <w:t>Innovation </w:t>
      </w:r>
      <w:r>
        <w:rPr>
          <w:spacing w:val="2"/>
          <w:sz w:val="14"/>
        </w:rPr>
        <w:t>(REDI)</w:t>
      </w:r>
    </w:p>
    <w:p>
      <w:pPr>
        <w:spacing w:before="85"/>
        <w:ind w:left="787" w:right="389" w:hanging="199"/>
        <w:jc w:val="left"/>
        <w:rPr>
          <w:sz w:val="14"/>
        </w:rPr>
      </w:pPr>
      <w:r>
        <w:rPr>
          <w:rFonts w:ascii="Century Gothic" w:hAnsi="Century Gothic"/>
          <w:b/>
          <w:w w:val="120"/>
          <w:sz w:val="14"/>
        </w:rPr>
        <w:t>≥ </w:t>
      </w:r>
      <w:r>
        <w:rPr>
          <w:w w:val="110"/>
          <w:sz w:val="14"/>
        </w:rPr>
        <w:t>Centre for Western Sydney</w:t>
      </w:r>
    </w:p>
    <w:p>
      <w:pPr>
        <w:spacing w:before="85"/>
        <w:ind w:left="589" w:right="5" w:firstLine="0"/>
        <w:jc w:val="left"/>
        <w:rPr>
          <w:sz w:val="14"/>
        </w:rPr>
      </w:pPr>
      <w:r>
        <w:rPr>
          <w:rFonts w:ascii="Century Gothic" w:hAnsi="Century Gothic"/>
          <w:b/>
          <w:w w:val="120"/>
          <w:sz w:val="14"/>
        </w:rPr>
        <w:t>≥ </w:t>
      </w:r>
      <w:r>
        <w:rPr>
          <w:w w:val="110"/>
          <w:sz w:val="14"/>
        </w:rPr>
        <w:t>Launch Pad</w:t>
      </w:r>
    </w:p>
    <w:p>
      <w:pPr>
        <w:spacing w:before="83"/>
        <w:ind w:left="759" w:right="5" w:firstLine="0"/>
        <w:jc w:val="left"/>
        <w:rPr>
          <w:sz w:val="14"/>
        </w:rPr>
      </w:pPr>
      <w:r>
        <w:rPr>
          <w:rFonts w:ascii="Century Gothic" w:hAnsi="Century Gothic"/>
          <w:b/>
          <w:w w:val="120"/>
          <w:sz w:val="14"/>
        </w:rPr>
        <w:t>≥ </w:t>
      </w:r>
      <w:r>
        <w:rPr>
          <w:w w:val="105"/>
          <w:sz w:val="14"/>
        </w:rPr>
        <w:t>Research Institutes:</w:t>
      </w:r>
    </w:p>
    <w:p>
      <w:pPr>
        <w:spacing w:before="83"/>
        <w:ind w:left="958" w:right="174" w:hanging="199"/>
        <w:jc w:val="left"/>
        <w:rPr>
          <w:sz w:val="14"/>
        </w:rPr>
      </w:pPr>
      <w:r>
        <w:rPr>
          <w:rFonts w:ascii="Century Gothic" w:hAnsi="Century Gothic"/>
          <w:b/>
          <w:w w:val="120"/>
          <w:sz w:val="14"/>
        </w:rPr>
        <w:t>≥ </w:t>
      </w:r>
      <w:r>
        <w:rPr>
          <w:w w:val="105"/>
          <w:sz w:val="14"/>
        </w:rPr>
        <w:t>Institute for Culture &amp; Society</w:t>
      </w:r>
    </w:p>
    <w:p>
      <w:pPr>
        <w:spacing w:before="85"/>
        <w:ind w:left="958" w:right="5" w:hanging="199"/>
        <w:jc w:val="left"/>
        <w:rPr>
          <w:sz w:val="14"/>
        </w:rPr>
      </w:pPr>
      <w:r>
        <w:rPr>
          <w:rFonts w:ascii="Century Gothic" w:hAnsi="Century Gothic"/>
          <w:b/>
          <w:w w:val="120"/>
          <w:sz w:val="14"/>
        </w:rPr>
        <w:t>≥ </w:t>
      </w:r>
      <w:r>
        <w:rPr>
          <w:w w:val="105"/>
          <w:sz w:val="14"/>
        </w:rPr>
        <w:t>Hawkesbury Institute </w:t>
      </w:r>
      <w:r>
        <w:rPr>
          <w:sz w:val="14"/>
        </w:rPr>
        <w:t>for the Environment</w:t>
      </w:r>
    </w:p>
    <w:p>
      <w:pPr>
        <w:spacing w:before="85"/>
        <w:ind w:left="958" w:right="108" w:hanging="199"/>
        <w:jc w:val="left"/>
        <w:rPr>
          <w:sz w:val="14"/>
        </w:rPr>
      </w:pPr>
      <w:r>
        <w:rPr>
          <w:rFonts w:ascii="Century Gothic" w:hAnsi="Century Gothic"/>
          <w:b/>
          <w:w w:val="120"/>
          <w:sz w:val="14"/>
        </w:rPr>
        <w:t>≥ </w:t>
      </w:r>
      <w:r>
        <w:rPr>
          <w:w w:val="105"/>
          <w:sz w:val="14"/>
        </w:rPr>
        <w:t>The </w:t>
      </w:r>
      <w:r>
        <w:rPr>
          <w:spacing w:val="2"/>
          <w:w w:val="105"/>
          <w:sz w:val="14"/>
        </w:rPr>
        <w:t>MARCS </w:t>
      </w:r>
      <w:r>
        <w:rPr>
          <w:w w:val="105"/>
          <w:sz w:val="14"/>
        </w:rPr>
        <w:t>Institute for</w:t>
      </w:r>
      <w:r>
        <w:rPr>
          <w:spacing w:val="-31"/>
          <w:w w:val="105"/>
          <w:sz w:val="14"/>
        </w:rPr>
        <w:t> </w:t>
      </w:r>
      <w:r>
        <w:rPr>
          <w:w w:val="105"/>
          <w:sz w:val="14"/>
        </w:rPr>
        <w:t>Brain,</w:t>
      </w:r>
      <w:r>
        <w:rPr>
          <w:spacing w:val="-31"/>
          <w:w w:val="105"/>
          <w:sz w:val="14"/>
        </w:rPr>
        <w:t> </w:t>
      </w:r>
      <w:r>
        <w:rPr>
          <w:w w:val="105"/>
          <w:sz w:val="14"/>
        </w:rPr>
        <w:t>Behaviour</w:t>
      </w:r>
      <w:r>
        <w:rPr>
          <w:spacing w:val="-31"/>
          <w:w w:val="105"/>
          <w:sz w:val="14"/>
        </w:rPr>
        <w:t> </w:t>
      </w:r>
      <w:r>
        <w:rPr>
          <w:w w:val="105"/>
          <w:sz w:val="14"/>
        </w:rPr>
        <w:t>&amp; Development</w:t>
      </w:r>
    </w:p>
    <w:p>
      <w:pPr>
        <w:spacing w:before="85"/>
        <w:ind w:left="958" w:right="236" w:hanging="199"/>
        <w:jc w:val="left"/>
        <w:rPr>
          <w:sz w:val="14"/>
        </w:rPr>
      </w:pPr>
      <w:r>
        <w:rPr>
          <w:rFonts w:ascii="Century Gothic" w:hAnsi="Century Gothic"/>
          <w:b/>
          <w:w w:val="105"/>
          <w:sz w:val="14"/>
        </w:rPr>
        <w:t>≥ </w:t>
      </w:r>
      <w:r>
        <w:rPr>
          <w:w w:val="105"/>
          <w:sz w:val="14"/>
        </w:rPr>
        <w:t>Translational Health </w:t>
      </w:r>
      <w:r>
        <w:rPr>
          <w:sz w:val="14"/>
        </w:rPr>
        <w:t>Research Institute</w:t>
      </w:r>
    </w:p>
    <w:p>
      <w:pPr>
        <w:spacing w:before="85"/>
        <w:ind w:left="958" w:right="382" w:hanging="199"/>
        <w:jc w:val="left"/>
        <w:rPr>
          <w:sz w:val="14"/>
        </w:rPr>
      </w:pPr>
      <w:r>
        <w:rPr>
          <w:rFonts w:ascii="Century Gothic" w:hAnsi="Century Gothic"/>
          <w:b/>
          <w:w w:val="120"/>
          <w:sz w:val="14"/>
        </w:rPr>
        <w:t>≥ </w:t>
      </w:r>
      <w:r>
        <w:rPr>
          <w:w w:val="105"/>
          <w:sz w:val="14"/>
        </w:rPr>
        <w:t>Australia-China Institute for Arts </w:t>
      </w:r>
      <w:r>
        <w:rPr>
          <w:sz w:val="14"/>
        </w:rPr>
        <w:t>and Culture</w:t>
      </w:r>
    </w:p>
    <w:p>
      <w:pPr>
        <w:pStyle w:val="BodyText"/>
        <w:rPr>
          <w:sz w:val="14"/>
        </w:rPr>
      </w:pPr>
      <w:r>
        <w:rPr/>
        <w:br w:type="column"/>
      </w:r>
      <w:r>
        <w:rPr>
          <w:sz w:val="14"/>
        </w:rPr>
      </w:r>
    </w:p>
    <w:p>
      <w:pPr>
        <w:pStyle w:val="BodyText"/>
        <w:rPr>
          <w:sz w:val="14"/>
        </w:rPr>
      </w:pPr>
    </w:p>
    <w:p>
      <w:pPr>
        <w:pStyle w:val="BodyText"/>
        <w:rPr>
          <w:sz w:val="14"/>
        </w:rPr>
      </w:pPr>
    </w:p>
    <w:p>
      <w:pPr>
        <w:spacing w:before="88"/>
        <w:ind w:left="589" w:right="0" w:firstLine="0"/>
        <w:jc w:val="center"/>
        <w:rPr>
          <w:sz w:val="14"/>
        </w:rPr>
      </w:pPr>
      <w:r>
        <w:rPr>
          <w:sz w:val="14"/>
        </w:rPr>
        <w:t>School of Education</w:t>
      </w:r>
    </w:p>
    <w:p>
      <w:pPr>
        <w:pStyle w:val="BodyText"/>
        <w:rPr>
          <w:sz w:val="14"/>
        </w:rPr>
      </w:pPr>
    </w:p>
    <w:p>
      <w:pPr>
        <w:pStyle w:val="BodyText"/>
        <w:rPr>
          <w:sz w:val="14"/>
        </w:rPr>
      </w:pPr>
    </w:p>
    <w:p>
      <w:pPr>
        <w:pStyle w:val="BodyText"/>
        <w:rPr>
          <w:sz w:val="14"/>
        </w:rPr>
      </w:pPr>
    </w:p>
    <w:p>
      <w:pPr>
        <w:spacing w:line="164" w:lineRule="exact" w:before="101"/>
        <w:ind w:left="592" w:right="0" w:firstLine="0"/>
        <w:jc w:val="center"/>
        <w:rPr>
          <w:sz w:val="14"/>
        </w:rPr>
      </w:pPr>
      <w:r>
        <w:rPr>
          <w:sz w:val="14"/>
        </w:rPr>
        <w:t>School of Humanities and</w:t>
      </w:r>
      <w:r>
        <w:rPr>
          <w:w w:val="98"/>
          <w:sz w:val="14"/>
        </w:rPr>
        <w:t> </w:t>
      </w:r>
      <w:r>
        <w:rPr>
          <w:sz w:val="14"/>
        </w:rPr>
        <w:t>Communication Arts</w:t>
      </w:r>
    </w:p>
    <w:p>
      <w:pPr>
        <w:pStyle w:val="BodyText"/>
        <w:rPr>
          <w:sz w:val="14"/>
        </w:rPr>
      </w:pPr>
    </w:p>
    <w:p>
      <w:pPr>
        <w:pStyle w:val="BodyText"/>
        <w:rPr>
          <w:sz w:val="14"/>
        </w:rPr>
      </w:pPr>
    </w:p>
    <w:p>
      <w:pPr>
        <w:pStyle w:val="BodyText"/>
        <w:rPr>
          <w:sz w:val="14"/>
        </w:rPr>
      </w:pPr>
    </w:p>
    <w:p>
      <w:pPr>
        <w:spacing w:before="88"/>
        <w:ind w:left="589" w:right="0" w:firstLine="0"/>
        <w:jc w:val="center"/>
        <w:rPr>
          <w:sz w:val="14"/>
        </w:rPr>
      </w:pPr>
      <w:r>
        <w:rPr>
          <w:sz w:val="14"/>
        </w:rPr>
        <w:t>School of Law</w:t>
      </w:r>
    </w:p>
    <w:p>
      <w:pPr>
        <w:pStyle w:val="BodyText"/>
        <w:rPr>
          <w:sz w:val="14"/>
        </w:rPr>
      </w:pPr>
    </w:p>
    <w:p>
      <w:pPr>
        <w:pStyle w:val="BodyText"/>
        <w:rPr>
          <w:sz w:val="14"/>
        </w:rPr>
      </w:pPr>
    </w:p>
    <w:p>
      <w:pPr>
        <w:pStyle w:val="BodyText"/>
        <w:spacing w:before="8"/>
      </w:pPr>
    </w:p>
    <w:p>
      <w:pPr>
        <w:spacing w:before="0"/>
        <w:ind w:left="998" w:right="0" w:firstLine="0"/>
        <w:jc w:val="left"/>
        <w:rPr>
          <w:sz w:val="14"/>
        </w:rPr>
      </w:pPr>
      <w:r>
        <w:rPr>
          <w:sz w:val="14"/>
        </w:rPr>
        <w:t>School of Medicine</w:t>
      </w:r>
    </w:p>
    <w:p>
      <w:pPr>
        <w:pStyle w:val="BodyText"/>
        <w:rPr>
          <w:sz w:val="14"/>
        </w:rPr>
      </w:pPr>
    </w:p>
    <w:p>
      <w:pPr>
        <w:pStyle w:val="BodyText"/>
        <w:rPr>
          <w:sz w:val="14"/>
        </w:rPr>
      </w:pPr>
    </w:p>
    <w:p>
      <w:pPr>
        <w:pStyle w:val="BodyText"/>
        <w:spacing w:before="8"/>
      </w:pPr>
    </w:p>
    <w:p>
      <w:pPr>
        <w:spacing w:before="0"/>
        <w:ind w:left="589" w:right="0" w:firstLine="0"/>
        <w:jc w:val="center"/>
        <w:rPr>
          <w:sz w:val="14"/>
        </w:rPr>
      </w:pPr>
      <w:r>
        <w:rPr>
          <w:sz w:val="14"/>
        </w:rPr>
        <w:t>School</w:t>
      </w:r>
      <w:r>
        <w:rPr>
          <w:spacing w:val="-12"/>
          <w:sz w:val="14"/>
        </w:rPr>
        <w:t> </w:t>
      </w:r>
      <w:r>
        <w:rPr>
          <w:sz w:val="14"/>
        </w:rPr>
        <w:t>of</w:t>
      </w:r>
      <w:r>
        <w:rPr>
          <w:spacing w:val="-12"/>
          <w:sz w:val="14"/>
        </w:rPr>
        <w:t> </w:t>
      </w:r>
      <w:r>
        <w:rPr>
          <w:sz w:val="14"/>
        </w:rPr>
        <w:t>Nursing</w:t>
      </w:r>
      <w:r>
        <w:rPr>
          <w:spacing w:val="-12"/>
          <w:sz w:val="14"/>
        </w:rPr>
        <w:t> </w:t>
      </w:r>
      <w:r>
        <w:rPr>
          <w:sz w:val="14"/>
        </w:rPr>
        <w:t>and</w:t>
      </w:r>
      <w:r>
        <w:rPr>
          <w:spacing w:val="-12"/>
          <w:sz w:val="14"/>
        </w:rPr>
        <w:t> </w:t>
      </w:r>
      <w:r>
        <w:rPr>
          <w:sz w:val="14"/>
        </w:rPr>
        <w:t>Midwifery</w:t>
      </w:r>
    </w:p>
    <w:p>
      <w:pPr>
        <w:pStyle w:val="BodyText"/>
        <w:rPr>
          <w:sz w:val="14"/>
        </w:rPr>
      </w:pPr>
    </w:p>
    <w:p>
      <w:pPr>
        <w:pStyle w:val="BodyText"/>
        <w:rPr>
          <w:sz w:val="14"/>
        </w:rPr>
      </w:pPr>
    </w:p>
    <w:p>
      <w:pPr>
        <w:pStyle w:val="BodyText"/>
        <w:spacing w:before="8"/>
      </w:pPr>
    </w:p>
    <w:p>
      <w:pPr>
        <w:spacing w:before="0"/>
        <w:ind w:left="589" w:right="0" w:firstLine="0"/>
        <w:jc w:val="center"/>
        <w:rPr>
          <w:sz w:val="14"/>
        </w:rPr>
      </w:pPr>
      <w:r>
        <w:rPr>
          <w:sz w:val="14"/>
        </w:rPr>
        <w:t>School of Science and Health</w:t>
      </w:r>
    </w:p>
    <w:p>
      <w:pPr>
        <w:pStyle w:val="BodyText"/>
        <w:rPr>
          <w:sz w:val="14"/>
        </w:rPr>
      </w:pPr>
    </w:p>
    <w:p>
      <w:pPr>
        <w:pStyle w:val="BodyText"/>
        <w:rPr>
          <w:sz w:val="14"/>
        </w:rPr>
      </w:pPr>
    </w:p>
    <w:p>
      <w:pPr>
        <w:pStyle w:val="BodyText"/>
        <w:rPr>
          <w:sz w:val="14"/>
        </w:rPr>
      </w:pPr>
    </w:p>
    <w:p>
      <w:pPr>
        <w:spacing w:line="164" w:lineRule="exact" w:before="101"/>
        <w:ind w:left="782" w:right="191" w:firstLine="0"/>
        <w:jc w:val="center"/>
        <w:rPr>
          <w:sz w:val="14"/>
        </w:rPr>
      </w:pPr>
      <w:r>
        <w:rPr>
          <w:sz w:val="14"/>
        </w:rPr>
        <w:t>School of Social Sciences and Psychology</w:t>
      </w:r>
    </w:p>
    <w:p>
      <w:pPr>
        <w:pStyle w:val="BodyText"/>
        <w:spacing w:before="8"/>
        <w:rPr>
          <w:sz w:val="12"/>
        </w:rPr>
      </w:pPr>
      <w:r>
        <w:rPr/>
        <w:br w:type="column"/>
      </w:r>
      <w:r>
        <w:rPr>
          <w:sz w:val="12"/>
        </w:rPr>
      </w:r>
    </w:p>
    <w:p>
      <w:pPr>
        <w:spacing w:before="0"/>
        <w:ind w:left="787" w:right="635" w:hanging="199"/>
        <w:jc w:val="left"/>
        <w:rPr>
          <w:sz w:val="14"/>
        </w:rPr>
      </w:pPr>
      <w:r>
        <w:rPr>
          <w:rFonts w:ascii="Century Gothic" w:hAnsi="Century Gothic"/>
          <w:b/>
          <w:w w:val="120"/>
          <w:sz w:val="14"/>
        </w:rPr>
        <w:t>≥ </w:t>
      </w:r>
      <w:r>
        <w:rPr>
          <w:w w:val="110"/>
          <w:sz w:val="14"/>
        </w:rPr>
        <w:t>Office of the </w:t>
      </w:r>
      <w:r>
        <w:rPr>
          <w:sz w:val="14"/>
        </w:rPr>
        <w:t>Vice-President</w:t>
      </w:r>
    </w:p>
    <w:p>
      <w:pPr>
        <w:spacing w:before="1"/>
        <w:ind w:left="761" w:right="150" w:firstLine="0"/>
        <w:jc w:val="center"/>
        <w:rPr>
          <w:sz w:val="14"/>
        </w:rPr>
      </w:pPr>
      <w:r>
        <w:rPr>
          <w:sz w:val="14"/>
        </w:rPr>
        <w:t>(Finance &amp; Resources)</w:t>
      </w:r>
    </w:p>
    <w:p>
      <w:pPr>
        <w:spacing w:before="85"/>
        <w:ind w:left="589" w:right="-7" w:firstLine="0"/>
        <w:jc w:val="left"/>
        <w:rPr>
          <w:sz w:val="14"/>
        </w:rPr>
      </w:pPr>
      <w:r>
        <w:rPr>
          <w:rFonts w:ascii="Century Gothic" w:hAnsi="Century Gothic"/>
          <w:b/>
          <w:w w:val="105"/>
          <w:sz w:val="14"/>
        </w:rPr>
        <w:t>≥  </w:t>
      </w:r>
      <w:r>
        <w:rPr>
          <w:w w:val="105"/>
          <w:sz w:val="14"/>
        </w:rPr>
        <w:t>Financial Operations</w:t>
      </w:r>
    </w:p>
    <w:p>
      <w:pPr>
        <w:spacing w:before="83"/>
        <w:ind w:left="589" w:right="-7" w:firstLine="0"/>
        <w:jc w:val="left"/>
        <w:rPr>
          <w:sz w:val="14"/>
        </w:rPr>
      </w:pPr>
      <w:r>
        <w:rPr>
          <w:rFonts w:ascii="Century Gothic" w:hAnsi="Century Gothic"/>
          <w:b/>
          <w:w w:val="120"/>
          <w:sz w:val="14"/>
        </w:rPr>
        <w:t>≥</w:t>
      </w:r>
      <w:r>
        <w:rPr>
          <w:rFonts w:ascii="Century Gothic" w:hAnsi="Century Gothic"/>
          <w:b/>
          <w:spacing w:val="-7"/>
          <w:w w:val="120"/>
          <w:sz w:val="14"/>
        </w:rPr>
        <w:t> </w:t>
      </w:r>
      <w:r>
        <w:rPr>
          <w:w w:val="110"/>
          <w:sz w:val="14"/>
        </w:rPr>
        <w:t>Capital</w:t>
      </w:r>
      <w:r>
        <w:rPr>
          <w:spacing w:val="-33"/>
          <w:w w:val="110"/>
          <w:sz w:val="14"/>
        </w:rPr>
        <w:t> </w:t>
      </w:r>
      <w:r>
        <w:rPr>
          <w:w w:val="110"/>
          <w:sz w:val="14"/>
        </w:rPr>
        <w:t>Works</w:t>
      </w:r>
      <w:r>
        <w:rPr>
          <w:spacing w:val="-33"/>
          <w:w w:val="110"/>
          <w:sz w:val="14"/>
        </w:rPr>
        <w:t> </w:t>
      </w:r>
      <w:r>
        <w:rPr>
          <w:w w:val="110"/>
          <w:sz w:val="14"/>
        </w:rPr>
        <w:t>&amp;</w:t>
      </w:r>
      <w:r>
        <w:rPr>
          <w:spacing w:val="-33"/>
          <w:w w:val="110"/>
          <w:sz w:val="14"/>
        </w:rPr>
        <w:t> </w:t>
      </w:r>
      <w:r>
        <w:rPr>
          <w:w w:val="110"/>
          <w:sz w:val="14"/>
        </w:rPr>
        <w:t>Facilities</w:t>
      </w:r>
    </w:p>
    <w:p>
      <w:pPr>
        <w:spacing w:before="83"/>
        <w:ind w:left="787" w:right="-7" w:hanging="199"/>
        <w:jc w:val="left"/>
        <w:rPr>
          <w:sz w:val="14"/>
        </w:rPr>
      </w:pPr>
      <w:r>
        <w:rPr>
          <w:rFonts w:ascii="Century Gothic" w:hAnsi="Century Gothic"/>
          <w:b/>
          <w:w w:val="120"/>
          <w:sz w:val="14"/>
        </w:rPr>
        <w:t>≥ </w:t>
      </w:r>
      <w:r>
        <w:rPr>
          <w:w w:val="105"/>
          <w:sz w:val="14"/>
        </w:rPr>
        <w:t>Information Technology </w:t>
      </w:r>
      <w:r>
        <w:rPr>
          <w:sz w:val="14"/>
        </w:rPr>
        <w:t>&amp; Digital Services</w:t>
      </w:r>
    </w:p>
    <w:p>
      <w:pPr>
        <w:spacing w:before="85"/>
        <w:ind w:left="787" w:right="243" w:hanging="199"/>
        <w:jc w:val="left"/>
        <w:rPr>
          <w:sz w:val="14"/>
        </w:rPr>
      </w:pPr>
      <w:r>
        <w:rPr>
          <w:rFonts w:ascii="Century Gothic" w:hAnsi="Century Gothic"/>
          <w:b/>
          <w:w w:val="120"/>
          <w:sz w:val="14"/>
        </w:rPr>
        <w:t>≥ </w:t>
      </w:r>
      <w:r>
        <w:rPr>
          <w:w w:val="105"/>
          <w:sz w:val="14"/>
        </w:rPr>
        <w:t>Office of Commercial &amp; Estate Planning</w:t>
      </w:r>
    </w:p>
    <w:p>
      <w:pPr>
        <w:spacing w:before="85"/>
        <w:ind w:left="787" w:right="-7" w:hanging="199"/>
        <w:jc w:val="left"/>
        <w:rPr>
          <w:sz w:val="14"/>
        </w:rPr>
      </w:pPr>
      <w:r>
        <w:rPr>
          <w:rFonts w:ascii="Century Gothic" w:hAnsi="Century Gothic"/>
          <w:b/>
          <w:w w:val="105"/>
          <w:sz w:val="14"/>
        </w:rPr>
        <w:t>≥ </w:t>
      </w:r>
      <w:r>
        <w:rPr>
          <w:w w:val="105"/>
          <w:sz w:val="14"/>
        </w:rPr>
        <w:t>Project Management </w:t>
      </w:r>
      <w:r>
        <w:rPr>
          <w:w w:val="110"/>
          <w:sz w:val="14"/>
        </w:rPr>
        <w:t>Office</w:t>
      </w:r>
    </w:p>
    <w:p>
      <w:pPr>
        <w:pStyle w:val="BodyText"/>
        <w:spacing w:before="8"/>
        <w:rPr>
          <w:sz w:val="12"/>
        </w:rPr>
      </w:pPr>
      <w:r>
        <w:rPr/>
        <w:br w:type="column"/>
      </w:r>
      <w:r>
        <w:rPr>
          <w:sz w:val="12"/>
        </w:rPr>
      </w:r>
    </w:p>
    <w:p>
      <w:pPr>
        <w:spacing w:before="0"/>
        <w:ind w:left="787" w:right="1248" w:hanging="199"/>
        <w:jc w:val="left"/>
        <w:rPr>
          <w:sz w:val="14"/>
        </w:rPr>
      </w:pPr>
      <w:r>
        <w:rPr>
          <w:rFonts w:ascii="Century Gothic" w:hAnsi="Century Gothic"/>
          <w:b/>
          <w:w w:val="120"/>
          <w:sz w:val="14"/>
        </w:rPr>
        <w:t>≥ </w:t>
      </w:r>
      <w:r>
        <w:rPr>
          <w:w w:val="110"/>
          <w:sz w:val="14"/>
        </w:rPr>
        <w:t>Office of the </w:t>
      </w:r>
      <w:r>
        <w:rPr>
          <w:sz w:val="14"/>
        </w:rPr>
        <w:t>Vice-President</w:t>
      </w:r>
    </w:p>
    <w:p>
      <w:pPr>
        <w:spacing w:before="1"/>
        <w:ind w:left="787" w:right="0" w:firstLine="0"/>
        <w:jc w:val="left"/>
        <w:rPr>
          <w:sz w:val="14"/>
        </w:rPr>
      </w:pPr>
      <w:r>
        <w:rPr>
          <w:sz w:val="14"/>
        </w:rPr>
        <w:t>(People &amp; Advancement)</w:t>
      </w:r>
    </w:p>
    <w:p>
      <w:pPr>
        <w:spacing w:before="85"/>
        <w:ind w:left="787" w:right="862" w:hanging="199"/>
        <w:jc w:val="left"/>
        <w:rPr>
          <w:sz w:val="14"/>
        </w:rPr>
      </w:pPr>
      <w:r>
        <w:rPr>
          <w:rFonts w:ascii="Century Gothic" w:hAnsi="Century Gothic"/>
          <w:b/>
          <w:w w:val="120"/>
          <w:sz w:val="14"/>
        </w:rPr>
        <w:t>≥ </w:t>
      </w:r>
      <w:r>
        <w:rPr>
          <w:w w:val="105"/>
          <w:sz w:val="14"/>
        </w:rPr>
        <w:t>University Secretary </w:t>
      </w:r>
      <w:r>
        <w:rPr>
          <w:sz w:val="14"/>
        </w:rPr>
        <w:t>&amp; General Counsel</w:t>
      </w:r>
    </w:p>
    <w:p>
      <w:pPr>
        <w:spacing w:before="85"/>
        <w:ind w:left="787" w:right="1100" w:hanging="199"/>
        <w:jc w:val="left"/>
        <w:rPr>
          <w:sz w:val="14"/>
        </w:rPr>
      </w:pPr>
      <w:r>
        <w:rPr>
          <w:rFonts w:ascii="Century Gothic" w:hAnsi="Century Gothic"/>
          <w:b/>
          <w:w w:val="120"/>
          <w:sz w:val="14"/>
        </w:rPr>
        <w:t>≥ </w:t>
      </w:r>
      <w:r>
        <w:rPr>
          <w:w w:val="110"/>
          <w:sz w:val="14"/>
        </w:rPr>
        <w:t>Office of Human Resources</w:t>
      </w:r>
    </w:p>
    <w:p>
      <w:pPr>
        <w:spacing w:before="85"/>
        <w:ind w:left="787" w:right="974" w:hanging="199"/>
        <w:jc w:val="left"/>
        <w:rPr>
          <w:sz w:val="14"/>
        </w:rPr>
      </w:pPr>
      <w:r>
        <w:rPr>
          <w:rFonts w:ascii="Century Gothic" w:hAnsi="Century Gothic"/>
          <w:b/>
          <w:w w:val="120"/>
          <w:sz w:val="14"/>
        </w:rPr>
        <w:t>≥ </w:t>
      </w:r>
      <w:r>
        <w:rPr>
          <w:w w:val="105"/>
          <w:sz w:val="14"/>
        </w:rPr>
        <w:t>Office of Marketing </w:t>
      </w:r>
      <w:r>
        <w:rPr>
          <w:sz w:val="14"/>
        </w:rPr>
        <w:t>&amp; Communication</w:t>
      </w:r>
    </w:p>
    <w:p>
      <w:pPr>
        <w:spacing w:before="85"/>
        <w:ind w:left="787" w:right="862" w:hanging="199"/>
        <w:jc w:val="left"/>
        <w:rPr>
          <w:sz w:val="14"/>
        </w:rPr>
      </w:pPr>
      <w:r>
        <w:rPr>
          <w:rFonts w:ascii="Century Gothic" w:hAnsi="Century Gothic"/>
          <w:b/>
          <w:w w:val="120"/>
          <w:sz w:val="14"/>
        </w:rPr>
        <w:t>≥ </w:t>
      </w:r>
      <w:r>
        <w:rPr>
          <w:w w:val="110"/>
          <w:sz w:val="14"/>
        </w:rPr>
        <w:t>The Student </w:t>
      </w:r>
      <w:r>
        <w:rPr>
          <w:sz w:val="14"/>
        </w:rPr>
        <w:t>Experience Office</w:t>
      </w:r>
    </w:p>
    <w:p>
      <w:pPr>
        <w:spacing w:before="85"/>
        <w:ind w:left="787" w:right="1158" w:hanging="199"/>
        <w:jc w:val="left"/>
        <w:rPr>
          <w:sz w:val="14"/>
        </w:rPr>
      </w:pPr>
      <w:r>
        <w:rPr>
          <w:rFonts w:ascii="Century Gothic" w:hAnsi="Century Gothic"/>
          <w:b/>
          <w:w w:val="120"/>
          <w:sz w:val="14"/>
        </w:rPr>
        <w:t>≥ </w:t>
      </w:r>
      <w:r>
        <w:rPr>
          <w:w w:val="105"/>
          <w:sz w:val="14"/>
        </w:rPr>
        <w:t>Office of Equity </w:t>
      </w:r>
      <w:r>
        <w:rPr>
          <w:sz w:val="14"/>
        </w:rPr>
        <w:t>&amp; Diversity</w:t>
      </w:r>
    </w:p>
    <w:p>
      <w:pPr>
        <w:spacing w:before="85"/>
        <w:ind w:left="787" w:right="736" w:hanging="199"/>
        <w:jc w:val="left"/>
        <w:rPr>
          <w:sz w:val="14"/>
        </w:rPr>
      </w:pPr>
      <w:r>
        <w:rPr>
          <w:rFonts w:ascii="Century Gothic" w:hAnsi="Century Gothic"/>
          <w:b/>
          <w:w w:val="120"/>
          <w:sz w:val="14"/>
        </w:rPr>
        <w:t>≥ </w:t>
      </w:r>
      <w:r>
        <w:rPr>
          <w:w w:val="105"/>
          <w:sz w:val="14"/>
        </w:rPr>
        <w:t>Office of Advancement </w:t>
      </w:r>
      <w:r>
        <w:rPr>
          <w:sz w:val="14"/>
        </w:rPr>
        <w:t>&amp; Alumni</w:t>
      </w:r>
    </w:p>
    <w:p>
      <w:pPr>
        <w:spacing w:before="85"/>
        <w:ind w:left="589" w:right="1248" w:firstLine="0"/>
        <w:jc w:val="left"/>
        <w:rPr>
          <w:sz w:val="14"/>
        </w:rPr>
      </w:pPr>
      <w:r>
        <w:rPr>
          <w:rFonts w:ascii="Century Gothic" w:hAnsi="Century Gothic"/>
          <w:b/>
          <w:w w:val="120"/>
          <w:sz w:val="14"/>
        </w:rPr>
        <w:t>≥ </w:t>
      </w:r>
      <w:r>
        <w:rPr>
          <w:w w:val="110"/>
          <w:sz w:val="14"/>
        </w:rPr>
        <w:t>Other Entities</w:t>
      </w:r>
    </w:p>
    <w:p>
      <w:pPr>
        <w:spacing w:before="83"/>
        <w:ind w:left="759" w:right="0" w:firstLine="0"/>
        <w:jc w:val="left"/>
        <w:rPr>
          <w:sz w:val="14"/>
        </w:rPr>
      </w:pPr>
      <w:r>
        <w:rPr>
          <w:rFonts w:ascii="Century Gothic" w:hAnsi="Century Gothic"/>
          <w:b/>
          <w:w w:val="110"/>
          <w:sz w:val="14"/>
        </w:rPr>
        <w:t>≥ </w:t>
      </w:r>
      <w:r>
        <w:rPr>
          <w:w w:val="110"/>
          <w:sz w:val="14"/>
        </w:rPr>
        <w:t>UWSConnect</w:t>
      </w:r>
    </w:p>
    <w:p>
      <w:pPr>
        <w:spacing w:before="83"/>
        <w:ind w:left="958" w:right="757" w:hanging="199"/>
        <w:jc w:val="left"/>
        <w:rPr>
          <w:sz w:val="14"/>
        </w:rPr>
      </w:pPr>
      <w:r>
        <w:rPr>
          <w:rFonts w:ascii="Century Gothic" w:hAnsi="Century Gothic"/>
          <w:b/>
          <w:w w:val="120"/>
          <w:sz w:val="14"/>
        </w:rPr>
        <w:t>≥ </w:t>
      </w:r>
      <w:r>
        <w:rPr>
          <w:w w:val="105"/>
          <w:sz w:val="14"/>
        </w:rPr>
        <w:t>UWS Early Learning </w:t>
      </w:r>
      <w:r>
        <w:rPr>
          <w:sz w:val="14"/>
        </w:rPr>
        <w:t>Ltd (Childcare)</w:t>
      </w:r>
    </w:p>
    <w:p>
      <w:pPr>
        <w:spacing w:after="0"/>
        <w:jc w:val="left"/>
        <w:rPr>
          <w:sz w:val="14"/>
        </w:rPr>
        <w:sectPr>
          <w:type w:val="continuous"/>
          <w:pgSz w:w="16840" w:h="11910" w:orient="landscape"/>
          <w:pgMar w:top="1580" w:bottom="280" w:left="780" w:right="800"/>
          <w:cols w:num="5" w:equalWidth="0">
            <w:col w:w="2339" w:space="736"/>
            <w:col w:w="2431" w:space="569"/>
            <w:col w:w="2539" w:space="613"/>
            <w:col w:w="2343" w:space="733"/>
            <w:col w:w="2957"/>
          </w:cols>
        </w:sectPr>
      </w:pPr>
    </w:p>
    <w:p>
      <w:pPr>
        <w:rPr>
          <w:sz w:val="2"/>
          <w:szCs w:val="2"/>
        </w:rPr>
      </w:pPr>
      <w:r>
        <w:rPr/>
        <w:pict>
          <v:group style="position:absolute;margin-left:45.354pt;margin-top:34.015999pt;width:751.2pt;height:529.65pt;mso-position-horizontal-relative:page;mso-position-vertical-relative:page;z-index:-334360" coordorigin="907,680" coordsize="15024,10593">
            <v:shape style="position:absolute;left:907;top:680;width:15024;height:10593" coordorigin="907,680" coordsize="15024,10593" path="m15931,680l907,680,907,728,907,11273,15931,11273,15931,728,15931,680e" filled="true" fillcolor="#e9e9e9" stroked="false">
              <v:path arrowok="t"/>
              <v:fill type="solid"/>
            </v:shape>
            <v:rect style="position:absolute;left:1138;top:3977;width:2259;height:1016" filled="false" stroked="true" strokeweight=".444pt" strokecolor="#949290"/>
            <v:rect style="position:absolute;left:7128;top:3056;width:2583;height:557" filled="false" stroked="true" strokeweight=".467pt" strokecolor="#949290"/>
            <v:shape style="position:absolute;left:3066;top:-3794;width:7932;height:14562" coordorigin="3066,-3794" coordsize="7932,14562" path="m4193,3977l4193,4993,6451,4993,6451,3977,4193,3977xm1138,5198l1138,10997,3397,10997,3397,5198,1138,5198xm4214,5198l4214,10997,6473,10997,6473,5198,4214,5198xm10365,5198l10365,10997,12624,10997,12624,5198,10365,5198xm13441,5198l13441,10997,15700,10997,15700,5198,13441,5198xm10411,3977l10411,4993,12669,4993,12669,3977,10411,3977xm10411,3066l10411,3605,12669,3605,12669,3066,10411,3066xm13441,3977l13441,4993,15700,4993,15700,3977,13441,3977xe" filled="false" stroked="true" strokeweight=".444pt" strokecolor="#949290">
              <v:path arrowok="t"/>
            </v:shape>
            <v:shape style="position:absolute;left:2273;top:3799;width:12293;height:206" coordorigin="2273,3799" coordsize="12293,206" path="m2273,3979l2273,3799,14565,3799,14565,4004e" filled="false" stroked="true" strokeweight=".5pt" strokecolor="#949290">
              <v:path arrowok="t"/>
            </v:shape>
            <v:line style="position:absolute" from="9715,3340" to="10415,3340" stroked="true" strokeweight=".5pt" strokecolor="#949290"/>
            <v:line style="position:absolute" from="8419,2904" to="8419,3061" stroked="true" strokeweight=".444pt" strokecolor="#949290">
              <v:stroke dashstyle="dash"/>
            </v:line>
            <v:line style="position:absolute" from="8419,3609" to="8419,3794" stroked="true" strokeweight=".5pt" strokecolor="#949290"/>
            <v:line style="position:absolute" from="2268,4998" to="2268,5194" stroked="true" strokeweight=".5pt" strokecolor="#949290"/>
            <v:line style="position:absolute" from="5348,4998" to="5348,5194" stroked="true" strokeweight=".5pt" strokecolor="#949290"/>
            <v:line style="position:absolute" from="5348,3801" to="5348,3982" stroked="true" strokeweight=".5pt" strokecolor="#949290"/>
            <v:line style="position:absolute" from="11494,3801" to="11494,3982" stroked="true" strokeweight=".5pt" strokecolor="#949290"/>
            <v:line style="position:absolute" from="11494,4991" to="11494,5194" stroked="true" strokeweight=".5pt" strokecolor="#949290"/>
            <v:line style="position:absolute" from="14570,4998" to="14570,5194" stroked="true" strokeweight=".5pt" strokecolor="#949290"/>
            <v:shape style="position:absolute;left:3977;top:2357;width:7017;height:2259" coordorigin="3977,2357" coordsize="7017,2259" path="m7289,3977l7289,4479,9548,4479,9548,3977,7289,3977xm7289,4685l7289,5470,9548,5470,9548,4685,7289,4685xm7289,5677l7289,6178,9548,6178,9548,5677,7289,5677xm7289,6385l7289,7170,9548,7170,9548,6385,7289,6385xm7289,7377l7289,7878,9548,7878,9548,7377,7289,7377xm7289,8085l7289,8586,9548,8586,9548,8085,7289,8085xm7289,8793l7289,9294,9548,9294,9548,8793,7289,8793xm7289,9501l7289,10002,9548,10002,9548,9501,7289,9501xm7289,10209l7289,10994,9548,10994,9548,10209,7289,10209xe" filled="false" stroked="true" strokeweight=".444pt" strokecolor="#949290">
              <v:path arrowok="t"/>
            </v:shape>
            <v:shape style="position:absolute;left:9547;top:3794;width:178;height:6803" coordorigin="9547,3794" coordsize="178,6803" path="m9724,3794l9724,10597,9547,10597e" filled="false" stroked="true" strokeweight=".5pt" strokecolor="#949290">
              <v:path arrowok="t"/>
            </v:shape>
            <v:line style="position:absolute" from="9729,9757" to="9547,9757" stroked="true" strokeweight=".5pt" strokecolor="#949290"/>
            <v:line style="position:absolute" from="9729,9049" to="9547,9049" stroked="true" strokeweight=".5pt" strokecolor="#949290"/>
            <v:line style="position:absolute" from="9729,8340" to="9547,8340" stroked="true" strokeweight=".5pt" strokecolor="#949290"/>
            <v:line style="position:absolute" from="9729,7632" to="9547,7632" stroked="true" strokeweight=".5pt" strokecolor="#949290"/>
            <v:line style="position:absolute" from="9729,6782" to="9547,6782" stroked="true" strokeweight=".5pt" strokecolor="#949290"/>
            <v:line style="position:absolute" from="9729,5928" to="9547,5928" stroked="true" strokeweight=".5pt" strokecolor="#949290"/>
            <v:line style="position:absolute" from="9729,5078" to="9547,5078" stroked="true" strokeweight=".5pt" strokecolor="#949290"/>
            <v:line style="position:absolute" from="9729,4228" to="9547,4228" stroked="true" strokeweight=".5pt" strokecolor="#949290"/>
            <v:line style="position:absolute" from="9737,2701" to="13027,2701" stroked="true" strokeweight=".444pt" strokecolor="#949290">
              <v:stroke dashstyle="dash"/>
            </v:line>
            <v:line style="position:absolute" from="13049,2732" to="13049,5478" stroked="true" strokeweight=".444pt" strokecolor="#949290">
              <v:stroke dashstyle="dash"/>
            </v:line>
            <v:line style="position:absolute" from="13080,5500" to="13423,5500" stroked="true" strokeweight=".444pt" strokecolor="#949290">
              <v:stroke dashstyle="dash"/>
            </v:line>
            <v:shape style="position:absolute;left:0;top:8549;width:2800;height:27" coordorigin="0,8549" coordsize="2800,27" path="m13036,2701l13049,2701,13049,2714m13049,5487l13049,5500,13062,5500e" filled="false" stroked="true" strokeweight=".444pt" strokecolor="#949290">
              <v:path arrowok="t"/>
            </v:shape>
            <v:line style="position:absolute" from="13432,5500" to="13445,5500" stroked="true" strokeweight=".444pt" strokecolor="#949290"/>
            <w10:wrap type="none"/>
          </v:group>
        </w:pict>
      </w:r>
      <w:r>
        <w:rPr/>
        <w:pict>
          <v:shape style="position:absolute;margin-left:806.104004pt;margin-top:44.354301pt;width:8.5pt;height:72.2pt;mso-position-horizontal-relative:page;mso-position-vertical-relative:page;z-index:3376" type="#_x0000_t202" filled="false" stroked="false">
            <v:textbox inset="0,0,0,0" style="layout-flow:vertical">
              <w:txbxContent>
                <w:p>
                  <w:pPr>
                    <w:spacing w:before="0"/>
                    <w:ind w:left="20" w:right="-404" w:firstLine="0"/>
                    <w:jc w:val="left"/>
                    <w:rPr>
                      <w:rFonts w:ascii="Gotham Narrow Book"/>
                      <w:b w:val="0"/>
                      <w:sz w:val="13"/>
                    </w:rPr>
                  </w:pPr>
                  <w:r>
                    <w:rPr>
                      <w:rFonts w:ascii="Gotham Narrow Book"/>
                      <w:b w:val="0"/>
                      <w:spacing w:val="6"/>
                      <w:sz w:val="13"/>
                    </w:rPr>
                    <w:t>A</w:t>
                  </w:r>
                  <w:r>
                    <w:rPr>
                      <w:rFonts w:ascii="Gotham Narrow Book"/>
                      <w:b w:val="0"/>
                      <w:spacing w:val="7"/>
                      <w:sz w:val="13"/>
                    </w:rPr>
                    <w:t>NN</w:t>
                  </w:r>
                  <w:r>
                    <w:rPr>
                      <w:rFonts w:ascii="Gotham Narrow Book"/>
                      <w:b w:val="0"/>
                      <w:spacing w:val="3"/>
                      <w:sz w:val="13"/>
                    </w:rPr>
                    <w:t>U</w:t>
                  </w:r>
                  <w:r>
                    <w:rPr>
                      <w:rFonts w:ascii="Gotham Narrow Book"/>
                      <w:b w:val="0"/>
                      <w:spacing w:val="6"/>
                      <w:sz w:val="13"/>
                    </w:rPr>
                    <w:t>A</w:t>
                  </w:r>
                  <w:r>
                    <w:rPr>
                      <w:rFonts w:ascii="Gotham Narrow Book"/>
                      <w:b w:val="0"/>
                      <w:sz w:val="13"/>
                    </w:rPr>
                    <w:t>L</w:t>
                  </w:r>
                  <w:r>
                    <w:rPr>
                      <w:rFonts w:ascii="Gotham Narrow Book"/>
                      <w:b w:val="0"/>
                      <w:spacing w:val="9"/>
                      <w:sz w:val="13"/>
                    </w:rPr>
                    <w:t> </w:t>
                  </w:r>
                  <w:r>
                    <w:rPr>
                      <w:rFonts w:ascii="Gotham Narrow Book"/>
                      <w:b w:val="0"/>
                      <w:spacing w:val="6"/>
                      <w:sz w:val="13"/>
                    </w:rPr>
                    <w:t>R</w:t>
                  </w:r>
                  <w:r>
                    <w:rPr>
                      <w:rFonts w:ascii="Gotham Narrow Book"/>
                      <w:b w:val="0"/>
                      <w:spacing w:val="5"/>
                      <w:sz w:val="13"/>
                    </w:rPr>
                    <w:t>E</w:t>
                  </w:r>
                  <w:r>
                    <w:rPr>
                      <w:rFonts w:ascii="Gotham Narrow Book"/>
                      <w:b w:val="0"/>
                      <w:spacing w:val="7"/>
                      <w:sz w:val="13"/>
                    </w:rPr>
                    <w:t>PO</w:t>
                  </w:r>
                  <w:r>
                    <w:rPr>
                      <w:rFonts w:ascii="Gotham Narrow Book"/>
                      <w:b w:val="0"/>
                      <w:spacing w:val="5"/>
                      <w:w w:val="100"/>
                      <w:sz w:val="13"/>
                    </w:rPr>
                    <w:t>R</w:t>
                  </w:r>
                  <w:r>
                    <w:rPr>
                      <w:rFonts w:ascii="Gotham Narrow Book"/>
                      <w:b w:val="0"/>
                      <w:w w:val="100"/>
                      <w:sz w:val="13"/>
                    </w:rPr>
                    <w:t>T</w:t>
                  </w:r>
                  <w:r>
                    <w:rPr>
                      <w:rFonts w:ascii="Gotham Narrow Book"/>
                      <w:b w:val="0"/>
                      <w:spacing w:val="9"/>
                      <w:sz w:val="13"/>
                    </w:rPr>
                    <w:t> </w:t>
                  </w:r>
                  <w:r>
                    <w:rPr>
                      <w:rFonts w:ascii="Gotham Narrow Book"/>
                      <w:b w:val="0"/>
                      <w:spacing w:val="5"/>
                      <w:w w:val="100"/>
                      <w:sz w:val="13"/>
                    </w:rPr>
                    <w:t>2</w:t>
                  </w:r>
                  <w:r>
                    <w:rPr>
                      <w:rFonts w:ascii="Gotham Narrow Book"/>
                      <w:b w:val="0"/>
                      <w:spacing w:val="5"/>
                      <w:w w:val="99"/>
                      <w:sz w:val="13"/>
                    </w:rPr>
                    <w:t>0</w:t>
                  </w:r>
                  <w:r>
                    <w:rPr>
                      <w:rFonts w:ascii="Gotham Narrow Book"/>
                      <w:b w:val="0"/>
                      <w:spacing w:val="7"/>
                      <w:w w:val="99"/>
                      <w:sz w:val="13"/>
                    </w:rPr>
                    <w:t>1</w:t>
                  </w:r>
                  <w:r>
                    <w:rPr>
                      <w:rFonts w:ascii="Gotham Narrow Book"/>
                      <w:b w:val="0"/>
                      <w:sz w:val="13"/>
                    </w:rPr>
                    <w:t>6</w:t>
                  </w:r>
                </w:p>
              </w:txbxContent>
            </v:textbox>
            <w10:wrap type="none"/>
          </v:shape>
        </w:pict>
      </w:r>
      <w:r>
        <w:rPr/>
        <w:pict>
          <v:shape style="position:absolute;margin-left:26.107117pt;margin-top:44.354301pt;width:8.5pt;height:9.3pt;mso-position-horizontal-relative:page;mso-position-vertical-relative:page;z-index:3400" type="#_x0000_t202" filled="false" stroked="false">
            <v:textbox inset="0,0,0,0" style="layout-flow:vertical">
              <w:txbxContent>
                <w:p>
                  <w:pPr>
                    <w:spacing w:before="0"/>
                    <w:ind w:left="20" w:right="-15" w:firstLine="0"/>
                    <w:jc w:val="left"/>
                    <w:rPr>
                      <w:rFonts w:ascii="Gotham Narrow Book"/>
                      <w:b w:val="0"/>
                      <w:sz w:val="13"/>
                    </w:rPr>
                  </w:pPr>
                  <w:r>
                    <w:rPr>
                      <w:rFonts w:ascii="Gotham Narrow Book"/>
                      <w:b w:val="0"/>
                      <w:spacing w:val="2"/>
                      <w:w w:val="100"/>
                      <w:sz w:val="13"/>
                    </w:rPr>
                    <w:t>92</w:t>
                  </w:r>
                </w:p>
              </w:txbxContent>
            </v:textbox>
            <w10:wrap type="none"/>
          </v:shape>
        </w:pict>
      </w:r>
      <w:r>
        <w:rPr/>
        <w:pict>
          <v:shape style="position:absolute;margin-left:26.107117pt;margin-top:470.992188pt;width:8.5pt;height:79.95pt;mso-position-horizontal-relative:page;mso-position-vertical-relative:page;z-index:3424" type="#_x0000_t202" filled="false" stroked="false">
            <v:textbox inset="0,0,0,0" style="layout-flow:vertical">
              <w:txbxContent>
                <w:p>
                  <w:pPr>
                    <w:spacing w:before="0"/>
                    <w:ind w:left="20" w:right="-450" w:firstLine="0"/>
                    <w:jc w:val="left"/>
                    <w:rPr>
                      <w:rFonts w:ascii="Gotham Narrow Book"/>
                      <w:b w:val="0"/>
                      <w:sz w:val="13"/>
                    </w:rPr>
                  </w:pPr>
                  <w:r>
                    <w:rPr>
                      <w:rFonts w:ascii="Gotham Narrow Book"/>
                      <w:b w:val="0"/>
                      <w:spacing w:val="-2"/>
                      <w:sz w:val="13"/>
                    </w:rPr>
                    <w:t>W</w:t>
                  </w:r>
                  <w:r>
                    <w:rPr>
                      <w:rFonts w:ascii="Gotham Narrow Book"/>
                      <w:b w:val="0"/>
                      <w:spacing w:val="3"/>
                      <w:w w:val="99"/>
                      <w:sz w:val="13"/>
                    </w:rPr>
                    <w:t>e</w:t>
                  </w:r>
                  <w:r>
                    <w:rPr>
                      <w:rFonts w:ascii="Gotham Narrow Book"/>
                      <w:b w:val="0"/>
                      <w:spacing w:val="3"/>
                      <w:sz w:val="13"/>
                    </w:rPr>
                    <w:t>s</w:t>
                  </w:r>
                  <w:r>
                    <w:rPr>
                      <w:rFonts w:ascii="Gotham Narrow Book"/>
                      <w:b w:val="0"/>
                      <w:w w:val="99"/>
                      <w:sz w:val="13"/>
                    </w:rPr>
                    <w:t>t</w:t>
                  </w:r>
                  <w:r>
                    <w:rPr>
                      <w:rFonts w:ascii="Gotham Narrow Book"/>
                      <w:b w:val="0"/>
                      <w:spacing w:val="3"/>
                      <w:w w:val="99"/>
                      <w:sz w:val="13"/>
                    </w:rPr>
                    <w:t>e</w:t>
                  </w:r>
                  <w:r>
                    <w:rPr>
                      <w:rFonts w:ascii="Gotham Narrow Book"/>
                      <w:b w:val="0"/>
                      <w:spacing w:val="2"/>
                      <w:sz w:val="13"/>
                    </w:rPr>
                    <w:t>r</w:t>
                  </w:r>
                  <w:r>
                    <w:rPr>
                      <w:rFonts w:ascii="Gotham Narrow Book"/>
                      <w:b w:val="0"/>
                      <w:sz w:val="13"/>
                    </w:rPr>
                    <w:t>n</w:t>
                  </w:r>
                  <w:r>
                    <w:rPr>
                      <w:rFonts w:ascii="Gotham Narrow Book"/>
                      <w:b w:val="0"/>
                      <w:spacing w:val="3"/>
                      <w:sz w:val="13"/>
                    </w:rPr>
                    <w:t> </w:t>
                  </w:r>
                  <w:r>
                    <w:rPr>
                      <w:rFonts w:ascii="Gotham Narrow Book"/>
                      <w:b w:val="0"/>
                      <w:spacing w:val="-2"/>
                      <w:sz w:val="13"/>
                    </w:rPr>
                    <w:t>S</w:t>
                  </w:r>
                  <w:r>
                    <w:rPr>
                      <w:rFonts w:ascii="Gotham Narrow Book"/>
                      <w:b w:val="0"/>
                      <w:w w:val="100"/>
                      <w:sz w:val="13"/>
                    </w:rPr>
                    <w:t>y</w:t>
                  </w:r>
                  <w:r>
                    <w:rPr>
                      <w:rFonts w:ascii="Gotham Narrow Book"/>
                      <w:b w:val="0"/>
                      <w:spacing w:val="2"/>
                      <w:sz w:val="13"/>
                    </w:rPr>
                    <w:t>d</w:t>
                  </w:r>
                  <w:r>
                    <w:rPr>
                      <w:rFonts w:ascii="Gotham Narrow Book"/>
                      <w:b w:val="0"/>
                      <w:spacing w:val="3"/>
                      <w:sz w:val="13"/>
                    </w:rPr>
                    <w:t>n</w:t>
                  </w:r>
                  <w:r>
                    <w:rPr>
                      <w:rFonts w:ascii="Gotham Narrow Book"/>
                      <w:b w:val="0"/>
                      <w:w w:val="99"/>
                      <w:sz w:val="13"/>
                    </w:rPr>
                    <w:t>e</w:t>
                  </w:r>
                  <w:r>
                    <w:rPr>
                      <w:rFonts w:ascii="Gotham Narrow Book"/>
                      <w:b w:val="0"/>
                      <w:w w:val="100"/>
                      <w:sz w:val="13"/>
                    </w:rPr>
                    <w:t>y</w:t>
                  </w:r>
                  <w:r>
                    <w:rPr>
                      <w:rFonts w:ascii="Gotham Narrow Book"/>
                      <w:b w:val="0"/>
                      <w:spacing w:val="3"/>
                      <w:sz w:val="13"/>
                    </w:rPr>
                    <w:t> U</w:t>
                  </w:r>
                  <w:r>
                    <w:rPr>
                      <w:rFonts w:ascii="Gotham Narrow Book"/>
                      <w:b w:val="0"/>
                      <w:spacing w:val="2"/>
                      <w:sz w:val="13"/>
                    </w:rPr>
                    <w:t>n</w:t>
                  </w:r>
                  <w:r>
                    <w:rPr>
                      <w:rFonts w:ascii="Gotham Narrow Book"/>
                      <w:b w:val="0"/>
                      <w:spacing w:val="1"/>
                      <w:sz w:val="13"/>
                    </w:rPr>
                    <w:t>i</w:t>
                  </w:r>
                  <w:r>
                    <w:rPr>
                      <w:rFonts w:ascii="Gotham Narrow Book"/>
                      <w:b w:val="0"/>
                      <w:sz w:val="13"/>
                    </w:rPr>
                    <w:t>v</w:t>
                  </w:r>
                  <w:r>
                    <w:rPr>
                      <w:rFonts w:ascii="Gotham Narrow Book"/>
                      <w:b w:val="0"/>
                      <w:spacing w:val="3"/>
                      <w:w w:val="99"/>
                      <w:sz w:val="13"/>
                    </w:rPr>
                    <w:t>e</w:t>
                  </w:r>
                  <w:r>
                    <w:rPr>
                      <w:rFonts w:ascii="Gotham Narrow Book"/>
                      <w:b w:val="0"/>
                      <w:spacing w:val="3"/>
                      <w:sz w:val="13"/>
                    </w:rPr>
                    <w:t>r</w:t>
                  </w:r>
                  <w:r>
                    <w:rPr>
                      <w:rFonts w:ascii="Gotham Narrow Book"/>
                      <w:b w:val="0"/>
                      <w:spacing w:val="2"/>
                      <w:sz w:val="13"/>
                    </w:rPr>
                    <w:t>s</w:t>
                  </w:r>
                  <w:r>
                    <w:rPr>
                      <w:rFonts w:ascii="Gotham Narrow Book"/>
                      <w:b w:val="0"/>
                      <w:spacing w:val="1"/>
                      <w:sz w:val="13"/>
                    </w:rPr>
                    <w:t>i</w:t>
                  </w:r>
                  <w:r>
                    <w:rPr>
                      <w:rFonts w:ascii="Gotham Narrow Book"/>
                      <w:b w:val="0"/>
                      <w:spacing w:val="4"/>
                      <w:w w:val="99"/>
                      <w:sz w:val="13"/>
                    </w:rPr>
                    <w:t>t</w:t>
                  </w:r>
                  <w:r>
                    <w:rPr>
                      <w:rFonts w:ascii="Gotham Narrow Book"/>
                      <w:b w:val="0"/>
                      <w:w w:val="100"/>
                      <w:sz w:val="13"/>
                    </w:rPr>
                    <w:t>y</w:t>
                  </w:r>
                </w:p>
              </w:txbxContent>
            </v:textbox>
            <w10:wrap type="none"/>
          </v:shape>
        </w:pict>
      </w:r>
    </w:p>
    <w:p>
      <w:pPr>
        <w:spacing w:after="0"/>
        <w:rPr>
          <w:sz w:val="2"/>
          <w:szCs w:val="2"/>
        </w:rPr>
        <w:sectPr>
          <w:type w:val="continuous"/>
          <w:pgSz w:w="16840" w:h="11910" w:orient="landscape"/>
          <w:pgMar w:top="1580" w:bottom="280" w:left="780" w:right="800"/>
        </w:sectPr>
      </w:pPr>
    </w:p>
    <w:p>
      <w:pPr>
        <w:pStyle w:val="BodyText"/>
        <w:rPr>
          <w:sz w:val="20"/>
        </w:rPr>
      </w:pPr>
      <w:r>
        <w:rPr/>
        <w:pict>
          <v:shape style="position:absolute;margin-left:0pt;margin-top:.000015pt;width:595.3pt;height:841.9pt;mso-position-horizontal-relative:page;mso-position-vertical-relative:page;z-index:-334264" type="#_x0000_t202" filled="false" stroked="false">
            <v:textbox inset="0,0,0,0">
              <w:txbxContent>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spacing w:before="6"/>
                    <w:rPr>
                      <w:rFonts w:ascii="Gotham Narrow Book"/>
                      <w:b w:val="0"/>
                      <w:sz w:val="9"/>
                    </w:rPr>
                  </w:pPr>
                </w:p>
                <w:p>
                  <w:pPr>
                    <w:spacing w:before="0"/>
                    <w:ind w:left="0" w:right="905" w:firstLine="0"/>
                    <w:jc w:val="right"/>
                    <w:rPr>
                      <w:rFonts w:ascii="Gotham Narrow Book"/>
                      <w:b w:val="0"/>
                      <w:sz w:val="13"/>
                    </w:rPr>
                  </w:pPr>
                  <w:r>
                    <w:rPr>
                      <w:rFonts w:ascii="Gotham Narrow Book"/>
                      <w:b w:val="0"/>
                      <w:sz w:val="13"/>
                    </w:rPr>
                    <w:t>ANNUAL REPORT 2016</w:t>
                  </w: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rPr>
                      <w:rFonts w:ascii="Gotham Narrow Book"/>
                      <w:b w:val="0"/>
                      <w:sz w:val="12"/>
                    </w:rPr>
                  </w:pPr>
                </w:p>
                <w:p>
                  <w:pPr>
                    <w:pStyle w:val="BodyText"/>
                    <w:spacing w:before="12"/>
                    <w:rPr>
                      <w:rFonts w:ascii="Gotham Narrow Book"/>
                      <w:b w:val="0"/>
                      <w:sz w:val="14"/>
                    </w:rPr>
                  </w:pPr>
                </w:p>
                <w:p>
                  <w:pPr>
                    <w:tabs>
                      <w:tab w:pos="10998" w:val="right" w:leader="none"/>
                    </w:tabs>
                    <w:spacing w:before="0"/>
                    <w:ind w:left="907" w:right="0" w:firstLine="0"/>
                    <w:jc w:val="left"/>
                    <w:rPr>
                      <w:rFonts w:ascii="Gotham Narrow Book"/>
                      <w:b w:val="0"/>
                      <w:sz w:val="13"/>
                    </w:rPr>
                  </w:pPr>
                  <w:r>
                    <w:rPr>
                      <w:rFonts w:ascii="Gotham Narrow Book"/>
                      <w:b w:val="0"/>
                      <w:sz w:val="13"/>
                    </w:rPr>
                    <w:t>westernsydney.edu.au</w:t>
                    <w:tab/>
                    <w:t>93</w:t>
                  </w:r>
                </w:p>
              </w:txbxContent>
            </v:textbox>
            <w10:wrap type="none"/>
          </v:shape>
        </w:pict>
      </w:r>
      <w:r>
        <w:rPr/>
        <w:drawing>
          <wp:anchor distT="0" distB="0" distL="0" distR="0" allowOverlap="1" layoutInCell="1" locked="0" behindDoc="1" simplePos="0" relativeHeight="268101215">
            <wp:simplePos x="0" y="0"/>
            <wp:positionH relativeFrom="page">
              <wp:posOffset>0</wp:posOffset>
            </wp:positionH>
            <wp:positionV relativeFrom="page">
              <wp:posOffset>0</wp:posOffset>
            </wp:positionV>
            <wp:extent cx="7559992" cy="10692003"/>
            <wp:effectExtent l="0" t="0" r="0" b="0"/>
            <wp:wrapNone/>
            <wp:docPr id="9" name="image28.png" descr=""/>
            <wp:cNvGraphicFramePr>
              <a:graphicFrameLocks noChangeAspect="1"/>
            </wp:cNvGraphicFramePr>
            <a:graphic>
              <a:graphicData uri="http://schemas.openxmlformats.org/drawingml/2006/picture">
                <pic:pic>
                  <pic:nvPicPr>
                    <pic:cNvPr id="10" name="image28.png"/>
                    <pic:cNvPicPr/>
                  </pic:nvPicPr>
                  <pic:blipFill>
                    <a:blip r:embed="rId81" cstate="print"/>
                    <a:stretch>
                      <a:fillRect/>
                    </a:stretch>
                  </pic:blipFill>
                  <pic:spPr>
                    <a:xfrm>
                      <a:off x="0" y="0"/>
                      <a:ext cx="7559992" cy="1069200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49" w:lineRule="auto" w:before="76"/>
        <w:ind w:left="107" w:right="5977"/>
        <w:rPr>
          <w:rFonts w:ascii="Gotham Narrow Book"/>
          <w:b w:val="0"/>
        </w:rPr>
      </w:pPr>
      <w:r>
        <w:rPr>
          <w:rFonts w:ascii="Gotham Narrow Book"/>
          <w:b w:val="0"/>
          <w:color w:val="FFFFFF"/>
        </w:rPr>
        <w:t>The EucFACE research project at the Hawkesbury Institute for the  Environment.</w:t>
      </w:r>
    </w:p>
    <w:p>
      <w:pPr>
        <w:spacing w:after="0" w:line="249" w:lineRule="auto"/>
        <w:rPr>
          <w:rFonts w:ascii="Gotham Narrow Book"/>
        </w:rPr>
        <w:sectPr>
          <w:headerReference w:type="default" r:id="rId79"/>
          <w:footerReference w:type="default" r:id="rId80"/>
          <w:pgSz w:w="11910" w:h="16840"/>
          <w:pgMar w:header="0" w:footer="0" w:top="1580" w:bottom="280" w:left="800" w:right="1680"/>
        </w:sectPr>
      </w:pPr>
    </w:p>
    <w:p>
      <w:pPr>
        <w:pStyle w:val="BodyText"/>
        <w:rPr>
          <w:rFonts w:ascii="Gotham Narrow Book"/>
          <w:b w:val="0"/>
          <w:sz w:val="20"/>
        </w:rPr>
      </w:pPr>
      <w:r>
        <w:rPr/>
        <w:pict>
          <v:shape style="position:absolute;margin-left:0pt;margin-top:.000015pt;width:595.3pt;height:841.9pt;mso-position-horizontal-relative:page;mso-position-vertical-relative:page;z-index:-334192" type="#_x0000_t202" filled="false" stroked="false">
            <v:textbox inset="0,0,0,0">
              <w:txbxContent>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6"/>
                    <w:rPr>
                      <w:rFonts w:ascii="Gotham Narrow Bold"/>
                      <w:b/>
                      <w:sz w:val="9"/>
                    </w:rPr>
                  </w:pPr>
                </w:p>
                <w:p>
                  <w:pPr>
                    <w:spacing w:before="0"/>
                    <w:ind w:left="907" w:right="0" w:firstLine="0"/>
                    <w:jc w:val="left"/>
                    <w:rPr>
                      <w:rFonts w:ascii="Gotham Narrow Book"/>
                      <w:b w:val="0"/>
                      <w:sz w:val="13"/>
                    </w:rPr>
                  </w:pPr>
                  <w:r>
                    <w:rPr>
                      <w:rFonts w:ascii="Gotham Narrow Book"/>
                      <w:b w:val="0"/>
                      <w:sz w:val="13"/>
                    </w:rPr>
                    <w:t>ANNUAL REPORT 2016</w:t>
                  </w: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11"/>
                    <w:rPr>
                      <w:rFonts w:ascii="Gotham Narrow Bold"/>
                      <w:b/>
                      <w:sz w:val="14"/>
                    </w:rPr>
                  </w:pPr>
                </w:p>
                <w:p>
                  <w:pPr>
                    <w:tabs>
                      <w:tab w:pos="9439" w:val="left" w:leader="none"/>
                    </w:tabs>
                    <w:spacing w:before="1"/>
                    <w:ind w:left="907" w:right="0" w:firstLine="0"/>
                    <w:jc w:val="left"/>
                    <w:rPr>
                      <w:rFonts w:ascii="Gotham Narrow Book"/>
                      <w:b w:val="0"/>
                      <w:sz w:val="13"/>
                    </w:rPr>
                  </w:pPr>
                  <w:r>
                    <w:rPr>
                      <w:rFonts w:ascii="Gotham Narrow Book"/>
                      <w:b w:val="0"/>
                      <w:sz w:val="13"/>
                    </w:rPr>
                    <w:t>94</w:t>
                    <w:tab/>
                    <w:t>Western  Sydney</w:t>
                  </w:r>
                  <w:r>
                    <w:rPr>
                      <w:rFonts w:ascii="Gotham Narrow Book"/>
                      <w:b w:val="0"/>
                      <w:spacing w:val="6"/>
                      <w:sz w:val="13"/>
                    </w:rPr>
                    <w:t> </w:t>
                  </w:r>
                  <w:r>
                    <w:rPr>
                      <w:rFonts w:ascii="Gotham Narrow Book"/>
                      <w:b w:val="0"/>
                      <w:sz w:val="13"/>
                    </w:rPr>
                    <w:t>University</w:t>
                  </w:r>
                </w:p>
              </w:txbxContent>
            </v:textbox>
            <w10:wrap type="none"/>
          </v:shape>
        </w:pict>
      </w: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6"/>
        </w:rPr>
      </w:pPr>
    </w:p>
    <w:p>
      <w:pPr>
        <w:pStyle w:val="BodyText"/>
        <w:spacing w:line="249" w:lineRule="auto" w:before="76"/>
        <w:ind w:left="3188" w:right="3186"/>
        <w:jc w:val="center"/>
        <w:rPr>
          <w:rFonts w:ascii="Gotham Narrow Book"/>
          <w:b w:val="0"/>
        </w:rPr>
      </w:pPr>
      <w:r>
        <w:rPr>
          <w:rFonts w:ascii="Gotham Narrow Book"/>
          <w:b w:val="0"/>
          <w:color w:val="FFFFFF"/>
        </w:rPr>
        <w:t>Western Sydney University Locked Bag 1797</w:t>
      </w:r>
    </w:p>
    <w:p>
      <w:pPr>
        <w:pStyle w:val="BodyText"/>
        <w:ind w:left="3186" w:right="3186"/>
        <w:jc w:val="center"/>
        <w:rPr>
          <w:rFonts w:ascii="Gotham Narrow Book"/>
          <w:b w:val="0"/>
        </w:rPr>
      </w:pPr>
      <w:r>
        <w:rPr>
          <w:rFonts w:ascii="Gotham Narrow Book"/>
          <w:b w:val="0"/>
          <w:color w:val="FFFFFF"/>
        </w:rPr>
        <w:t>Penrith NSW 2751 Australia</w:t>
      </w: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r>
        <w:rPr/>
        <w:pict>
          <v:shape style="position:absolute;margin-left:269.126099pt;margin-top:13.995497pt;width:57.05pt;height:71.3pt;mso-position-horizontal-relative:page;mso-position-vertical-relative:paragraph;z-index:3496;mso-wrap-distance-left:0;mso-wrap-distance-right:0" coordorigin="5383,280" coordsize="1141,1426" path="m6523,280l5383,280,5383,1138,5394,1215,5425,1289,5472,1359,5530,1425,5597,1485,5667,1540,5738,1588,5805,1628,5863,1661,5910,1685,5941,1700,5953,1706,5964,1700,5995,1685,6042,1661,6101,1628,6167,1588,6238,1540,6309,1485,6375,1425,6434,1359,6469,1307,5685,1307,5497,508,6523,508,6523,280xm5952,760l5835,1253,5794,1262,5755,1275,5719,1289,5685,1307,6220,1307,6186,1289,6149,1275,6111,1262,6070,1253,5952,760xm6523,508l6408,508,6220,1307,6469,1307,6481,1289,6512,1215,6523,1138,6523,508xm5902,508l5615,508,5759,1106,5902,508xm6290,508l6003,508,6149,1106,6290,508xe" filled="true" fillcolor="#ffffff" stroked="false">
            <v:path arrowok="t"/>
            <v:fill type="solid"/>
            <w10:wrap type="topAndBottom"/>
          </v:shape>
        </w:pict>
      </w:r>
    </w:p>
    <w:p>
      <w:pPr>
        <w:pStyle w:val="BodyText"/>
        <w:spacing w:before="2"/>
        <w:rPr>
          <w:rFonts w:ascii="Gotham Narrow Book"/>
          <w:b w:val="0"/>
          <w:sz w:val="23"/>
        </w:rPr>
      </w:pPr>
    </w:p>
    <w:p>
      <w:pPr>
        <w:pStyle w:val="Heading5"/>
        <w:ind w:left="1273" w:right="1273"/>
        <w:jc w:val="center"/>
      </w:pPr>
      <w:r>
        <w:rPr>
          <w:color w:val="FFFFFF"/>
        </w:rPr>
        <w:t>WESTERNSYDNEY.EDU.AU</w:t>
      </w:r>
    </w:p>
    <w:sectPr>
      <w:headerReference w:type="even" r:id="rId82"/>
      <w:footerReference w:type="even" r:id="rId83"/>
      <w:pgSz w:w="11910" w:h="16840"/>
      <w:pgMar w:header="0" w:footer="0" w:top="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Gotham Narrow Book">
    <w:altName w:val="Gotham Narrow Book"/>
    <w:charset w:val="0"/>
    <w:family w:val="modern"/>
    <w:pitch w:val="variable"/>
  </w:font>
  <w:font w:name="Gotham Narrow Bold">
    <w:altName w:val="Gotham Narrow Bold"/>
    <w:charset w:val="0"/>
    <w:family w:val="modern"/>
    <w:pitch w:val="variable"/>
  </w:font>
  <w:font w:name="Tahoma">
    <w:altName w:val="Tahoma"/>
    <w:charset w:val="0"/>
    <w:family w:val="swiss"/>
    <w:pitch w:val="variable"/>
  </w:font>
  <w:font w:name="Calibri">
    <w:altName w:val="Calibri"/>
    <w:charset w:val="0"/>
    <w:family w:val="swiss"/>
    <w:pitch w:val="variable"/>
  </w:font>
  <w:font w:name="Microsoft Sans Serif">
    <w:altName w:val="Microsoft Sans Serif"/>
    <w:charset w:val="0"/>
    <w:family w:val="swiss"/>
    <w:pitch w:val="variable"/>
  </w:font>
  <w:font w:name="Chronicle Text G1">
    <w:altName w:val="Chronicle Text G1"/>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7.75pt;height:8.5pt;mso-position-horizontal-relative:page;mso-position-vertical-relative:page;z-index:-336640"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4</w:t>
                </w:r>
                <w:r>
                  <w:rPr/>
                  <w:fldChar w:fldCharType="end"/>
                </w:r>
              </w:p>
            </w:txbxContent>
          </v:textbox>
          <w10:wrap type="none"/>
        </v:shape>
      </w:pict>
    </w:r>
    <w:r>
      <w:rPr/>
      <w:pict>
        <v:shape style="position:absolute;margin-left:470.992188pt;margin-top:807.282898pt;width:79.95pt;height:8.5pt;mso-position-horizontal-relative:page;mso-position-vertical-relative:page;z-index:-33661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620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0.709595pt;margin-top:807.282898pt;width:11.5pt;height:8.5pt;mso-position-horizontal-relative:page;mso-position-vertical-relative:page;z-index:-336184" type="#_x0000_t202" filled="false" stroked="false">
          <v:textbox inset="0,0,0,0">
            <w:txbxContent>
              <w:p>
                <w:pPr>
                  <w:spacing w:before="0"/>
                  <w:ind w:left="43"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23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9.75pt;height:8.5pt;mso-position-horizontal-relative:page;mso-position-vertical-relative:page;z-index:-33616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30</w:t>
                </w:r>
              </w:p>
            </w:txbxContent>
          </v:textbox>
          <w10:wrap type="none"/>
        </v:shape>
      </w:pict>
    </w:r>
    <w:r>
      <w:rPr/>
      <w:pict>
        <v:shape style="position:absolute;margin-left:470.992188pt;margin-top:807.282898pt;width:79.95pt;height:8.5pt;mso-position-horizontal-relative:page;mso-position-vertical-relative:page;z-index:-33613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611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0.762878pt;margin-top:807.282898pt;width:11.4pt;height:8.5pt;mso-position-horizontal-relative:page;mso-position-vertical-relative:page;z-index:-336088" type="#_x0000_t202" filled="false" stroked="false">
          <v:textbox inset="0,0,0,0">
            <w:txbxContent>
              <w:p>
                <w:pPr>
                  <w:spacing w:before="0"/>
                  <w:ind w:left="40" w:right="0" w:firstLine="0"/>
                  <w:jc w:val="left"/>
                  <w:rPr>
                    <w:rFonts w:ascii="Gotham Narrow Book"/>
                    <w:b w:val="0"/>
                    <w:sz w:val="13"/>
                  </w:rPr>
                </w:pPr>
                <w:r>
                  <w:rPr>
                    <w:rFonts w:ascii="Gotham Narrow Book"/>
                    <w:b w:val="0"/>
                    <w:sz w:val="13"/>
                  </w:rPr>
                  <w:t>39</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1.65pt;height:8.5pt;mso-position-horizontal-relative:page;mso-position-vertical-relative:page;z-index:-336064"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34</w:t>
                </w:r>
                <w:r>
                  <w:rPr/>
                  <w:fldChar w:fldCharType="end"/>
                </w:r>
              </w:p>
            </w:txbxContent>
          </v:textbox>
          <w10:wrap type="none"/>
        </v:shape>
      </w:pict>
    </w:r>
    <w:r>
      <w:rPr/>
      <w:pict>
        <v:shape style="position:absolute;margin-left:470.992188pt;margin-top:807.282898pt;width:79.95pt;height:8.5pt;mso-position-horizontal-relative:page;mso-position-vertical-relative:page;z-index:-33604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601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0.958496pt;margin-top:807.282898pt;width:11.15pt;height:8.5pt;mso-position-horizontal-relative:page;mso-position-vertical-relative:page;z-index:-335992"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33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10.15pt;height:8.5pt;mso-position-horizontal-relative:page;mso-position-vertical-relative:page;z-index:-33596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40</w:t>
                </w:r>
              </w:p>
            </w:txbxContent>
          </v:textbox>
          <w10:wrap type="none"/>
        </v:shape>
      </w:pict>
    </w:r>
    <w:r>
      <w:rPr/>
      <w:pict>
        <v:shape style="position:absolute;margin-left:470.992188pt;margin-top:807.282898pt;width:79.95pt;height:8.5pt;mso-position-horizontal-relative:page;mso-position-vertical-relative:page;z-index:-33594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92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2.092224pt;margin-top:807.282898pt;width:9.9pt;height:8.5pt;mso-position-horizontal-relative:page;mso-position-vertical-relative:page;z-index:-335896" type="#_x0000_t202" filled="false" stroked="false">
          <v:textbox inset="0,0,0,0">
            <w:txbxContent>
              <w:p>
                <w:pPr>
                  <w:spacing w:before="0"/>
                  <w:ind w:left="40" w:right="0" w:firstLine="0"/>
                  <w:jc w:val="left"/>
                  <w:rPr>
                    <w:rFonts w:ascii="Gotham Narrow Book"/>
                    <w:b w:val="0"/>
                    <w:sz w:val="13"/>
                  </w:rPr>
                </w:pPr>
                <w:r>
                  <w:rPr>
                    <w:rFonts w:ascii="Gotham Narrow Book"/>
                    <w:b w:val="0"/>
                    <w:sz w:val="13"/>
                  </w:rPr>
                  <w:t>41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2.05pt;height:8.5pt;mso-position-horizontal-relative:page;mso-position-vertical-relative:page;z-index:-335872"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44</w:t>
                </w:r>
                <w:r>
                  <w:rPr/>
                  <w:fldChar w:fldCharType="end"/>
                </w:r>
              </w:p>
            </w:txbxContent>
          </v:textbox>
          <w10:wrap type="none"/>
        </v:shape>
      </w:pict>
    </w:r>
    <w:r>
      <w:rPr/>
      <w:pict>
        <v:shape style="position:absolute;margin-left:470.992188pt;margin-top:807.282898pt;width:79.95pt;height:8.5pt;mso-position-horizontal-relative:page;mso-position-vertical-relative:page;z-index:-33584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2.05pt;height:8.5pt;mso-position-horizontal-relative:page;mso-position-vertical-relative:page;z-index:-335776"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44</w:t>
                </w:r>
                <w:r>
                  <w:rPr/>
                  <w:fldChar w:fldCharType="end"/>
                </w:r>
              </w:p>
            </w:txbxContent>
          </v:textbox>
          <w10:wrap type="none"/>
        </v:shape>
      </w:pict>
    </w:r>
    <w:r>
      <w:rPr/>
      <w:pict>
        <v:shape style="position:absolute;margin-left:470.992188pt;margin-top:807.282898pt;width:79.95pt;height:8.5pt;mso-position-horizontal-relative:page;mso-position-vertical-relative:page;z-index:-33575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659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2.036926pt;margin-top:807.282898pt;width:10.1pt;height:8.5pt;mso-position-horizontal-relative:page;mso-position-vertical-relative:page;z-index:-336568"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19</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72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0.437317pt;margin-top:807.282898pt;width:11.8pt;height:8.5pt;mso-position-horizontal-relative:page;mso-position-vertical-relative:page;z-index:-335704"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49</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9.8pt;height:8.5pt;mso-position-horizontal-relative:page;mso-position-vertical-relative:page;z-index:-33568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50</w:t>
                </w:r>
              </w:p>
            </w:txbxContent>
          </v:textbox>
          <w10:wrap type="none"/>
        </v:shape>
      </w:pict>
    </w:r>
    <w:r>
      <w:rPr/>
      <w:pict>
        <v:shape style="position:absolute;margin-left:470.992188pt;margin-top:807.282898pt;width:79.95pt;height:8.5pt;mso-position-horizontal-relative:page;mso-position-vertical-relative:page;z-index:-33565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63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2.241577pt;margin-top:807.282898pt;width:9.9pt;height:8.5pt;mso-position-horizontal-relative:page;mso-position-vertical-relative:page;z-index:-335608" type="#_x0000_t202" filled="false" stroked="false">
          <v:textbox inset="0,0,0,0">
            <w:txbxContent>
              <w:p>
                <w:pPr>
                  <w:spacing w:before="0"/>
                  <w:ind w:left="40" w:right="0" w:firstLine="0"/>
                  <w:jc w:val="left"/>
                  <w:rPr>
                    <w:rFonts w:ascii="Gotham Narrow Book"/>
                    <w:b w:val="0"/>
                    <w:sz w:val="13"/>
                  </w:rPr>
                </w:pPr>
                <w:r>
                  <w:rPr>
                    <w:rFonts w:ascii="Gotham Narrow Book"/>
                    <w:b w:val="0"/>
                    <w:sz w:val="13"/>
                  </w:rPr>
                  <w:t>51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1.7pt;height:8.5pt;mso-position-horizontal-relative:page;mso-position-vertical-relative:page;z-index:-335584"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54</w:t>
                </w:r>
                <w:r>
                  <w:rPr/>
                  <w:fldChar w:fldCharType="end"/>
                </w:r>
              </w:p>
            </w:txbxContent>
          </v:textbox>
          <w10:wrap type="none"/>
        </v:shape>
      </w:pict>
    </w:r>
    <w:r>
      <w:rPr/>
      <w:pict>
        <v:shape style="position:absolute;margin-left:470.992188pt;margin-top:807.282898pt;width:79.95pt;height:8.5pt;mso-position-horizontal-relative:page;mso-position-vertical-relative:page;z-index:-33556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53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0.922729pt;margin-top:807.282898pt;width:11.2pt;height:8.5pt;mso-position-horizontal-relative:page;mso-position-vertical-relative:page;z-index:-335512"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53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1.9pt;height:8.5pt;mso-position-horizontal-relative:page;mso-position-vertical-relative:page;z-index:-335488"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64</w:t>
                </w:r>
                <w:r>
                  <w:rPr/>
                  <w:fldChar w:fldCharType="end"/>
                </w:r>
              </w:p>
            </w:txbxContent>
          </v:textbox>
          <w10:wrap type="none"/>
        </v:shape>
      </w:pict>
    </w:r>
    <w:r>
      <w:rPr/>
      <w:pict>
        <v:shape style="position:absolute;margin-left:470.992188pt;margin-top:807.282898pt;width:79.95pt;height:8.5pt;mso-position-horizontal-relative:page;mso-position-vertical-relative:page;z-index:-33546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44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2.02063pt;margin-top:807.282898pt;width:10.1pt;height:8.5pt;mso-position-horizontal-relative:page;mso-position-vertical-relative:page;z-index:-335416"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61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9.4pt;height:8.5pt;mso-position-horizontal-relative:page;mso-position-vertical-relative:page;z-index:-33539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70</w:t>
                </w:r>
              </w:p>
            </w:txbxContent>
          </v:textbox>
          <w10:wrap type="none"/>
        </v:shape>
      </w:pict>
    </w:r>
    <w:r>
      <w:rPr/>
      <w:pict>
        <v:shape style="position:absolute;margin-left:470.992188pt;margin-top:807.282898pt;width:79.95pt;height:8.5pt;mso-position-horizontal-relative:page;mso-position-vertical-relative:page;z-index:-33536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34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2.248108pt;margin-top:807.282898pt;width:10pt;height:8.5pt;mso-position-horizontal-relative:page;mso-position-vertical-relative:page;z-index:-335320" type="#_x0000_t202" filled="false" stroked="false">
          <v:textbox inset="0,0,0,0">
            <w:txbxContent>
              <w:p>
                <w:pPr>
                  <w:spacing w:before="0"/>
                  <w:ind w:left="40" w:right="0" w:firstLine="0"/>
                  <w:jc w:val="left"/>
                  <w:rPr>
                    <w:rFonts w:ascii="Gotham Narrow Book"/>
                    <w:b w:val="0"/>
                    <w:sz w:val="13"/>
                  </w:rPr>
                </w:pPr>
                <w:r>
                  <w:rPr>
                    <w:rFonts w:ascii="Gotham Narrow Book"/>
                    <w:b w:val="0"/>
                    <w:sz w:val="13"/>
                  </w:rPr>
                  <w:t>71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1.1pt;height:8.5pt;mso-position-horizontal-relative:page;mso-position-vertical-relative:page;z-index:-335296"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78</w:t>
                </w:r>
                <w:r>
                  <w:rPr/>
                  <w:fldChar w:fldCharType="end"/>
                </w:r>
              </w:p>
            </w:txbxContent>
          </v:textbox>
          <w10:wrap type="none"/>
        </v:shape>
      </w:pict>
    </w:r>
    <w:r>
      <w:rPr/>
      <w:pict>
        <v:shape style="position:absolute;margin-left:470.992188pt;margin-top:807.282898pt;width:79.95pt;height:8.5pt;mso-position-horizontal-relative:page;mso-position-vertical-relative:page;z-index:-33527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8.5pt;height:8.5pt;mso-position-horizontal-relative:page;mso-position-vertical-relative:page;z-index:-336544" type="#_x0000_t202" filled="false" stroked="false">
          <v:textbox inset="0,0,0,0">
            <w:txbxContent>
              <w:p>
                <w:pPr>
                  <w:spacing w:before="0"/>
                  <w:ind w:left="20" w:right="-404" w:firstLine="0"/>
                  <w:jc w:val="left"/>
                  <w:rPr>
                    <w:rFonts w:ascii="Gotham Narrow Book"/>
                    <w:b w:val="0"/>
                    <w:sz w:val="13"/>
                  </w:rPr>
                </w:pPr>
                <w:r>
                  <w:rPr>
                    <w:rFonts w:ascii="Gotham Narrow Book"/>
                    <w:b w:val="0"/>
                    <w:sz w:val="13"/>
                  </w:rPr>
                  <w:t>10</w:t>
                </w:r>
              </w:p>
            </w:txbxContent>
          </v:textbox>
          <w10:wrap type="none"/>
        </v:shape>
      </w:pict>
    </w:r>
    <w:r>
      <w:rPr/>
      <w:pict>
        <v:shape style="position:absolute;margin-left:470.992188pt;margin-top:807.282898pt;width:79.95pt;height:8.5pt;mso-position-horizontal-relative:page;mso-position-vertical-relative:page;z-index:-33652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24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1.020874pt;margin-top:807.282898pt;width:11.1pt;height:8.5pt;mso-position-horizontal-relative:page;mso-position-vertical-relative:page;z-index:-335224"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73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10pt;height:8.5pt;mso-position-horizontal-relative:page;mso-position-vertical-relative:page;z-index:-33520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80</w:t>
                </w:r>
              </w:p>
            </w:txbxContent>
          </v:textbox>
          <w10:wrap type="none"/>
        </v:shape>
      </w:pict>
    </w:r>
    <w:r>
      <w:rPr/>
      <w:pict>
        <v:shape style="position:absolute;margin-left:470.992188pt;margin-top:807.282898pt;width:79.95pt;height:8.5pt;mso-position-horizontal-relative:page;mso-position-vertical-relative:page;z-index:-33517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15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2.137573pt;margin-top:807.282898pt;width:10pt;height:8.5pt;mso-position-horizontal-relative:page;mso-position-vertical-relative:page;z-index:-335128" type="#_x0000_t202" filled="false" stroked="false">
          <v:textbox inset="0,0,0,0">
            <w:txbxContent>
              <w:p>
                <w:pPr>
                  <w:spacing w:before="0"/>
                  <w:ind w:left="40" w:right="0" w:firstLine="0"/>
                  <w:jc w:val="left"/>
                  <w:rPr>
                    <w:rFonts w:ascii="Gotham Narrow Book"/>
                    <w:b w:val="0"/>
                    <w:sz w:val="13"/>
                  </w:rPr>
                </w:pPr>
                <w:r>
                  <w:rPr>
                    <w:rFonts w:ascii="Gotham Narrow Book"/>
                    <w:b w:val="0"/>
                    <w:sz w:val="13"/>
                  </w:rPr>
                  <w:t>81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1.85pt;height:8.5pt;mso-position-horizontal-relative:page;mso-position-vertical-relative:page;z-index:-335104"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84</w:t>
                </w:r>
                <w:r>
                  <w:rPr/>
                  <w:fldChar w:fldCharType="end"/>
                </w:r>
              </w:p>
            </w:txbxContent>
          </v:textbox>
          <w10:wrap type="none"/>
        </v:shape>
      </w:pict>
    </w:r>
    <w:r>
      <w:rPr/>
      <w:pict>
        <v:shape style="position:absolute;margin-left:470.992188pt;margin-top:807.282898pt;width:79.95pt;height:8.5pt;mso-position-horizontal-relative:page;mso-position-vertical-relative:page;z-index:-33508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505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0.771301pt;margin-top:807.282898pt;width:11.4pt;height:8.5pt;mso-position-horizontal-relative:page;mso-position-vertical-relative:page;z-index:-335032"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83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10.15pt;height:8.5pt;mso-position-horizontal-relative:page;mso-position-vertical-relative:page;z-index:-33500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90</w:t>
                </w:r>
              </w:p>
            </w:txbxContent>
          </v:textbox>
          <w10:wrap type="none"/>
        </v:shape>
      </w:pict>
    </w:r>
    <w:r>
      <w:rPr/>
      <w:pict>
        <v:shape style="position:absolute;margin-left:470.992188pt;margin-top:807.282898pt;width:79.95pt;height:8.5pt;mso-position-horizontal-relative:page;mso-position-vertical-relative:page;z-index:-33498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6496"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3.652222pt;margin-top:807.282898pt;width:8.450pt;height:8.5pt;mso-position-horizontal-relative:page;mso-position-vertical-relative:page;z-index:-336472" type="#_x0000_t202" filled="false" stroked="false">
          <v:textbox inset="0,0,0,0">
            <w:txbxContent>
              <w:p>
                <w:pPr>
                  <w:spacing w:before="0"/>
                  <w:ind w:left="40" w:right="0" w:firstLine="0"/>
                  <w:jc w:val="left"/>
                  <w:rPr>
                    <w:rFonts w:ascii="Gotham Narrow Book"/>
                    <w:b w:val="0"/>
                    <w:sz w:val="13"/>
                  </w:rPr>
                </w:pPr>
                <w:r>
                  <w:rPr>
                    <w:rFonts w:ascii="Gotham Narrow Book"/>
                    <w:b w:val="0"/>
                    <w:sz w:val="13"/>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0.15pt;height:8.5pt;mso-position-horizontal-relative:page;mso-position-vertical-relative:page;z-index:-336448"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16</w:t>
                </w:r>
                <w:r>
                  <w:rPr/>
                  <w:fldChar w:fldCharType="end"/>
                </w:r>
              </w:p>
            </w:txbxContent>
          </v:textbox>
          <w10:wrap type="none"/>
        </v:shape>
      </w:pict>
    </w:r>
    <w:r>
      <w:rPr/>
      <w:pict>
        <v:shape style="position:absolute;margin-left:470.992188pt;margin-top:807.282898pt;width:79.95pt;height:8.5pt;mso-position-horizontal-relative:page;mso-position-vertical-relative:page;z-index:-33642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67pt;height:8.5pt;mso-position-horizontal-relative:page;mso-position-vertical-relative:page;z-index:-33640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westernsydney.edu.au</w:t>
                </w:r>
              </w:p>
            </w:txbxContent>
          </v:textbox>
          <w10:wrap type="none"/>
        </v:shape>
      </w:pict>
    </w:r>
    <w:r>
      <w:rPr/>
      <w:pict>
        <v:shape style="position:absolute;margin-left:542.339111pt;margin-top:807.282898pt;width:9.75pt;height:8.5pt;mso-position-horizontal-relative:page;mso-position-vertical-relative:page;z-index:-336376"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82898pt;width:9.65pt;height:8.5pt;mso-position-horizontal-relative:page;mso-position-vertical-relative:page;z-index:-33635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20</w:t>
                </w:r>
              </w:p>
            </w:txbxContent>
          </v:textbox>
          <w10:wrap type="none"/>
        </v:shape>
      </w:pict>
    </w:r>
    <w:r>
      <w:rPr/>
      <w:pict>
        <v:shape style="position:absolute;margin-left:470.992188pt;margin-top:807.282898pt;width:79.95pt;height:8.5pt;mso-position-horizontal-relative:page;mso-position-vertical-relative:page;z-index:-33632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82898pt;width:11.3pt;height:8.5pt;mso-position-horizontal-relative:page;mso-position-vertical-relative:page;z-index:-336256" type="#_x0000_t202" filled="false" stroked="false">
          <v:textbox inset="0,0,0,0">
            <w:txbxContent>
              <w:p>
                <w:pPr>
                  <w:spacing w:before="0"/>
                  <w:ind w:left="40" w:right="0" w:firstLine="0"/>
                  <w:jc w:val="left"/>
                  <w:rPr>
                    <w:rFonts w:ascii="Gotham Narrow Book"/>
                    <w:b w:val="0"/>
                    <w:sz w:val="13"/>
                  </w:rPr>
                </w:pPr>
                <w:r>
                  <w:rPr/>
                  <w:fldChar w:fldCharType="begin"/>
                </w:r>
                <w:r>
                  <w:rPr>
                    <w:rFonts w:ascii="Gotham Narrow Book"/>
                    <w:b w:val="0"/>
                    <w:sz w:val="13"/>
                  </w:rPr>
                  <w:instrText> PAGE </w:instrText>
                </w:r>
                <w:r>
                  <w:rPr/>
                  <w:fldChar w:fldCharType="separate"/>
                </w:r>
                <w:r>
                  <w:rPr/>
                  <w:t>26</w:t>
                </w:r>
                <w:r>
                  <w:rPr/>
                  <w:fldChar w:fldCharType="end"/>
                </w:r>
              </w:p>
            </w:txbxContent>
          </v:textbox>
          <w10:wrap type="none"/>
        </v:shape>
      </w:pict>
    </w:r>
    <w:r>
      <w:rPr/>
      <w:pict>
        <v:shape style="position:absolute;margin-left:470.992188pt;margin-top:807.282898pt;width:79.95pt;height:8.5pt;mso-position-horizontal-relative:page;mso-position-vertical-relative:page;z-index:-336232"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Western  Sydney University</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4.354301pt;margin-top:27.285999pt;width:72.2pt;height:8.5pt;mso-position-horizontal-relative:page;mso-position-vertical-relative:page;z-index:-336688"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ANNUAL REPORT 2016</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334960" filled="true" fillcolor="#000000"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768799pt;margin-top:27.282898pt;width:72.2pt;height:8.5pt;mso-position-horizontal-relative:page;mso-position-vertical-relative:page;z-index:-33666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ANNUAL REPORT 2016</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27.285999pt;width:72.2pt;height:8.5pt;mso-position-horizontal-relative:page;mso-position-vertical-relative:page;z-index:-33630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ANNUAL REPORT 2016</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768799pt;margin-top:27.282898pt;width:72.2pt;height:8.5pt;mso-position-horizontal-relative:page;mso-position-vertical-relative:page;z-index:-33628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ANNUAL REPORT 2016</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27.285999pt;width:72.2pt;height:8.5pt;mso-position-horizontal-relative:page;mso-position-vertical-relative:page;z-index:-335824"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ANNUAL REPORT 2016</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768799pt;margin-top:27.282898pt;width:72.2pt;height:8.5pt;mso-position-horizontal-relative:page;mso-position-vertical-relative:page;z-index:-335800" type="#_x0000_t202" filled="false" stroked="false">
          <v:textbox inset="0,0,0,0">
            <w:txbxContent>
              <w:p>
                <w:pPr>
                  <w:spacing w:before="0"/>
                  <w:ind w:left="20" w:right="0" w:firstLine="0"/>
                  <w:jc w:val="left"/>
                  <w:rPr>
                    <w:rFonts w:ascii="Gotham Narrow Book"/>
                    <w:b w:val="0"/>
                    <w:sz w:val="13"/>
                  </w:rPr>
                </w:pPr>
                <w:r>
                  <w:rPr>
                    <w:rFonts w:ascii="Gotham Narrow Book"/>
                    <w:b w:val="0"/>
                    <w:sz w:val="13"/>
                  </w:rPr>
                  <w:t>ANNUAL REPORT 2016</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upperRoman"/>
      <w:lvlText w:val="%1."/>
      <w:lvlJc w:val="left"/>
      <w:pPr>
        <w:ind w:left="5520" w:hanging="190"/>
        <w:jc w:val="right"/>
      </w:pPr>
      <w:rPr>
        <w:rFonts w:hint="default" w:ascii="Gotham Narrow Bold" w:hAnsi="Gotham Narrow Bold" w:eastAsia="Gotham Narrow Bold" w:cs="Gotham Narrow Bold"/>
        <w:b/>
        <w:bCs/>
        <w:color w:val="6B6764"/>
        <w:w w:val="91"/>
        <w:sz w:val="24"/>
        <w:szCs w:val="24"/>
      </w:rPr>
    </w:lvl>
    <w:lvl w:ilvl="1">
      <w:start w:val="1"/>
      <w:numFmt w:val="bullet"/>
      <w:lvlText w:val="•"/>
      <w:lvlJc w:val="left"/>
      <w:pPr>
        <w:ind w:left="5520" w:hanging="190"/>
      </w:pPr>
      <w:rPr>
        <w:rFonts w:hint="default"/>
      </w:rPr>
    </w:lvl>
    <w:lvl w:ilvl="2">
      <w:start w:val="1"/>
      <w:numFmt w:val="bullet"/>
      <w:lvlText w:val="•"/>
      <w:lvlJc w:val="left"/>
      <w:pPr>
        <w:ind w:left="5580" w:hanging="190"/>
      </w:pPr>
      <w:rPr>
        <w:rFonts w:hint="default"/>
      </w:rPr>
    </w:lvl>
    <w:lvl w:ilvl="3">
      <w:start w:val="1"/>
      <w:numFmt w:val="bullet"/>
      <w:lvlText w:val="•"/>
      <w:lvlJc w:val="left"/>
      <w:pPr>
        <w:ind w:left="6298" w:hanging="190"/>
      </w:pPr>
      <w:rPr>
        <w:rFonts w:hint="default"/>
      </w:rPr>
    </w:lvl>
    <w:lvl w:ilvl="4">
      <w:start w:val="1"/>
      <w:numFmt w:val="bullet"/>
      <w:lvlText w:val="•"/>
      <w:lvlJc w:val="left"/>
      <w:pPr>
        <w:ind w:left="7016" w:hanging="190"/>
      </w:pPr>
      <w:rPr>
        <w:rFonts w:hint="default"/>
      </w:rPr>
    </w:lvl>
    <w:lvl w:ilvl="5">
      <w:start w:val="1"/>
      <w:numFmt w:val="bullet"/>
      <w:lvlText w:val="•"/>
      <w:lvlJc w:val="left"/>
      <w:pPr>
        <w:ind w:left="7734" w:hanging="190"/>
      </w:pPr>
      <w:rPr>
        <w:rFonts w:hint="default"/>
      </w:rPr>
    </w:lvl>
    <w:lvl w:ilvl="6">
      <w:start w:val="1"/>
      <w:numFmt w:val="bullet"/>
      <w:lvlText w:val="•"/>
      <w:lvlJc w:val="left"/>
      <w:pPr>
        <w:ind w:left="8452" w:hanging="190"/>
      </w:pPr>
      <w:rPr>
        <w:rFonts w:hint="default"/>
      </w:rPr>
    </w:lvl>
    <w:lvl w:ilvl="7">
      <w:start w:val="1"/>
      <w:numFmt w:val="bullet"/>
      <w:lvlText w:val="•"/>
      <w:lvlJc w:val="left"/>
      <w:pPr>
        <w:ind w:left="9170" w:hanging="190"/>
      </w:pPr>
      <w:rPr>
        <w:rFonts w:hint="default"/>
      </w:rPr>
    </w:lvl>
    <w:lvl w:ilvl="8">
      <w:start w:val="1"/>
      <w:numFmt w:val="bullet"/>
      <w:lvlText w:val="•"/>
      <w:lvlJc w:val="left"/>
      <w:pPr>
        <w:ind w:left="9889" w:hanging="190"/>
      </w:pPr>
      <w:rPr>
        <w:rFonts w:hint="default"/>
      </w:rPr>
    </w:lvl>
  </w:abstractNum>
  <w:abstractNum w:abstractNumId="1">
    <w:multiLevelType w:val="hybridMultilevel"/>
    <w:lvl w:ilvl="0">
      <w:start w:val="1"/>
      <w:numFmt w:val="decimal"/>
      <w:lvlText w:val="%1."/>
      <w:lvlJc w:val="left"/>
      <w:pPr>
        <w:ind w:left="525" w:hanging="199"/>
        <w:jc w:val="left"/>
      </w:pPr>
      <w:rPr>
        <w:rFonts w:hint="default" w:ascii="Tahoma" w:hAnsi="Tahoma" w:eastAsia="Tahoma" w:cs="Tahoma"/>
        <w:spacing w:val="0"/>
        <w:w w:val="54"/>
        <w:sz w:val="16"/>
        <w:szCs w:val="16"/>
      </w:rPr>
    </w:lvl>
    <w:lvl w:ilvl="1">
      <w:start w:val="1"/>
      <w:numFmt w:val="bullet"/>
      <w:lvlText w:val="•"/>
      <w:lvlJc w:val="left"/>
      <w:pPr>
        <w:ind w:left="821" w:hanging="199"/>
      </w:pPr>
      <w:rPr>
        <w:rFonts w:hint="default"/>
      </w:rPr>
    </w:lvl>
    <w:lvl w:ilvl="2">
      <w:start w:val="1"/>
      <w:numFmt w:val="bullet"/>
      <w:lvlText w:val="•"/>
      <w:lvlJc w:val="left"/>
      <w:pPr>
        <w:ind w:left="1123" w:hanging="199"/>
      </w:pPr>
      <w:rPr>
        <w:rFonts w:hint="default"/>
      </w:rPr>
    </w:lvl>
    <w:lvl w:ilvl="3">
      <w:start w:val="1"/>
      <w:numFmt w:val="bullet"/>
      <w:lvlText w:val="•"/>
      <w:lvlJc w:val="left"/>
      <w:pPr>
        <w:ind w:left="1425" w:hanging="199"/>
      </w:pPr>
      <w:rPr>
        <w:rFonts w:hint="default"/>
      </w:rPr>
    </w:lvl>
    <w:lvl w:ilvl="4">
      <w:start w:val="1"/>
      <w:numFmt w:val="bullet"/>
      <w:lvlText w:val="•"/>
      <w:lvlJc w:val="left"/>
      <w:pPr>
        <w:ind w:left="1726" w:hanging="199"/>
      </w:pPr>
      <w:rPr>
        <w:rFonts w:hint="default"/>
      </w:rPr>
    </w:lvl>
    <w:lvl w:ilvl="5">
      <w:start w:val="1"/>
      <w:numFmt w:val="bullet"/>
      <w:lvlText w:val="•"/>
      <w:lvlJc w:val="left"/>
      <w:pPr>
        <w:ind w:left="2028" w:hanging="199"/>
      </w:pPr>
      <w:rPr>
        <w:rFonts w:hint="default"/>
      </w:rPr>
    </w:lvl>
    <w:lvl w:ilvl="6">
      <w:start w:val="1"/>
      <w:numFmt w:val="bullet"/>
      <w:lvlText w:val="•"/>
      <w:lvlJc w:val="left"/>
      <w:pPr>
        <w:ind w:left="2330" w:hanging="199"/>
      </w:pPr>
      <w:rPr>
        <w:rFonts w:hint="default"/>
      </w:rPr>
    </w:lvl>
    <w:lvl w:ilvl="7">
      <w:start w:val="1"/>
      <w:numFmt w:val="bullet"/>
      <w:lvlText w:val="•"/>
      <w:lvlJc w:val="left"/>
      <w:pPr>
        <w:ind w:left="2632" w:hanging="199"/>
      </w:pPr>
      <w:rPr>
        <w:rFonts w:hint="default"/>
      </w:rPr>
    </w:lvl>
    <w:lvl w:ilvl="8">
      <w:start w:val="1"/>
      <w:numFmt w:val="bullet"/>
      <w:lvlText w:val="•"/>
      <w:lvlJc w:val="left"/>
      <w:pPr>
        <w:ind w:left="2933" w:hanging="199"/>
      </w:pPr>
      <w:rPr>
        <w:rFonts w:hint="default"/>
      </w:rPr>
    </w:lvl>
  </w:abstractNum>
  <w:abstractNum w:abstractNumId="3">
    <w:multiLevelType w:val="hybridMultilevel"/>
    <w:lvl w:ilvl="0">
      <w:start w:val="1"/>
      <w:numFmt w:val="decimal"/>
      <w:lvlText w:val="%1."/>
      <w:lvlJc w:val="left"/>
      <w:pPr>
        <w:ind w:left="525" w:hanging="199"/>
        <w:jc w:val="left"/>
      </w:pPr>
      <w:rPr>
        <w:rFonts w:hint="default" w:ascii="Tahoma" w:hAnsi="Tahoma" w:eastAsia="Tahoma" w:cs="Tahoma"/>
        <w:spacing w:val="0"/>
        <w:w w:val="54"/>
        <w:sz w:val="16"/>
        <w:szCs w:val="16"/>
      </w:rPr>
    </w:lvl>
    <w:lvl w:ilvl="1">
      <w:start w:val="1"/>
      <w:numFmt w:val="bullet"/>
      <w:lvlText w:val="•"/>
      <w:lvlJc w:val="left"/>
      <w:pPr>
        <w:ind w:left="819" w:hanging="199"/>
      </w:pPr>
      <w:rPr>
        <w:rFonts w:hint="default"/>
      </w:rPr>
    </w:lvl>
    <w:lvl w:ilvl="2">
      <w:start w:val="1"/>
      <w:numFmt w:val="bullet"/>
      <w:lvlText w:val="•"/>
      <w:lvlJc w:val="left"/>
      <w:pPr>
        <w:ind w:left="1119" w:hanging="199"/>
      </w:pPr>
      <w:rPr>
        <w:rFonts w:hint="default"/>
      </w:rPr>
    </w:lvl>
    <w:lvl w:ilvl="3">
      <w:start w:val="1"/>
      <w:numFmt w:val="bullet"/>
      <w:lvlText w:val="•"/>
      <w:lvlJc w:val="left"/>
      <w:pPr>
        <w:ind w:left="1418" w:hanging="199"/>
      </w:pPr>
      <w:rPr>
        <w:rFonts w:hint="default"/>
      </w:rPr>
    </w:lvl>
    <w:lvl w:ilvl="4">
      <w:start w:val="1"/>
      <w:numFmt w:val="bullet"/>
      <w:lvlText w:val="•"/>
      <w:lvlJc w:val="left"/>
      <w:pPr>
        <w:ind w:left="1718" w:hanging="199"/>
      </w:pPr>
      <w:rPr>
        <w:rFonts w:hint="default"/>
      </w:rPr>
    </w:lvl>
    <w:lvl w:ilvl="5">
      <w:start w:val="1"/>
      <w:numFmt w:val="bullet"/>
      <w:lvlText w:val="•"/>
      <w:lvlJc w:val="left"/>
      <w:pPr>
        <w:ind w:left="2018" w:hanging="199"/>
      </w:pPr>
      <w:rPr>
        <w:rFonts w:hint="default"/>
      </w:rPr>
    </w:lvl>
    <w:lvl w:ilvl="6">
      <w:start w:val="1"/>
      <w:numFmt w:val="bullet"/>
      <w:lvlText w:val="•"/>
      <w:lvlJc w:val="left"/>
      <w:pPr>
        <w:ind w:left="2317" w:hanging="199"/>
      </w:pPr>
      <w:rPr>
        <w:rFonts w:hint="default"/>
      </w:rPr>
    </w:lvl>
    <w:lvl w:ilvl="7">
      <w:start w:val="1"/>
      <w:numFmt w:val="bullet"/>
      <w:lvlText w:val="•"/>
      <w:lvlJc w:val="left"/>
      <w:pPr>
        <w:ind w:left="2617" w:hanging="199"/>
      </w:pPr>
      <w:rPr>
        <w:rFonts w:hint="default"/>
      </w:rPr>
    </w:lvl>
    <w:lvl w:ilvl="8">
      <w:start w:val="1"/>
      <w:numFmt w:val="bullet"/>
      <w:lvlText w:val="•"/>
      <w:lvlJc w:val="left"/>
      <w:pPr>
        <w:ind w:left="2917" w:hanging="199"/>
      </w:pPr>
      <w:rPr>
        <w:rFonts w:hint="default"/>
      </w:rPr>
    </w:lvl>
  </w:abstractNum>
  <w:abstractNum w:abstractNumId="0">
    <w:multiLevelType w:val="hybridMultilevel"/>
    <w:lvl w:ilvl="0">
      <w:start w:val="1"/>
      <w:numFmt w:val="bullet"/>
      <w:lvlText w:val="–"/>
      <w:lvlJc w:val="left"/>
      <w:pPr>
        <w:ind w:left="447" w:hanging="117"/>
      </w:pPr>
      <w:rPr>
        <w:rFonts w:hint="default" w:ascii="Tahoma" w:hAnsi="Tahoma" w:eastAsia="Tahoma" w:cs="Tahoma"/>
        <w:w w:val="89"/>
        <w:sz w:val="16"/>
        <w:szCs w:val="16"/>
      </w:rPr>
    </w:lvl>
    <w:lvl w:ilvl="1">
      <w:start w:val="1"/>
      <w:numFmt w:val="bullet"/>
      <w:lvlText w:val="•"/>
      <w:lvlJc w:val="left"/>
      <w:pPr>
        <w:ind w:left="725" w:hanging="117"/>
      </w:pPr>
      <w:rPr>
        <w:rFonts w:hint="default"/>
      </w:rPr>
    </w:lvl>
    <w:lvl w:ilvl="2">
      <w:start w:val="1"/>
      <w:numFmt w:val="bullet"/>
      <w:lvlText w:val="•"/>
      <w:lvlJc w:val="left"/>
      <w:pPr>
        <w:ind w:left="1010" w:hanging="117"/>
      </w:pPr>
      <w:rPr>
        <w:rFonts w:hint="default"/>
      </w:rPr>
    </w:lvl>
    <w:lvl w:ilvl="3">
      <w:start w:val="1"/>
      <w:numFmt w:val="bullet"/>
      <w:lvlText w:val="•"/>
      <w:lvlJc w:val="left"/>
      <w:pPr>
        <w:ind w:left="1296" w:hanging="117"/>
      </w:pPr>
      <w:rPr>
        <w:rFonts w:hint="default"/>
      </w:rPr>
    </w:lvl>
    <w:lvl w:ilvl="4">
      <w:start w:val="1"/>
      <w:numFmt w:val="bullet"/>
      <w:lvlText w:val="•"/>
      <w:lvlJc w:val="left"/>
      <w:pPr>
        <w:ind w:left="1581" w:hanging="117"/>
      </w:pPr>
      <w:rPr>
        <w:rFonts w:hint="default"/>
      </w:rPr>
    </w:lvl>
    <w:lvl w:ilvl="5">
      <w:start w:val="1"/>
      <w:numFmt w:val="bullet"/>
      <w:lvlText w:val="•"/>
      <w:lvlJc w:val="left"/>
      <w:pPr>
        <w:ind w:left="1867" w:hanging="117"/>
      </w:pPr>
      <w:rPr>
        <w:rFonts w:hint="default"/>
      </w:rPr>
    </w:lvl>
    <w:lvl w:ilvl="6">
      <w:start w:val="1"/>
      <w:numFmt w:val="bullet"/>
      <w:lvlText w:val="•"/>
      <w:lvlJc w:val="left"/>
      <w:pPr>
        <w:ind w:left="2152" w:hanging="117"/>
      </w:pPr>
      <w:rPr>
        <w:rFonts w:hint="default"/>
      </w:rPr>
    </w:lvl>
    <w:lvl w:ilvl="7">
      <w:start w:val="1"/>
      <w:numFmt w:val="bullet"/>
      <w:lvlText w:val="•"/>
      <w:lvlJc w:val="left"/>
      <w:pPr>
        <w:ind w:left="2437" w:hanging="117"/>
      </w:pPr>
      <w:rPr>
        <w:rFonts w:hint="default"/>
      </w:rPr>
    </w:lvl>
    <w:lvl w:ilvl="8">
      <w:start w:val="1"/>
      <w:numFmt w:val="bullet"/>
      <w:lvlText w:val="•"/>
      <w:lvlJc w:val="left"/>
      <w:pPr>
        <w:ind w:left="2723" w:hanging="117"/>
      </w:pPr>
      <w:rPr>
        <w:rFonts w:hint="default"/>
      </w:rPr>
    </w:lvl>
  </w:abstractNum>
  <w:num w:numId="3">
    <w:abstractNumId w:val="2"/>
  </w:num>
  <w:num w:numId="2">
    <w:abstractNumId w:val="1"/>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240"/>
      <w:ind w:left="107"/>
    </w:pPr>
    <w:rPr>
      <w:rFonts w:ascii="Gotham Narrow Bold" w:hAnsi="Gotham Narrow Bold" w:eastAsia="Gotham Narrow Bold" w:cs="Gotham Narrow Bold"/>
      <w:b/>
      <w:bCs/>
      <w:sz w:val="16"/>
      <w:szCs w:val="16"/>
    </w:rPr>
  </w:style>
  <w:style w:styleId="TOC2" w:type="paragraph">
    <w:name w:val="TOC 2"/>
    <w:basedOn w:val="Normal"/>
    <w:uiPriority w:val="1"/>
    <w:qFormat/>
    <w:pPr>
      <w:spacing w:before="120"/>
      <w:ind w:left="107"/>
    </w:pPr>
    <w:rPr>
      <w:rFonts w:ascii="Tahoma" w:hAnsi="Tahoma" w:eastAsia="Tahoma" w:cs="Tahoma"/>
      <w:sz w:val="16"/>
      <w:szCs w:val="16"/>
    </w:rPr>
  </w:style>
  <w:style w:styleId="BodyText" w:type="paragraph">
    <w:name w:val="Body Text"/>
    <w:basedOn w:val="Normal"/>
    <w:uiPriority w:val="1"/>
    <w:qFormat/>
    <w:pPr/>
    <w:rPr>
      <w:rFonts w:ascii="Tahoma" w:hAnsi="Tahoma" w:eastAsia="Tahoma" w:cs="Tahoma"/>
      <w:sz w:val="16"/>
      <w:szCs w:val="16"/>
    </w:rPr>
  </w:style>
  <w:style w:styleId="Heading1" w:type="paragraph">
    <w:name w:val="Heading 1"/>
    <w:basedOn w:val="Normal"/>
    <w:uiPriority w:val="1"/>
    <w:qFormat/>
    <w:pPr>
      <w:spacing w:before="30"/>
      <w:ind w:left="327" w:right="7611"/>
      <w:outlineLvl w:val="1"/>
    </w:pPr>
    <w:rPr>
      <w:rFonts w:ascii="Gotham Narrow Bold" w:hAnsi="Gotham Narrow Bold" w:eastAsia="Gotham Narrow Bold" w:cs="Gotham Narrow Bold"/>
      <w:b/>
      <w:bCs/>
      <w:sz w:val="40"/>
      <w:szCs w:val="40"/>
    </w:rPr>
  </w:style>
  <w:style w:styleId="Heading2" w:type="paragraph">
    <w:name w:val="Heading 2"/>
    <w:basedOn w:val="Normal"/>
    <w:uiPriority w:val="1"/>
    <w:qFormat/>
    <w:pPr>
      <w:spacing w:before="75" w:line="420" w:lineRule="exact"/>
      <w:ind w:left="107" w:right="8512"/>
      <w:outlineLvl w:val="2"/>
    </w:pPr>
    <w:rPr>
      <w:rFonts w:ascii="Chronicle Text G1" w:hAnsi="Chronicle Text G1" w:eastAsia="Chronicle Text G1" w:cs="Chronicle Text G1"/>
      <w:sz w:val="40"/>
      <w:szCs w:val="40"/>
    </w:rPr>
  </w:style>
  <w:style w:styleId="Heading3" w:type="paragraph">
    <w:name w:val="Heading 3"/>
    <w:basedOn w:val="Normal"/>
    <w:uiPriority w:val="1"/>
    <w:qFormat/>
    <w:pPr>
      <w:spacing w:line="372" w:lineRule="exact"/>
      <w:outlineLvl w:val="3"/>
    </w:pPr>
    <w:rPr>
      <w:rFonts w:ascii="Tahoma" w:hAnsi="Tahoma" w:eastAsia="Tahoma" w:cs="Tahoma"/>
      <w:sz w:val="37"/>
      <w:szCs w:val="37"/>
    </w:rPr>
  </w:style>
  <w:style w:styleId="Heading4" w:type="paragraph">
    <w:name w:val="Heading 4"/>
    <w:basedOn w:val="Normal"/>
    <w:uiPriority w:val="1"/>
    <w:qFormat/>
    <w:pPr>
      <w:ind w:left="883"/>
      <w:jc w:val="center"/>
      <w:outlineLvl w:val="4"/>
    </w:pPr>
    <w:rPr>
      <w:rFonts w:ascii="Gotham Narrow Bold" w:hAnsi="Gotham Narrow Bold" w:eastAsia="Gotham Narrow Bold" w:cs="Gotham Narrow Bold"/>
      <w:b/>
      <w:bCs/>
      <w:sz w:val="26"/>
      <w:szCs w:val="26"/>
    </w:rPr>
  </w:style>
  <w:style w:styleId="Heading5" w:type="paragraph">
    <w:name w:val="Heading 5"/>
    <w:basedOn w:val="Normal"/>
    <w:uiPriority w:val="1"/>
    <w:qFormat/>
    <w:pPr>
      <w:ind w:left="107"/>
      <w:outlineLvl w:val="5"/>
    </w:pPr>
    <w:rPr>
      <w:rFonts w:ascii="Gotham Narrow Bold" w:hAnsi="Gotham Narrow Bold" w:eastAsia="Gotham Narrow Bold" w:cs="Gotham Narrow Bold"/>
      <w:b/>
      <w:bCs/>
      <w:sz w:val="24"/>
      <w:szCs w:val="24"/>
    </w:rPr>
  </w:style>
  <w:style w:styleId="Heading6" w:type="paragraph">
    <w:name w:val="Heading 6"/>
    <w:basedOn w:val="Normal"/>
    <w:uiPriority w:val="1"/>
    <w:qFormat/>
    <w:pPr>
      <w:ind w:left="590" w:right="35"/>
      <w:outlineLvl w:val="6"/>
    </w:pPr>
    <w:rPr>
      <w:rFonts w:ascii="Gotham Narrow Bold" w:hAnsi="Gotham Narrow Bold" w:eastAsia="Gotham Narrow Bold" w:cs="Gotham Narrow Bold"/>
      <w:b/>
      <w:bCs/>
      <w:sz w:val="18"/>
      <w:szCs w:val="18"/>
    </w:rPr>
  </w:style>
  <w:style w:styleId="Heading7" w:type="paragraph">
    <w:name w:val="Heading 7"/>
    <w:basedOn w:val="Normal"/>
    <w:uiPriority w:val="1"/>
    <w:qFormat/>
    <w:pPr>
      <w:ind w:left="107" w:right="-2"/>
      <w:outlineLvl w:val="7"/>
    </w:pPr>
    <w:rPr>
      <w:rFonts w:ascii="Gotham Narrow Bold" w:hAnsi="Gotham Narrow Bold" w:eastAsia="Gotham Narrow Bold" w:cs="Gotham Narrow Bold"/>
      <w:b/>
      <w:bCs/>
      <w:sz w:val="16"/>
      <w:szCs w:val="16"/>
    </w:rPr>
  </w:style>
  <w:style w:styleId="ListParagraph" w:type="paragraph">
    <w:name w:val="List Paragraph"/>
    <w:basedOn w:val="Normal"/>
    <w:uiPriority w:val="1"/>
    <w:qFormat/>
    <w:pPr>
      <w:spacing w:before="55"/>
      <w:ind w:left="525" w:hanging="198"/>
    </w:pPr>
    <w:rPr>
      <w:rFonts w:ascii="Tahoma" w:hAnsi="Tahoma" w:eastAsia="Tahoma" w:cs="Tahoma"/>
    </w:rPr>
  </w:style>
  <w:style w:styleId="TableParagraph" w:type="paragraph">
    <w:name w:val="Table Paragraph"/>
    <w:basedOn w:val="Normal"/>
    <w:uiPriority w:val="1"/>
    <w:qFormat/>
    <w:pPr>
      <w:spacing w:before="55"/>
      <w:jc w:val="right"/>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image" Target="media/image25.png"/><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footer" Target="footer7.xml"/><Relationship Id="rId39" Type="http://schemas.openxmlformats.org/officeDocument/2006/relationships/header" Target="header3.xml"/><Relationship Id="rId40" Type="http://schemas.openxmlformats.org/officeDocument/2006/relationships/footer" Target="footer8.xml"/><Relationship Id="rId41" Type="http://schemas.openxmlformats.org/officeDocument/2006/relationships/image" Target="media/image26.png"/><Relationship Id="rId42" Type="http://schemas.openxmlformats.org/officeDocument/2006/relationships/header" Target="header4.xml"/><Relationship Id="rId43" Type="http://schemas.openxmlformats.org/officeDocument/2006/relationships/header" Target="header5.xml"/><Relationship Id="rId44" Type="http://schemas.openxmlformats.org/officeDocument/2006/relationships/footer" Target="footer9.xml"/><Relationship Id="rId45" Type="http://schemas.openxmlformats.org/officeDocument/2006/relationships/footer" Target="footer10.xml"/><Relationship Id="rId46" Type="http://schemas.openxmlformats.org/officeDocument/2006/relationships/footer" Target="footer11.xml"/><Relationship Id="rId47" Type="http://schemas.openxmlformats.org/officeDocument/2006/relationships/footer" Target="footer12.xml"/><Relationship Id="rId48" Type="http://schemas.openxmlformats.org/officeDocument/2006/relationships/footer" Target="footer13.xml"/><Relationship Id="rId49" Type="http://schemas.openxmlformats.org/officeDocument/2006/relationships/footer" Target="footer14.xml"/><Relationship Id="rId50" Type="http://schemas.openxmlformats.org/officeDocument/2006/relationships/footer" Target="footer15.xml"/><Relationship Id="rId51" Type="http://schemas.openxmlformats.org/officeDocument/2006/relationships/footer" Target="footer16.xml"/><Relationship Id="rId52" Type="http://schemas.openxmlformats.org/officeDocument/2006/relationships/footer" Target="footer17.xml"/><Relationship Id="rId53" Type="http://schemas.openxmlformats.org/officeDocument/2006/relationships/header" Target="header6.xml"/><Relationship Id="rId54" Type="http://schemas.openxmlformats.org/officeDocument/2006/relationships/footer" Target="footer18.xml"/><Relationship Id="rId55" Type="http://schemas.openxmlformats.org/officeDocument/2006/relationships/image" Target="media/image27.png"/><Relationship Id="rId56" Type="http://schemas.openxmlformats.org/officeDocument/2006/relationships/header" Target="header7.xml"/><Relationship Id="rId57" Type="http://schemas.openxmlformats.org/officeDocument/2006/relationships/header" Target="header8.xml"/><Relationship Id="rId58" Type="http://schemas.openxmlformats.org/officeDocument/2006/relationships/footer" Target="footer19.xml"/><Relationship Id="rId59" Type="http://schemas.openxmlformats.org/officeDocument/2006/relationships/footer" Target="footer20.xml"/><Relationship Id="rId60" Type="http://schemas.openxmlformats.org/officeDocument/2006/relationships/footer" Target="footer21.xml"/><Relationship Id="rId61" Type="http://schemas.openxmlformats.org/officeDocument/2006/relationships/footer" Target="footer22.xml"/><Relationship Id="rId62" Type="http://schemas.openxmlformats.org/officeDocument/2006/relationships/footer" Target="footer23.xml"/><Relationship Id="rId63" Type="http://schemas.openxmlformats.org/officeDocument/2006/relationships/footer" Target="footer24.xml"/><Relationship Id="rId64" Type="http://schemas.openxmlformats.org/officeDocument/2006/relationships/footer" Target="footer25.xml"/><Relationship Id="rId65" Type="http://schemas.openxmlformats.org/officeDocument/2006/relationships/footer" Target="footer26.xml"/><Relationship Id="rId66" Type="http://schemas.openxmlformats.org/officeDocument/2006/relationships/footer" Target="footer27.xml"/><Relationship Id="rId67" Type="http://schemas.openxmlformats.org/officeDocument/2006/relationships/footer" Target="footer28.xml"/><Relationship Id="rId68" Type="http://schemas.openxmlformats.org/officeDocument/2006/relationships/footer" Target="footer29.xml"/><Relationship Id="rId69" Type="http://schemas.openxmlformats.org/officeDocument/2006/relationships/footer" Target="footer30.xml"/><Relationship Id="rId70" Type="http://schemas.openxmlformats.org/officeDocument/2006/relationships/footer" Target="footer31.xml"/><Relationship Id="rId71" Type="http://schemas.openxmlformats.org/officeDocument/2006/relationships/footer" Target="footer32.xml"/><Relationship Id="rId72" Type="http://schemas.openxmlformats.org/officeDocument/2006/relationships/footer" Target="footer33.xml"/><Relationship Id="rId73" Type="http://schemas.openxmlformats.org/officeDocument/2006/relationships/footer" Target="footer34.xml"/><Relationship Id="rId74" Type="http://schemas.openxmlformats.org/officeDocument/2006/relationships/footer" Target="footer35.xml"/><Relationship Id="rId75" Type="http://schemas.openxmlformats.org/officeDocument/2006/relationships/header" Target="header9.xml"/><Relationship Id="rId76" Type="http://schemas.openxmlformats.org/officeDocument/2006/relationships/footer" Target="footer36.xml"/><Relationship Id="rId77" Type="http://schemas.openxmlformats.org/officeDocument/2006/relationships/header" Target="header10.xml"/><Relationship Id="rId78" Type="http://schemas.openxmlformats.org/officeDocument/2006/relationships/footer" Target="footer37.xml"/><Relationship Id="rId79" Type="http://schemas.openxmlformats.org/officeDocument/2006/relationships/header" Target="header11.xml"/><Relationship Id="rId80" Type="http://schemas.openxmlformats.org/officeDocument/2006/relationships/footer" Target="footer38.xml"/><Relationship Id="rId81" Type="http://schemas.openxmlformats.org/officeDocument/2006/relationships/image" Target="media/image28.png"/><Relationship Id="rId82" Type="http://schemas.openxmlformats.org/officeDocument/2006/relationships/header" Target="header12.xml"/><Relationship Id="rId83" Type="http://schemas.openxmlformats.org/officeDocument/2006/relationships/footer" Target="footer39.xm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2020-01-15T15:27:16Z</dcterms:created>
  <dcterms:modified xsi:type="dcterms:W3CDTF">2020-01-15T15:27:16Z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2017-04-20T00:00:00Z</vt:filetime>
  </property>
  <property fmtid="{D5CDD505-2E9C-101B-9397-08002B2CF9AE}" pid="3" name="Creator">
    <vt:lpwstr>Adobe InDesign CC 2015 (Macintosh)</vt:lpwstr>
  </property>
  <property fmtid="{D5CDD505-2E9C-101B-9397-08002B2CF9AE}" pid="4" name="LastSaved">
    <vt:filetime>2020-01-15T00:00:00Z</vt:filetime>
  </property>
</Properties>
</file>